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8C2CE">
      <w:pPr>
        <w:pStyle w:val="17"/>
        <w:pBdr>
          <w:bottom w:val="single" w:color="auto" w:sz="4" w:space="1"/>
        </w:pBdr>
        <w:jc w:val="center"/>
        <w:rPr>
          <w:rFonts w:eastAsia="宋体"/>
          <w:sz w:val="56"/>
          <w:szCs w:val="56"/>
        </w:rPr>
      </w:pPr>
      <w:bookmarkStart w:id="31" w:name="_GoBack"/>
      <w:bookmarkEnd w:id="31"/>
      <w:r>
        <w:rPr>
          <w:rFonts w:eastAsia="宋体"/>
          <w:b/>
          <w:bCs/>
          <w:sz w:val="56"/>
          <w:szCs w:val="56"/>
        </w:rPr>
        <w:t>互操作性医疗器械的设计考虑事项和上市前申报资料建议</w:t>
      </w:r>
    </w:p>
    <w:p w14:paraId="291642DC">
      <w:pPr>
        <w:pStyle w:val="17"/>
        <w:jc w:val="center"/>
        <w:rPr>
          <w:rFonts w:eastAsia="宋体"/>
          <w:sz w:val="56"/>
          <w:szCs w:val="56"/>
        </w:rPr>
      </w:pPr>
      <w:r>
        <w:rPr>
          <w:rFonts w:eastAsia="宋体"/>
          <w:b/>
          <w:bCs/>
          <w:sz w:val="56"/>
          <w:szCs w:val="56"/>
        </w:rPr>
        <w:t>行业和美国食品药品监督管理局工作人员指南</w:t>
      </w:r>
    </w:p>
    <w:p w14:paraId="560FCCA9">
      <w:pPr>
        <w:pStyle w:val="17"/>
        <w:jc w:val="center"/>
        <w:rPr>
          <w:rFonts w:eastAsia="宋体"/>
          <w:b/>
          <w:bCs/>
          <w:sz w:val="28"/>
          <w:szCs w:val="28"/>
        </w:rPr>
      </w:pPr>
    </w:p>
    <w:p w14:paraId="372B47F6">
      <w:pPr>
        <w:pStyle w:val="17"/>
        <w:jc w:val="center"/>
        <w:rPr>
          <w:rFonts w:eastAsia="宋体"/>
          <w:b/>
          <w:bCs/>
          <w:sz w:val="28"/>
          <w:szCs w:val="28"/>
        </w:rPr>
      </w:pPr>
    </w:p>
    <w:p w14:paraId="127476AC">
      <w:pPr>
        <w:pStyle w:val="17"/>
        <w:jc w:val="center"/>
        <w:rPr>
          <w:rFonts w:eastAsia="宋体"/>
          <w:b/>
          <w:bCs/>
          <w:sz w:val="28"/>
          <w:szCs w:val="28"/>
        </w:rPr>
      </w:pPr>
    </w:p>
    <w:p w14:paraId="18F950D8">
      <w:pPr>
        <w:pStyle w:val="17"/>
        <w:jc w:val="center"/>
        <w:rPr>
          <w:rFonts w:eastAsia="宋体"/>
          <w:b/>
          <w:bCs/>
          <w:sz w:val="28"/>
          <w:szCs w:val="28"/>
        </w:rPr>
      </w:pPr>
    </w:p>
    <w:p w14:paraId="2F9F3654">
      <w:pPr>
        <w:pStyle w:val="17"/>
        <w:jc w:val="center"/>
        <w:rPr>
          <w:rFonts w:eastAsia="宋体"/>
          <w:sz w:val="28"/>
          <w:szCs w:val="28"/>
        </w:rPr>
      </w:pPr>
      <w:r>
        <w:rPr>
          <w:rFonts w:eastAsia="宋体"/>
          <w:b/>
          <w:bCs/>
          <w:sz w:val="28"/>
          <w:szCs w:val="28"/>
        </w:rPr>
        <w:t>文件发布日期：2017年9月6日</w:t>
      </w:r>
    </w:p>
    <w:p w14:paraId="09F3EF6A">
      <w:pPr>
        <w:shd w:val="clear" w:color="auto" w:fill="FFFFFF"/>
        <w:snapToGrid w:val="0"/>
        <w:jc w:val="center"/>
        <w:rPr>
          <w:rFonts w:eastAsia="宋体"/>
          <w:b/>
          <w:bCs/>
          <w:sz w:val="28"/>
          <w:szCs w:val="28"/>
        </w:rPr>
      </w:pPr>
      <w:r>
        <w:rPr>
          <w:rFonts w:eastAsia="宋体"/>
          <w:b/>
          <w:bCs/>
          <w:sz w:val="28"/>
          <w:szCs w:val="28"/>
        </w:rPr>
        <w:t>文件草案</w:t>
      </w:r>
      <w:r>
        <w:rPr>
          <w:rFonts w:hint="eastAsia" w:eastAsia="宋体"/>
          <w:b/>
          <w:bCs/>
          <w:sz w:val="28"/>
          <w:szCs w:val="28"/>
        </w:rPr>
        <w:t>发布日期：</w:t>
      </w:r>
      <w:r>
        <w:rPr>
          <w:rFonts w:eastAsia="宋体"/>
          <w:b/>
          <w:bCs/>
          <w:sz w:val="28"/>
          <w:szCs w:val="28"/>
        </w:rPr>
        <w:t>2016年1月26日</w:t>
      </w:r>
    </w:p>
    <w:p w14:paraId="6E346024">
      <w:pPr>
        <w:shd w:val="clear" w:color="auto" w:fill="FFFFFF"/>
        <w:snapToGrid w:val="0"/>
        <w:jc w:val="center"/>
        <w:rPr>
          <w:rFonts w:eastAsia="宋体"/>
          <w:b/>
          <w:bCs/>
          <w:sz w:val="28"/>
          <w:szCs w:val="28"/>
        </w:rPr>
      </w:pPr>
    </w:p>
    <w:p w14:paraId="6A592C7A">
      <w:pPr>
        <w:shd w:val="clear" w:color="auto" w:fill="FFFFFF"/>
        <w:snapToGrid w:val="0"/>
        <w:jc w:val="center"/>
        <w:rPr>
          <w:rFonts w:eastAsia="宋体"/>
          <w:b/>
          <w:bCs/>
          <w:sz w:val="28"/>
          <w:szCs w:val="28"/>
        </w:rPr>
      </w:pPr>
    </w:p>
    <w:p w14:paraId="7A0C37A2">
      <w:pPr>
        <w:shd w:val="clear" w:color="auto" w:fill="FFFFFF"/>
        <w:snapToGrid w:val="0"/>
        <w:jc w:val="both"/>
        <w:rPr>
          <w:rFonts w:eastAsia="宋体"/>
          <w:sz w:val="24"/>
          <w:szCs w:val="24"/>
        </w:rPr>
      </w:pPr>
      <w:r>
        <w:rPr>
          <w:rFonts w:eastAsia="宋体"/>
          <w:color w:val="000000"/>
          <w:sz w:val="24"/>
          <w:szCs w:val="24"/>
        </w:rPr>
        <w:t>如对本文件有任何关于CDRH监管器械的问题，请发送电子邮件至：</w:t>
      </w:r>
      <w:r>
        <w:rPr>
          <w:rFonts w:eastAsia="宋体"/>
          <w:color w:val="0000FF"/>
          <w:sz w:val="24"/>
          <w:szCs w:val="24"/>
          <w:u w:val="single"/>
        </w:rPr>
        <w:t>DigitalHealth@fda.hhs.gov</w:t>
      </w:r>
      <w:r>
        <w:rPr>
          <w:rFonts w:eastAsia="宋体"/>
          <w:color w:val="000000"/>
          <w:sz w:val="24"/>
          <w:szCs w:val="24"/>
        </w:rPr>
        <w:t>.</w:t>
      </w:r>
    </w:p>
    <w:p w14:paraId="41BF3099">
      <w:pPr>
        <w:shd w:val="clear" w:color="auto" w:fill="FFFFFF"/>
        <w:snapToGrid w:val="0"/>
        <w:jc w:val="both"/>
        <w:rPr>
          <w:rFonts w:eastAsia="宋体"/>
          <w:color w:val="000000"/>
          <w:sz w:val="24"/>
          <w:szCs w:val="24"/>
        </w:rPr>
      </w:pPr>
    </w:p>
    <w:p w14:paraId="5EB8230A">
      <w:pPr>
        <w:shd w:val="clear" w:color="auto" w:fill="FFFFFF"/>
        <w:snapToGrid w:val="0"/>
        <w:jc w:val="both"/>
        <w:rPr>
          <w:rFonts w:eastAsia="宋体"/>
          <w:sz w:val="24"/>
          <w:szCs w:val="24"/>
        </w:rPr>
      </w:pPr>
      <w:r>
        <w:rPr>
          <w:rFonts w:eastAsia="宋体"/>
          <w:color w:val="000000"/>
          <w:sz w:val="24"/>
          <w:szCs w:val="24"/>
        </w:rPr>
        <w:t>如对本文件有任何关于CBER监管器械的问题，请致电1-800-835-4709或240-402-8010与通信、推广和发展办公室（OCOD）联系。</w:t>
      </w:r>
    </w:p>
    <w:p w14:paraId="59251F15">
      <w:pPr>
        <w:snapToGrid w:val="0"/>
        <w:jc w:val="both"/>
        <w:rPr>
          <w:rFonts w:eastAsia="宋体"/>
          <w:sz w:val="24"/>
          <w:szCs w:val="24"/>
        </w:rPr>
      </w:pPr>
    </w:p>
    <w:p w14:paraId="00264A6A">
      <w:pPr>
        <w:snapToGrid w:val="0"/>
        <w:jc w:val="both"/>
        <w:rPr>
          <w:rFonts w:eastAsia="宋体"/>
          <w:sz w:val="24"/>
          <w:szCs w:val="24"/>
        </w:rPr>
      </w:pPr>
    </w:p>
    <w:p w14:paraId="5801798E">
      <w:pPr>
        <w:snapToGrid w:val="0"/>
        <w:jc w:val="both"/>
        <w:rPr>
          <w:rFonts w:eastAsia="宋体"/>
          <w:sz w:val="24"/>
          <w:szCs w:val="24"/>
        </w:rPr>
      </w:pPr>
    </w:p>
    <w:p w14:paraId="4BA12D81">
      <w:pPr>
        <w:snapToGrid w:val="0"/>
        <w:jc w:val="both"/>
        <w:rPr>
          <w:rFonts w:eastAsia="宋体"/>
          <w:sz w:val="24"/>
          <w:szCs w:val="24"/>
        </w:rPr>
      </w:pPr>
    </w:p>
    <w:p w14:paraId="015B8BD4">
      <w:pPr>
        <w:snapToGrid w:val="0"/>
        <w:jc w:val="both"/>
        <w:rPr>
          <w:rFonts w:eastAsia="宋体"/>
          <w:sz w:val="24"/>
          <w:szCs w:val="24"/>
        </w:rPr>
      </w:pPr>
    </w:p>
    <w:p w14:paraId="300FEEF3">
      <w:pPr>
        <w:snapToGrid w:val="0"/>
        <w:jc w:val="both"/>
        <w:rPr>
          <w:rFonts w:eastAsia="宋体"/>
          <w:sz w:val="24"/>
          <w:szCs w:val="24"/>
        </w:rPr>
      </w:pPr>
    </w:p>
    <w:p w14:paraId="6E4EBD30">
      <w:pPr>
        <w:snapToGrid w:val="0"/>
        <w:jc w:val="both"/>
        <w:rPr>
          <w:rFonts w:eastAsia="宋体"/>
          <w:sz w:val="24"/>
          <w:szCs w:val="24"/>
        </w:rPr>
      </w:pPr>
    </w:p>
    <w:p w14:paraId="5DBCC8C5">
      <w:pPr>
        <w:snapToGrid w:val="0"/>
        <w:jc w:val="both"/>
        <w:rPr>
          <w:rFonts w:eastAsia="宋体"/>
          <w:sz w:val="24"/>
          <w:szCs w:val="24"/>
        </w:rPr>
      </w:pPr>
    </w:p>
    <w:p w14:paraId="2E6F0635">
      <w:pPr>
        <w:snapToGrid w:val="0"/>
        <w:jc w:val="both"/>
        <w:rPr>
          <w:rFonts w:eastAsia="宋体"/>
          <w:sz w:val="24"/>
          <w:szCs w:val="24"/>
        </w:rPr>
      </w:pPr>
    </w:p>
    <w:p w14:paraId="744DF485">
      <w:pPr>
        <w:snapToGrid w:val="0"/>
        <w:jc w:val="both"/>
        <w:rPr>
          <w:rFonts w:eastAsia="宋体"/>
          <w:sz w:val="24"/>
          <w:szCs w:val="24"/>
        </w:rPr>
      </w:pPr>
    </w:p>
    <w:p w14:paraId="6DAA8747">
      <w:pPr>
        <w:snapToGrid w:val="0"/>
        <w:jc w:val="both"/>
        <w:rPr>
          <w:rFonts w:eastAsia="宋体"/>
          <w:sz w:val="24"/>
          <w:szCs w:val="24"/>
        </w:rPr>
      </w:pPr>
    </w:p>
    <w:p w14:paraId="42149D76">
      <w:pPr>
        <w:snapToGrid w:val="0"/>
        <w:jc w:val="both"/>
        <w:rPr>
          <w:rFonts w:eastAsia="宋体"/>
          <w:sz w:val="24"/>
          <w:szCs w:val="24"/>
        </w:rPr>
      </w:pPr>
    </w:p>
    <w:p w14:paraId="2BE99CA6">
      <w:pPr>
        <w:snapToGrid w:val="0"/>
        <w:jc w:val="both"/>
        <w:rPr>
          <w:rFonts w:eastAsia="宋体"/>
          <w:sz w:val="24"/>
          <w:szCs w:val="24"/>
        </w:rPr>
      </w:pPr>
    </w:p>
    <w:p w14:paraId="3C2B4B8B">
      <w:pPr>
        <w:snapToGrid w:val="0"/>
        <w:jc w:val="both"/>
        <w:rPr>
          <w:rFonts w:eastAsia="宋体"/>
          <w:sz w:val="24"/>
          <w:szCs w:val="24"/>
        </w:rPr>
      </w:pPr>
    </w:p>
    <w:p w14:paraId="63FDF906">
      <w:pPr>
        <w:snapToGrid w:val="0"/>
        <w:jc w:val="both"/>
        <w:rPr>
          <w:rFonts w:eastAsia="宋体"/>
          <w:sz w:val="24"/>
          <w:szCs w:val="24"/>
        </w:rPr>
      </w:pPr>
    </w:p>
    <w:p w14:paraId="214739BE">
      <w:pPr>
        <w:snapToGrid w:val="0"/>
        <w:jc w:val="both"/>
        <w:rPr>
          <w:rFonts w:eastAsia="宋体"/>
          <w:sz w:val="24"/>
          <w:szCs w:val="24"/>
        </w:rPr>
      </w:pPr>
    </w:p>
    <w:tbl>
      <w:tblPr>
        <w:tblStyle w:val="10"/>
        <w:tblW w:w="5000" w:type="pct"/>
        <w:tblInd w:w="0" w:type="dxa"/>
        <w:tblLayout w:type="fixed"/>
        <w:tblCellMar>
          <w:top w:w="0" w:type="dxa"/>
          <w:left w:w="40" w:type="dxa"/>
          <w:bottom w:w="0" w:type="dxa"/>
          <w:right w:w="40" w:type="dxa"/>
        </w:tblCellMar>
      </w:tblPr>
      <w:tblGrid>
        <w:gridCol w:w="3844"/>
        <w:gridCol w:w="5342"/>
      </w:tblGrid>
      <w:tr w14:paraId="7928E1D4">
        <w:tblPrEx>
          <w:tblCellMar>
            <w:top w:w="0" w:type="dxa"/>
            <w:left w:w="40" w:type="dxa"/>
            <w:bottom w:w="0" w:type="dxa"/>
            <w:right w:w="40" w:type="dxa"/>
          </w:tblCellMar>
        </w:tblPrEx>
        <w:tc>
          <w:tcPr>
            <w:tcW w:w="3946" w:type="dxa"/>
            <w:tcBorders>
              <w:top w:val="nil"/>
              <w:left w:val="nil"/>
              <w:bottom w:val="nil"/>
              <w:right w:val="nil"/>
            </w:tcBorders>
            <w:shd w:val="clear" w:color="auto" w:fill="FFFFFF"/>
            <w:tcMar>
              <w:left w:w="57" w:type="dxa"/>
              <w:right w:w="57" w:type="dxa"/>
            </w:tcMar>
            <w:vAlign w:val="center"/>
          </w:tcPr>
          <w:p w14:paraId="447EEA57">
            <w:pPr>
              <w:shd w:val="clear" w:color="auto" w:fill="FFFFFF"/>
              <w:snapToGrid w:val="0"/>
              <w:rPr>
                <w:rFonts w:eastAsia="宋体"/>
                <w:sz w:val="24"/>
                <w:szCs w:val="24"/>
              </w:rPr>
            </w:pPr>
            <w:r>
              <w:rPr>
                <w:rFonts w:eastAsia="宋体"/>
                <w:sz w:val="24"/>
                <w:szCs w:val="24"/>
              </w:rPr>
              <w:drawing>
                <wp:inline distT="0" distB="0" distL="0" distR="0">
                  <wp:extent cx="2217420" cy="5105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217612" cy="510584"/>
                          </a:xfrm>
                          <a:prstGeom prst="rect">
                            <a:avLst/>
                          </a:prstGeom>
                        </pic:spPr>
                      </pic:pic>
                    </a:graphicData>
                  </a:graphic>
                </wp:inline>
              </w:drawing>
            </w:r>
          </w:p>
        </w:tc>
        <w:tc>
          <w:tcPr>
            <w:tcW w:w="5486" w:type="dxa"/>
            <w:tcBorders>
              <w:top w:val="nil"/>
              <w:left w:val="nil"/>
              <w:bottom w:val="nil"/>
              <w:right w:val="nil"/>
            </w:tcBorders>
            <w:shd w:val="clear" w:color="auto" w:fill="FFFFFF"/>
            <w:tcMar>
              <w:left w:w="57" w:type="dxa"/>
              <w:right w:w="57" w:type="dxa"/>
            </w:tcMar>
          </w:tcPr>
          <w:p w14:paraId="53F0EDE9">
            <w:pPr>
              <w:shd w:val="clear" w:color="auto" w:fill="FFFFFF"/>
              <w:snapToGrid w:val="0"/>
              <w:jc w:val="right"/>
              <w:rPr>
                <w:rFonts w:eastAsia="宋体"/>
                <w:b/>
                <w:bCs/>
                <w:color w:val="000000"/>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5CE3E978">
            <w:pPr>
              <w:shd w:val="clear" w:color="auto" w:fill="FFFFFF"/>
              <w:snapToGrid w:val="0"/>
              <w:jc w:val="right"/>
              <w:rPr>
                <w:rFonts w:eastAsia="宋体"/>
                <w:b/>
                <w:bCs/>
                <w:color w:val="000000"/>
                <w:sz w:val="24"/>
                <w:szCs w:val="24"/>
              </w:rPr>
            </w:pPr>
            <w:r>
              <w:rPr>
                <w:rFonts w:eastAsia="宋体"/>
                <w:b/>
                <w:bCs/>
                <w:color w:val="000000"/>
                <w:sz w:val="24"/>
                <w:szCs w:val="24"/>
              </w:rPr>
              <w:t>美国食品药品监督管理局</w:t>
            </w:r>
          </w:p>
          <w:p w14:paraId="2E809B07">
            <w:pPr>
              <w:shd w:val="clear" w:color="auto" w:fill="FFFFFF"/>
              <w:snapToGrid w:val="0"/>
              <w:jc w:val="right"/>
              <w:rPr>
                <w:rFonts w:eastAsia="宋体"/>
                <w:sz w:val="24"/>
                <w:szCs w:val="24"/>
              </w:rPr>
            </w:pPr>
          </w:p>
          <w:p w14:paraId="16C82DBE">
            <w:pPr>
              <w:shd w:val="clear" w:color="auto" w:fill="FFFFFF"/>
              <w:snapToGrid w:val="0"/>
              <w:jc w:val="right"/>
              <w:rPr>
                <w:rFonts w:eastAsia="宋体"/>
                <w:b/>
                <w:bCs/>
                <w:color w:val="000000"/>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188F8F78">
            <w:pPr>
              <w:shd w:val="clear" w:color="auto" w:fill="FFFFFF"/>
              <w:snapToGrid w:val="0"/>
              <w:jc w:val="right"/>
              <w:rPr>
                <w:rFonts w:eastAsia="宋体"/>
                <w:sz w:val="24"/>
                <w:szCs w:val="24"/>
              </w:rPr>
            </w:pPr>
          </w:p>
          <w:p w14:paraId="567F9FF8">
            <w:pPr>
              <w:shd w:val="clear" w:color="auto" w:fill="FFFFFF"/>
              <w:snapToGrid w:val="0"/>
              <w:jc w:val="right"/>
              <w:rPr>
                <w:rFonts w:eastAsia="宋体"/>
                <w:sz w:val="24"/>
                <w:szCs w:val="24"/>
              </w:rPr>
            </w:pPr>
            <w:r>
              <w:rPr>
                <w:rFonts w:eastAsia="宋体"/>
                <w:b/>
                <w:bCs/>
                <w:color w:val="000000"/>
                <w:sz w:val="24"/>
                <w:szCs w:val="24"/>
              </w:rPr>
              <w:t>生物制品评价和研究中心</w:t>
            </w:r>
          </w:p>
        </w:tc>
      </w:tr>
    </w:tbl>
    <w:p w14:paraId="306C8212">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4DC6B059">
      <w:pPr>
        <w:pStyle w:val="17"/>
        <w:jc w:val="center"/>
        <w:rPr>
          <w:rFonts w:eastAsia="宋体"/>
          <w:b/>
          <w:bCs/>
          <w:sz w:val="48"/>
          <w:szCs w:val="48"/>
        </w:rPr>
      </w:pPr>
      <w:r>
        <w:rPr>
          <w:rFonts w:eastAsia="宋体"/>
          <w:b/>
          <w:bCs/>
          <w:sz w:val="48"/>
          <w:szCs w:val="48"/>
        </w:rPr>
        <w:t>前言</w:t>
      </w:r>
    </w:p>
    <w:p w14:paraId="5A682EEE">
      <w:pPr>
        <w:pStyle w:val="17"/>
        <w:jc w:val="center"/>
        <w:rPr>
          <w:rFonts w:eastAsia="宋体"/>
          <w:sz w:val="48"/>
          <w:szCs w:val="48"/>
        </w:rPr>
      </w:pPr>
    </w:p>
    <w:p w14:paraId="69DD502D">
      <w:pPr>
        <w:shd w:val="clear" w:color="auto" w:fill="FFFFFF"/>
        <w:snapToGrid w:val="0"/>
        <w:jc w:val="both"/>
        <w:rPr>
          <w:rFonts w:eastAsia="宋体"/>
          <w:b/>
          <w:bCs/>
          <w:sz w:val="36"/>
          <w:szCs w:val="36"/>
        </w:rPr>
      </w:pPr>
      <w:r>
        <w:rPr>
          <w:rFonts w:eastAsia="宋体"/>
          <w:b/>
          <w:bCs/>
          <w:sz w:val="36"/>
          <w:szCs w:val="36"/>
        </w:rPr>
        <w:t>公众意见</w:t>
      </w:r>
    </w:p>
    <w:p w14:paraId="6A59C7E1">
      <w:pPr>
        <w:shd w:val="clear" w:color="auto" w:fill="FFFFFF"/>
        <w:snapToGrid w:val="0"/>
        <w:jc w:val="both"/>
        <w:rPr>
          <w:rFonts w:eastAsia="宋体"/>
          <w:b/>
          <w:bCs/>
          <w:sz w:val="36"/>
          <w:szCs w:val="36"/>
        </w:rPr>
      </w:pPr>
    </w:p>
    <w:p w14:paraId="1155F468">
      <w:pPr>
        <w:shd w:val="clear" w:color="auto" w:fill="FFFFFF"/>
        <w:snapToGrid w:val="0"/>
        <w:jc w:val="both"/>
        <w:rPr>
          <w:rFonts w:eastAsia="宋体"/>
          <w:sz w:val="24"/>
          <w:szCs w:val="24"/>
        </w:rPr>
      </w:pPr>
      <w:r>
        <w:rPr>
          <w:rFonts w:hint="eastAsia" w:eastAsia="宋体"/>
          <w:color w:val="000000"/>
          <w:sz w:val="24"/>
          <w:szCs w:val="24"/>
        </w:rPr>
        <w:t>公众</w:t>
      </w:r>
      <w:r>
        <w:rPr>
          <w:rFonts w:eastAsia="宋体"/>
          <w:color w:val="000000"/>
          <w:sz w:val="24"/>
          <w:szCs w:val="24"/>
        </w:rPr>
        <w:t>可随时提交电子意见和建议至</w:t>
      </w:r>
      <w:r>
        <w:rPr>
          <w:rFonts w:eastAsia="宋体"/>
          <w:color w:val="0000FF"/>
          <w:sz w:val="24"/>
          <w:szCs w:val="24"/>
          <w:u w:val="single"/>
        </w:rPr>
        <w:t>http://www.regulations.gov</w:t>
      </w:r>
      <w:r>
        <w:rPr>
          <w:rFonts w:eastAsia="宋体"/>
          <w:color w:val="000000"/>
          <w:sz w:val="24"/>
          <w:szCs w:val="24"/>
        </w:rPr>
        <w:t>，以供</w:t>
      </w:r>
      <w:r>
        <w:rPr>
          <w:rFonts w:hint="eastAsia" w:eastAsia="宋体"/>
          <w:color w:val="000000"/>
          <w:sz w:val="24"/>
          <w:szCs w:val="24"/>
        </w:rPr>
        <w:t>F</w:t>
      </w:r>
      <w:r>
        <w:rPr>
          <w:rFonts w:eastAsia="宋体"/>
          <w:color w:val="000000"/>
          <w:sz w:val="24"/>
          <w:szCs w:val="24"/>
        </w:rPr>
        <w:t>DA考虑。请提交书面意见至美国食品药品监督管理局档案管理工作人员（5630 Fishers Lane, Room 1061, （HFA-305）, Rockville, MD 20852）。</w:t>
      </w:r>
      <w:r>
        <w:rPr>
          <w:rFonts w:hint="eastAsia" w:eastAsia="宋体"/>
          <w:color w:val="000000"/>
          <w:sz w:val="24"/>
          <w:szCs w:val="24"/>
        </w:rPr>
        <w:t>所有意见标注</w:t>
      </w:r>
      <w:r>
        <w:rPr>
          <w:rFonts w:eastAsia="宋体"/>
          <w:color w:val="000000"/>
          <w:sz w:val="24"/>
          <w:szCs w:val="24"/>
        </w:rPr>
        <w:t>[FDA-2015-4852]</w:t>
      </w:r>
      <w:r>
        <w:rPr>
          <w:rFonts w:hint="eastAsia" w:eastAsia="宋体"/>
          <w:color w:val="000000"/>
          <w:sz w:val="24"/>
          <w:szCs w:val="24"/>
        </w:rPr>
        <w:t>识别</w:t>
      </w:r>
      <w:r>
        <w:rPr>
          <w:rFonts w:eastAsia="宋体"/>
          <w:color w:val="000000"/>
          <w:sz w:val="24"/>
          <w:szCs w:val="24"/>
        </w:rPr>
        <w:t>。下次修订或更新文件</w:t>
      </w:r>
      <w:r>
        <w:rPr>
          <w:rFonts w:hint="eastAsia" w:eastAsia="宋体"/>
          <w:color w:val="000000"/>
          <w:sz w:val="24"/>
          <w:szCs w:val="24"/>
        </w:rPr>
        <w:t>时</w:t>
      </w:r>
      <w:r>
        <w:rPr>
          <w:rFonts w:eastAsia="宋体"/>
          <w:color w:val="000000"/>
          <w:sz w:val="24"/>
          <w:szCs w:val="24"/>
        </w:rPr>
        <w:t>，</w:t>
      </w:r>
      <w:r>
        <w:rPr>
          <w:rFonts w:hint="eastAsia" w:eastAsia="宋体"/>
          <w:color w:val="000000"/>
          <w:sz w:val="24"/>
          <w:szCs w:val="24"/>
        </w:rPr>
        <w:t>F</w:t>
      </w:r>
      <w:r>
        <w:rPr>
          <w:rFonts w:eastAsia="宋体"/>
          <w:color w:val="000000"/>
          <w:sz w:val="24"/>
          <w:szCs w:val="24"/>
        </w:rPr>
        <w:t>DA会对评论意见采取行动。</w:t>
      </w:r>
    </w:p>
    <w:p w14:paraId="298E0250">
      <w:pPr>
        <w:pStyle w:val="17"/>
        <w:rPr>
          <w:rFonts w:eastAsia="宋体"/>
          <w:b/>
          <w:bCs/>
        </w:rPr>
      </w:pPr>
    </w:p>
    <w:p w14:paraId="47FB8A4F">
      <w:pPr>
        <w:pStyle w:val="17"/>
        <w:rPr>
          <w:rFonts w:eastAsia="宋体"/>
          <w:b/>
          <w:bCs/>
          <w:sz w:val="36"/>
          <w:szCs w:val="36"/>
        </w:rPr>
      </w:pPr>
    </w:p>
    <w:p w14:paraId="17F5CAF9">
      <w:pPr>
        <w:pStyle w:val="17"/>
        <w:rPr>
          <w:rFonts w:eastAsia="宋体"/>
          <w:sz w:val="36"/>
          <w:szCs w:val="36"/>
        </w:rPr>
      </w:pPr>
      <w:r>
        <w:rPr>
          <w:rFonts w:hint="eastAsia" w:eastAsia="宋体"/>
          <w:b/>
          <w:bCs/>
          <w:sz w:val="36"/>
          <w:szCs w:val="36"/>
        </w:rPr>
        <w:t>更多</w:t>
      </w:r>
      <w:r>
        <w:rPr>
          <w:rFonts w:eastAsia="宋体"/>
          <w:b/>
          <w:bCs/>
          <w:sz w:val="36"/>
          <w:szCs w:val="36"/>
        </w:rPr>
        <w:t xml:space="preserve">副本 </w:t>
      </w:r>
    </w:p>
    <w:p w14:paraId="4B7876DE">
      <w:pPr>
        <w:shd w:val="clear" w:color="auto" w:fill="FFFFFF"/>
        <w:snapToGrid w:val="0"/>
        <w:jc w:val="both"/>
        <w:rPr>
          <w:rFonts w:eastAsia="宋体"/>
          <w:b/>
          <w:bCs/>
          <w:sz w:val="36"/>
          <w:szCs w:val="36"/>
        </w:rPr>
      </w:pPr>
    </w:p>
    <w:p w14:paraId="6774F644">
      <w:pPr>
        <w:shd w:val="clear" w:color="auto" w:fill="FFFFFF"/>
        <w:snapToGrid w:val="0"/>
        <w:jc w:val="both"/>
        <w:rPr>
          <w:rFonts w:eastAsia="宋体"/>
          <w:b/>
          <w:bCs/>
          <w:sz w:val="36"/>
          <w:szCs w:val="36"/>
        </w:rPr>
      </w:pPr>
      <w:r>
        <w:rPr>
          <w:rFonts w:eastAsia="宋体"/>
          <w:b/>
          <w:bCs/>
          <w:sz w:val="36"/>
          <w:szCs w:val="36"/>
        </w:rPr>
        <w:t>医疗器械和放射健康中心（CDRH）</w:t>
      </w:r>
    </w:p>
    <w:p w14:paraId="0D1883D2">
      <w:pPr>
        <w:shd w:val="clear" w:color="auto" w:fill="FFFFFF"/>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接收指南副本。请使用文件编号1500015识别贵司请求的指南。</w:t>
      </w:r>
    </w:p>
    <w:p w14:paraId="0085BF19">
      <w:pPr>
        <w:shd w:val="clear" w:color="auto" w:fill="FFFFFF"/>
        <w:snapToGrid w:val="0"/>
        <w:jc w:val="both"/>
        <w:rPr>
          <w:rFonts w:eastAsia="宋体"/>
          <w:b/>
          <w:bCs/>
          <w:sz w:val="24"/>
          <w:szCs w:val="24"/>
        </w:rPr>
      </w:pPr>
    </w:p>
    <w:p w14:paraId="2600D137">
      <w:pPr>
        <w:shd w:val="clear" w:color="auto" w:fill="FFFFFF"/>
        <w:snapToGrid w:val="0"/>
        <w:jc w:val="both"/>
        <w:rPr>
          <w:rFonts w:eastAsia="宋体"/>
          <w:b/>
          <w:bCs/>
          <w:sz w:val="36"/>
          <w:szCs w:val="36"/>
        </w:rPr>
      </w:pPr>
    </w:p>
    <w:p w14:paraId="0866E820">
      <w:pPr>
        <w:shd w:val="clear" w:color="auto" w:fill="FFFFFF"/>
        <w:snapToGrid w:val="0"/>
        <w:jc w:val="both"/>
        <w:rPr>
          <w:rFonts w:eastAsia="宋体"/>
          <w:b/>
          <w:bCs/>
          <w:sz w:val="36"/>
          <w:szCs w:val="36"/>
        </w:rPr>
      </w:pPr>
      <w:r>
        <w:rPr>
          <w:rFonts w:eastAsia="宋体"/>
          <w:b/>
          <w:bCs/>
          <w:sz w:val="36"/>
          <w:szCs w:val="36"/>
        </w:rPr>
        <w:t>生物制品评价</w:t>
      </w:r>
      <w:r>
        <w:rPr>
          <w:rFonts w:hint="eastAsia" w:eastAsia="宋体"/>
          <w:b/>
          <w:bCs/>
          <w:sz w:val="36"/>
          <w:szCs w:val="36"/>
        </w:rPr>
        <w:t>和</w:t>
      </w:r>
      <w:r>
        <w:rPr>
          <w:rFonts w:eastAsia="宋体"/>
          <w:b/>
          <w:bCs/>
          <w:sz w:val="36"/>
          <w:szCs w:val="36"/>
        </w:rPr>
        <w:t>研究中心（CBER）</w:t>
      </w:r>
    </w:p>
    <w:p w14:paraId="6EE3DAFE">
      <w:pPr>
        <w:shd w:val="clear" w:color="auto" w:fill="FFFFFF"/>
        <w:snapToGrid w:val="0"/>
        <w:jc w:val="both"/>
        <w:rPr>
          <w:rFonts w:eastAsia="宋体"/>
          <w:sz w:val="24"/>
          <w:szCs w:val="24"/>
        </w:rPr>
      </w:pPr>
      <w:r>
        <w:rPr>
          <w:rFonts w:eastAsia="宋体"/>
          <w:color w:val="000000"/>
          <w:sz w:val="24"/>
          <w:szCs w:val="24"/>
        </w:rPr>
        <w:t>其他副本可从生物制品评价和研究中心（CBER）</w:t>
      </w:r>
      <w:r>
        <w:rPr>
          <w:rFonts w:hint="eastAsia" w:eastAsia="宋体"/>
          <w:color w:val="000000"/>
          <w:sz w:val="24"/>
          <w:szCs w:val="24"/>
        </w:rPr>
        <w:t>获取</w:t>
      </w:r>
      <w:r>
        <w:rPr>
          <w:rFonts w:eastAsia="宋体"/>
          <w:color w:val="000000"/>
          <w:sz w:val="24"/>
          <w:szCs w:val="24"/>
        </w:rPr>
        <w:t>，书面申请</w:t>
      </w:r>
      <w:r>
        <w:rPr>
          <w:rFonts w:hint="eastAsia" w:eastAsia="宋体"/>
          <w:color w:val="000000"/>
          <w:sz w:val="24"/>
          <w:szCs w:val="24"/>
        </w:rPr>
        <w:t>至</w:t>
      </w:r>
      <w:r>
        <w:rPr>
          <w:rFonts w:eastAsia="宋体"/>
          <w:color w:val="000000"/>
          <w:sz w:val="24"/>
          <w:szCs w:val="24"/>
        </w:rPr>
        <w:t xml:space="preserve">通信、推广和发展办公室（OCOD）（10903 New Hampshire Ave., Bldg. 71, Room 3128, Silver Spring, MD 20993-0002），或致电1-800-835 -4709或240-402-8010，发送电子邮件到以下电子邮箱： </w:t>
      </w:r>
      <w:r>
        <w:rPr>
          <w:rFonts w:eastAsia="宋体"/>
          <w:color w:val="0000FF"/>
          <w:sz w:val="24"/>
          <w:szCs w:val="24"/>
          <w:u w:val="single"/>
        </w:rPr>
        <w:t>ocod@fda.hhs.gov</w:t>
      </w:r>
      <w:r>
        <w:rPr>
          <w:rFonts w:eastAsia="宋体"/>
          <w:color w:val="0000FF"/>
          <w:sz w:val="24"/>
          <w:szCs w:val="24"/>
        </w:rPr>
        <w:t xml:space="preserve"> </w:t>
      </w:r>
      <w:r>
        <w:rPr>
          <w:rFonts w:eastAsia="宋体"/>
          <w:color w:val="000000"/>
          <w:sz w:val="24"/>
          <w:szCs w:val="24"/>
        </w:rPr>
        <w:t>或登录以下网站：</w:t>
      </w:r>
    </w:p>
    <w:p w14:paraId="36552FC8">
      <w:pPr>
        <w:shd w:val="clear" w:color="auto" w:fill="FFFFFF"/>
        <w:snapToGrid w:val="0"/>
        <w:jc w:val="both"/>
        <w:rPr>
          <w:rFonts w:eastAsia="宋体"/>
          <w:sz w:val="24"/>
          <w:szCs w:val="24"/>
        </w:rPr>
      </w:pPr>
      <w:r>
        <w:rPr>
          <w:rFonts w:eastAsia="宋体"/>
          <w:color w:val="0000FF"/>
          <w:sz w:val="24"/>
          <w:szCs w:val="24"/>
          <w:u w:val="single"/>
        </w:rPr>
        <w:t>http://www.fda.gov/BiologicsBloodVaccines/GuidanceComplianceRegulatoryInformation/Guidances/default.htm.</w:t>
      </w:r>
    </w:p>
    <w:p w14:paraId="7D16E44B">
      <w:pPr>
        <w:shd w:val="clear" w:color="auto" w:fill="FFFFFF"/>
        <w:snapToGrid w:val="0"/>
        <w:jc w:val="both"/>
        <w:rPr>
          <w:rFonts w:eastAsia="宋体"/>
          <w:sz w:val="24"/>
          <w:szCs w:val="24"/>
        </w:rPr>
      </w:pPr>
    </w:p>
    <w:p w14:paraId="72410CE0">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497E27D">
      <w:pPr>
        <w:snapToGrid w:val="0"/>
        <w:jc w:val="center"/>
        <w:rPr>
          <w:rFonts w:eastAsia="宋体"/>
          <w:b/>
          <w:bCs/>
          <w:sz w:val="36"/>
          <w:szCs w:val="36"/>
        </w:rPr>
      </w:pPr>
      <w:r>
        <w:rPr>
          <w:rFonts w:eastAsia="宋体"/>
          <w:b/>
          <w:bCs/>
          <w:sz w:val="36"/>
          <w:szCs w:val="36"/>
        </w:rPr>
        <w:t>目录</w:t>
      </w:r>
    </w:p>
    <w:p w14:paraId="11D8ABA8">
      <w:pPr>
        <w:snapToGrid w:val="0"/>
        <w:jc w:val="both"/>
        <w:rPr>
          <w:rFonts w:eastAsia="宋体"/>
          <w:sz w:val="21"/>
          <w:szCs w:val="21"/>
        </w:rPr>
      </w:pPr>
    </w:p>
    <w:p w14:paraId="403E0221">
      <w:pPr>
        <w:pStyle w:val="7"/>
        <w:rPr>
          <w:rFonts w:asciiTheme="minorHAnsi" w:hAnsiTheme="minorHAnsi" w:eastAsiaTheme="minorEastAsia" w:cstheme="minorBidi"/>
          <w:kern w:val="2"/>
          <w:sz w:val="21"/>
          <w:szCs w:val="22"/>
        </w:rPr>
      </w:pPr>
      <w:r>
        <w:rPr>
          <w:b/>
          <w:bCs/>
          <w:sz w:val="21"/>
          <w:szCs w:val="21"/>
        </w:rPr>
        <w:fldChar w:fldCharType="begin"/>
      </w:r>
      <w:r>
        <w:rPr>
          <w:b/>
          <w:sz w:val="21"/>
          <w:szCs w:val="21"/>
        </w:rPr>
        <w:instrText xml:space="preserve"> TOC \o "1-2" \h \z \u </w:instrText>
      </w:r>
      <w:r>
        <w:rPr>
          <w:b/>
          <w:sz w:val="21"/>
          <w:szCs w:val="21"/>
        </w:rPr>
        <w:fldChar w:fldCharType="separate"/>
      </w:r>
      <w:r>
        <w:fldChar w:fldCharType="begin"/>
      </w:r>
      <w:r>
        <w:instrText xml:space="preserve"> HYPERLINK \l "_Toc97485687" </w:instrText>
      </w:r>
      <w:r>
        <w:fldChar w:fldCharType="separate"/>
      </w:r>
      <w:r>
        <w:rPr>
          <w:rStyle w:val="12"/>
        </w:rPr>
        <w:t>I.</w:t>
      </w:r>
      <w:r>
        <w:rPr>
          <w:rFonts w:asciiTheme="minorHAnsi" w:hAnsiTheme="minorHAnsi" w:eastAsiaTheme="minorEastAsia" w:cstheme="minorBidi"/>
          <w:kern w:val="2"/>
          <w:sz w:val="21"/>
          <w:szCs w:val="22"/>
        </w:rPr>
        <w:tab/>
      </w:r>
      <w:r>
        <w:rPr>
          <w:rStyle w:val="12"/>
          <w:rFonts w:hint="eastAsia"/>
        </w:rPr>
        <w:t>前言</w:t>
      </w:r>
      <w:r>
        <w:tab/>
      </w:r>
      <w:r>
        <w:fldChar w:fldCharType="begin"/>
      </w:r>
      <w:r>
        <w:instrText xml:space="preserve"> PAGEREF _Toc97485687 \h </w:instrText>
      </w:r>
      <w:r>
        <w:fldChar w:fldCharType="separate"/>
      </w:r>
      <w:r>
        <w:t>1</w:t>
      </w:r>
      <w:r>
        <w:fldChar w:fldCharType="end"/>
      </w:r>
      <w:r>
        <w:fldChar w:fldCharType="end"/>
      </w:r>
    </w:p>
    <w:p w14:paraId="25E48B60">
      <w:pPr>
        <w:pStyle w:val="7"/>
        <w:rPr>
          <w:rFonts w:asciiTheme="minorHAnsi" w:hAnsiTheme="minorHAnsi" w:eastAsiaTheme="minorEastAsia" w:cstheme="minorBidi"/>
          <w:kern w:val="2"/>
          <w:sz w:val="21"/>
          <w:szCs w:val="22"/>
        </w:rPr>
      </w:pPr>
      <w:r>
        <w:fldChar w:fldCharType="begin"/>
      </w:r>
      <w:r>
        <w:instrText xml:space="preserve"> HYPERLINK \l "_Toc97485688" </w:instrText>
      </w:r>
      <w:r>
        <w:fldChar w:fldCharType="separate"/>
      </w:r>
      <w:r>
        <w:rPr>
          <w:rStyle w:val="12"/>
        </w:rPr>
        <w:t>II.</w:t>
      </w:r>
      <w:r>
        <w:rPr>
          <w:rFonts w:asciiTheme="minorHAnsi" w:hAnsiTheme="minorHAnsi" w:eastAsiaTheme="minorEastAsia" w:cstheme="minorBidi"/>
          <w:kern w:val="2"/>
          <w:sz w:val="21"/>
          <w:szCs w:val="22"/>
        </w:rPr>
        <w:tab/>
      </w:r>
      <w:r>
        <w:rPr>
          <w:rStyle w:val="12"/>
          <w:rFonts w:hint="eastAsia"/>
        </w:rPr>
        <w:t>背景</w:t>
      </w:r>
      <w:r>
        <w:tab/>
      </w:r>
      <w:r>
        <w:fldChar w:fldCharType="begin"/>
      </w:r>
      <w:r>
        <w:instrText xml:space="preserve"> PAGEREF _Toc97485688 \h </w:instrText>
      </w:r>
      <w:r>
        <w:fldChar w:fldCharType="separate"/>
      </w:r>
      <w:r>
        <w:t>2</w:t>
      </w:r>
      <w:r>
        <w:fldChar w:fldCharType="end"/>
      </w:r>
      <w:r>
        <w:fldChar w:fldCharType="end"/>
      </w:r>
    </w:p>
    <w:p w14:paraId="4BC39E1E">
      <w:pPr>
        <w:pStyle w:val="7"/>
        <w:rPr>
          <w:rFonts w:asciiTheme="minorHAnsi" w:hAnsiTheme="minorHAnsi" w:eastAsiaTheme="minorEastAsia" w:cstheme="minorBidi"/>
          <w:kern w:val="2"/>
          <w:sz w:val="21"/>
          <w:szCs w:val="22"/>
        </w:rPr>
      </w:pPr>
      <w:r>
        <w:fldChar w:fldCharType="begin"/>
      </w:r>
      <w:r>
        <w:instrText xml:space="preserve"> HYPERLINK \l "_Toc97485689" </w:instrText>
      </w:r>
      <w:r>
        <w:fldChar w:fldCharType="separate"/>
      </w:r>
      <w:r>
        <w:rPr>
          <w:rStyle w:val="12"/>
        </w:rPr>
        <w:t>III.</w:t>
      </w:r>
      <w:r>
        <w:rPr>
          <w:rFonts w:asciiTheme="minorHAnsi" w:hAnsiTheme="minorHAnsi" w:eastAsiaTheme="minorEastAsia" w:cstheme="minorBidi"/>
          <w:kern w:val="2"/>
          <w:sz w:val="21"/>
          <w:szCs w:val="22"/>
        </w:rPr>
        <w:tab/>
      </w:r>
      <w:r>
        <w:rPr>
          <w:rStyle w:val="12"/>
          <w:rFonts w:hint="eastAsia"/>
        </w:rPr>
        <w:t>范围</w:t>
      </w:r>
      <w:r>
        <w:tab/>
      </w:r>
      <w:r>
        <w:fldChar w:fldCharType="begin"/>
      </w:r>
      <w:r>
        <w:instrText xml:space="preserve"> PAGEREF _Toc97485689 \h </w:instrText>
      </w:r>
      <w:r>
        <w:fldChar w:fldCharType="separate"/>
      </w:r>
      <w:r>
        <w:t>3</w:t>
      </w:r>
      <w:r>
        <w:fldChar w:fldCharType="end"/>
      </w:r>
      <w:r>
        <w:fldChar w:fldCharType="end"/>
      </w:r>
    </w:p>
    <w:p w14:paraId="2A95C03D">
      <w:pPr>
        <w:pStyle w:val="7"/>
        <w:rPr>
          <w:rFonts w:asciiTheme="minorHAnsi" w:hAnsiTheme="minorHAnsi" w:eastAsiaTheme="minorEastAsia" w:cstheme="minorBidi"/>
          <w:kern w:val="2"/>
          <w:sz w:val="21"/>
          <w:szCs w:val="22"/>
        </w:rPr>
      </w:pPr>
      <w:r>
        <w:fldChar w:fldCharType="begin"/>
      </w:r>
      <w:r>
        <w:instrText xml:space="preserve"> HYPERLINK \l "_Toc97485690" </w:instrText>
      </w:r>
      <w:r>
        <w:fldChar w:fldCharType="separate"/>
      </w:r>
      <w:r>
        <w:rPr>
          <w:rStyle w:val="12"/>
        </w:rPr>
        <w:t>IV.</w:t>
      </w:r>
      <w:r>
        <w:rPr>
          <w:rFonts w:asciiTheme="minorHAnsi" w:hAnsiTheme="minorHAnsi" w:eastAsiaTheme="minorEastAsia" w:cstheme="minorBidi"/>
          <w:kern w:val="2"/>
          <w:sz w:val="21"/>
          <w:szCs w:val="22"/>
        </w:rPr>
        <w:tab/>
      </w:r>
      <w:r>
        <w:rPr>
          <w:rStyle w:val="12"/>
          <w:rFonts w:hint="eastAsia"/>
        </w:rPr>
        <w:t>定义</w:t>
      </w:r>
      <w:r>
        <w:tab/>
      </w:r>
      <w:r>
        <w:fldChar w:fldCharType="begin"/>
      </w:r>
      <w:r>
        <w:instrText xml:space="preserve"> PAGEREF _Toc97485690 \h </w:instrText>
      </w:r>
      <w:r>
        <w:fldChar w:fldCharType="separate"/>
      </w:r>
      <w:r>
        <w:t>4</w:t>
      </w:r>
      <w:r>
        <w:fldChar w:fldCharType="end"/>
      </w:r>
      <w:r>
        <w:fldChar w:fldCharType="end"/>
      </w:r>
    </w:p>
    <w:p w14:paraId="4DFCA7BF">
      <w:pPr>
        <w:pStyle w:val="7"/>
        <w:rPr>
          <w:rFonts w:asciiTheme="minorHAnsi" w:hAnsiTheme="minorHAnsi" w:eastAsiaTheme="minorEastAsia" w:cstheme="minorBidi"/>
          <w:kern w:val="2"/>
          <w:sz w:val="21"/>
          <w:szCs w:val="22"/>
        </w:rPr>
      </w:pPr>
      <w:r>
        <w:fldChar w:fldCharType="begin"/>
      </w:r>
      <w:r>
        <w:instrText xml:space="preserve"> HYPERLINK \l "_Toc97485691" </w:instrText>
      </w:r>
      <w:r>
        <w:fldChar w:fldCharType="separate"/>
      </w:r>
      <w:r>
        <w:rPr>
          <w:rStyle w:val="12"/>
        </w:rPr>
        <w:t>V.</w:t>
      </w:r>
      <w:r>
        <w:rPr>
          <w:rFonts w:asciiTheme="minorHAnsi" w:hAnsiTheme="minorHAnsi" w:eastAsiaTheme="minorEastAsia" w:cstheme="minorBidi"/>
          <w:kern w:val="2"/>
          <w:sz w:val="21"/>
          <w:szCs w:val="22"/>
        </w:rPr>
        <w:tab/>
      </w:r>
      <w:r>
        <w:rPr>
          <w:rStyle w:val="12"/>
          <w:rFonts w:hint="eastAsia"/>
        </w:rPr>
        <w:t>互操作性医疗器械的设计考虑事项</w:t>
      </w:r>
      <w:r>
        <w:tab/>
      </w:r>
      <w:r>
        <w:fldChar w:fldCharType="begin"/>
      </w:r>
      <w:r>
        <w:instrText xml:space="preserve"> PAGEREF _Toc97485691 \h </w:instrText>
      </w:r>
      <w:r>
        <w:fldChar w:fldCharType="separate"/>
      </w:r>
      <w:r>
        <w:t>5</w:t>
      </w:r>
      <w:r>
        <w:fldChar w:fldCharType="end"/>
      </w:r>
      <w:r>
        <w:fldChar w:fldCharType="end"/>
      </w:r>
    </w:p>
    <w:p w14:paraId="70BC1E14">
      <w:pPr>
        <w:pStyle w:val="9"/>
        <w:rPr>
          <w:rFonts w:asciiTheme="minorHAnsi" w:hAnsiTheme="minorHAnsi" w:eastAsiaTheme="minorEastAsia" w:cstheme="minorBidi"/>
          <w:kern w:val="2"/>
          <w:szCs w:val="22"/>
        </w:rPr>
      </w:pPr>
      <w:r>
        <w:fldChar w:fldCharType="begin"/>
      </w:r>
      <w:r>
        <w:instrText xml:space="preserve"> HYPERLINK \l "_Toc97485692" </w:instrText>
      </w:r>
      <w:r>
        <w:fldChar w:fldCharType="separate"/>
      </w:r>
      <w:r>
        <w:rPr>
          <w:rStyle w:val="12"/>
        </w:rPr>
        <w:t>A.</w:t>
      </w:r>
      <w:r>
        <w:rPr>
          <w:rFonts w:asciiTheme="minorHAnsi" w:hAnsiTheme="minorHAnsi" w:eastAsiaTheme="minorEastAsia" w:cstheme="minorBidi"/>
          <w:kern w:val="2"/>
          <w:szCs w:val="22"/>
        </w:rPr>
        <w:tab/>
      </w:r>
      <w:r>
        <w:rPr>
          <w:rStyle w:val="12"/>
          <w:rFonts w:hint="eastAsia"/>
        </w:rPr>
        <w:t>电子接口的用途</w:t>
      </w:r>
      <w:r>
        <w:tab/>
      </w:r>
      <w:r>
        <w:fldChar w:fldCharType="begin"/>
      </w:r>
      <w:r>
        <w:instrText xml:space="preserve"> PAGEREF _Toc97485692 \h </w:instrText>
      </w:r>
      <w:r>
        <w:fldChar w:fldCharType="separate"/>
      </w:r>
      <w:r>
        <w:t>6</w:t>
      </w:r>
      <w:r>
        <w:fldChar w:fldCharType="end"/>
      </w:r>
      <w:r>
        <w:fldChar w:fldCharType="end"/>
      </w:r>
    </w:p>
    <w:p w14:paraId="7BDAE158">
      <w:pPr>
        <w:pStyle w:val="9"/>
        <w:rPr>
          <w:rFonts w:asciiTheme="minorHAnsi" w:hAnsiTheme="minorHAnsi" w:eastAsiaTheme="minorEastAsia" w:cstheme="minorBidi"/>
          <w:kern w:val="2"/>
          <w:szCs w:val="22"/>
        </w:rPr>
      </w:pPr>
      <w:r>
        <w:fldChar w:fldCharType="begin"/>
      </w:r>
      <w:r>
        <w:instrText xml:space="preserve"> HYPERLINK \l "_Toc97485693" </w:instrText>
      </w:r>
      <w:r>
        <w:fldChar w:fldCharType="separate"/>
      </w:r>
      <w:r>
        <w:rPr>
          <w:rStyle w:val="12"/>
        </w:rPr>
        <w:t>B.</w:t>
      </w:r>
      <w:r>
        <w:rPr>
          <w:rFonts w:asciiTheme="minorHAnsi" w:hAnsiTheme="minorHAnsi" w:eastAsiaTheme="minorEastAsia" w:cstheme="minorBidi"/>
          <w:kern w:val="2"/>
          <w:szCs w:val="22"/>
        </w:rPr>
        <w:tab/>
      </w:r>
      <w:r>
        <w:rPr>
          <w:rStyle w:val="12"/>
          <w:rFonts w:hint="eastAsia"/>
        </w:rPr>
        <w:t>预期用户</w:t>
      </w:r>
      <w:r>
        <w:tab/>
      </w:r>
      <w:r>
        <w:fldChar w:fldCharType="begin"/>
      </w:r>
      <w:r>
        <w:instrText xml:space="preserve"> PAGEREF _Toc97485693 \h </w:instrText>
      </w:r>
      <w:r>
        <w:fldChar w:fldCharType="separate"/>
      </w:r>
      <w:r>
        <w:t>7</w:t>
      </w:r>
      <w:r>
        <w:fldChar w:fldCharType="end"/>
      </w:r>
      <w:r>
        <w:fldChar w:fldCharType="end"/>
      </w:r>
    </w:p>
    <w:p w14:paraId="1703E562">
      <w:pPr>
        <w:pStyle w:val="9"/>
        <w:rPr>
          <w:rFonts w:asciiTheme="minorHAnsi" w:hAnsiTheme="minorHAnsi" w:eastAsiaTheme="minorEastAsia" w:cstheme="minorBidi"/>
          <w:kern w:val="2"/>
          <w:szCs w:val="22"/>
        </w:rPr>
      </w:pPr>
      <w:r>
        <w:fldChar w:fldCharType="begin"/>
      </w:r>
      <w:r>
        <w:instrText xml:space="preserve"> HYPERLINK \l "_Toc97485694" </w:instrText>
      </w:r>
      <w:r>
        <w:fldChar w:fldCharType="separate"/>
      </w:r>
      <w:r>
        <w:rPr>
          <w:rStyle w:val="12"/>
        </w:rPr>
        <w:t>C.</w:t>
      </w:r>
      <w:r>
        <w:rPr>
          <w:rFonts w:asciiTheme="minorHAnsi" w:hAnsiTheme="minorHAnsi" w:eastAsiaTheme="minorEastAsia" w:cstheme="minorBidi"/>
          <w:kern w:val="2"/>
          <w:szCs w:val="22"/>
        </w:rPr>
        <w:tab/>
      </w:r>
      <w:r>
        <w:rPr>
          <w:rStyle w:val="12"/>
          <w:rFonts w:hint="eastAsia"/>
        </w:rPr>
        <w:t>风险管理考虑事项</w:t>
      </w:r>
      <w:r>
        <w:tab/>
      </w:r>
      <w:r>
        <w:fldChar w:fldCharType="begin"/>
      </w:r>
      <w:r>
        <w:instrText xml:space="preserve"> PAGEREF _Toc97485694 \h </w:instrText>
      </w:r>
      <w:r>
        <w:fldChar w:fldCharType="separate"/>
      </w:r>
      <w:r>
        <w:t>8</w:t>
      </w:r>
      <w:r>
        <w:fldChar w:fldCharType="end"/>
      </w:r>
      <w:r>
        <w:fldChar w:fldCharType="end"/>
      </w:r>
    </w:p>
    <w:p w14:paraId="0B83902F">
      <w:pPr>
        <w:pStyle w:val="9"/>
        <w:rPr>
          <w:rFonts w:asciiTheme="minorHAnsi" w:hAnsiTheme="minorHAnsi" w:eastAsiaTheme="minorEastAsia" w:cstheme="minorBidi"/>
          <w:kern w:val="2"/>
          <w:szCs w:val="22"/>
        </w:rPr>
      </w:pPr>
      <w:r>
        <w:fldChar w:fldCharType="begin"/>
      </w:r>
      <w:r>
        <w:instrText xml:space="preserve"> HYPERLINK \l "_Toc97485695" </w:instrText>
      </w:r>
      <w:r>
        <w:fldChar w:fldCharType="separate"/>
      </w:r>
      <w:r>
        <w:rPr>
          <w:rStyle w:val="12"/>
        </w:rPr>
        <w:t>D.</w:t>
      </w:r>
      <w:r>
        <w:rPr>
          <w:rFonts w:asciiTheme="minorHAnsi" w:hAnsiTheme="minorHAnsi" w:eastAsiaTheme="minorEastAsia" w:cstheme="minorBidi"/>
          <w:kern w:val="2"/>
          <w:szCs w:val="22"/>
        </w:rPr>
        <w:tab/>
      </w:r>
      <w:r>
        <w:rPr>
          <w:rStyle w:val="12"/>
          <w:rFonts w:hint="eastAsia"/>
        </w:rPr>
        <w:t>验证和确认考虑事项</w:t>
      </w:r>
      <w:r>
        <w:tab/>
      </w:r>
      <w:r>
        <w:fldChar w:fldCharType="begin"/>
      </w:r>
      <w:r>
        <w:instrText xml:space="preserve"> PAGEREF _Toc97485695 \h </w:instrText>
      </w:r>
      <w:r>
        <w:fldChar w:fldCharType="separate"/>
      </w:r>
      <w:r>
        <w:t>10</w:t>
      </w:r>
      <w:r>
        <w:fldChar w:fldCharType="end"/>
      </w:r>
      <w:r>
        <w:fldChar w:fldCharType="end"/>
      </w:r>
    </w:p>
    <w:p w14:paraId="513F1BA9">
      <w:pPr>
        <w:pStyle w:val="9"/>
        <w:rPr>
          <w:rFonts w:asciiTheme="minorHAnsi" w:hAnsiTheme="minorHAnsi" w:eastAsiaTheme="minorEastAsia" w:cstheme="minorBidi"/>
          <w:kern w:val="2"/>
          <w:szCs w:val="22"/>
        </w:rPr>
      </w:pPr>
      <w:r>
        <w:fldChar w:fldCharType="begin"/>
      </w:r>
      <w:r>
        <w:instrText xml:space="preserve"> HYPERLINK \l "_Toc97485696" </w:instrText>
      </w:r>
      <w:r>
        <w:fldChar w:fldCharType="separate"/>
      </w:r>
      <w:r>
        <w:rPr>
          <w:rStyle w:val="12"/>
        </w:rPr>
        <w:t>E.</w:t>
      </w:r>
      <w:r>
        <w:rPr>
          <w:rFonts w:asciiTheme="minorHAnsi" w:hAnsiTheme="minorHAnsi" w:eastAsiaTheme="minorEastAsia" w:cstheme="minorBidi"/>
          <w:kern w:val="2"/>
          <w:szCs w:val="22"/>
        </w:rPr>
        <w:tab/>
      </w:r>
      <w:r>
        <w:rPr>
          <w:rStyle w:val="12"/>
          <w:rFonts w:hint="eastAsia"/>
        </w:rPr>
        <w:t>标记考虑事项</w:t>
      </w:r>
      <w:r>
        <w:tab/>
      </w:r>
      <w:r>
        <w:fldChar w:fldCharType="begin"/>
      </w:r>
      <w:r>
        <w:instrText xml:space="preserve"> PAGEREF _Toc97485696 \h </w:instrText>
      </w:r>
      <w:r>
        <w:fldChar w:fldCharType="separate"/>
      </w:r>
      <w:r>
        <w:t>11</w:t>
      </w:r>
      <w:r>
        <w:fldChar w:fldCharType="end"/>
      </w:r>
      <w:r>
        <w:fldChar w:fldCharType="end"/>
      </w:r>
    </w:p>
    <w:p w14:paraId="7D151242">
      <w:pPr>
        <w:pStyle w:val="9"/>
        <w:rPr>
          <w:rFonts w:asciiTheme="minorHAnsi" w:hAnsiTheme="minorHAnsi" w:eastAsiaTheme="minorEastAsia" w:cstheme="minorBidi"/>
          <w:kern w:val="2"/>
          <w:szCs w:val="22"/>
        </w:rPr>
      </w:pPr>
      <w:r>
        <w:fldChar w:fldCharType="begin"/>
      </w:r>
      <w:r>
        <w:instrText xml:space="preserve"> HYPERLINK \l "_Toc97485697" </w:instrText>
      </w:r>
      <w:r>
        <w:fldChar w:fldCharType="separate"/>
      </w:r>
      <w:r>
        <w:rPr>
          <w:rStyle w:val="12"/>
        </w:rPr>
        <w:t>F.</w:t>
      </w:r>
      <w:r>
        <w:rPr>
          <w:rFonts w:asciiTheme="minorHAnsi" w:hAnsiTheme="minorHAnsi" w:eastAsiaTheme="minorEastAsia" w:cstheme="minorBidi"/>
          <w:kern w:val="2"/>
          <w:szCs w:val="22"/>
        </w:rPr>
        <w:tab/>
      </w:r>
      <w:r>
        <w:rPr>
          <w:rStyle w:val="12"/>
          <w:rFonts w:hint="eastAsia"/>
        </w:rPr>
        <w:t>共识标准的使用</w:t>
      </w:r>
      <w:r>
        <w:tab/>
      </w:r>
      <w:r>
        <w:fldChar w:fldCharType="begin"/>
      </w:r>
      <w:r>
        <w:instrText xml:space="preserve"> PAGEREF _Toc97485697 \h </w:instrText>
      </w:r>
      <w:r>
        <w:fldChar w:fldCharType="separate"/>
      </w:r>
      <w:r>
        <w:t>12</w:t>
      </w:r>
      <w:r>
        <w:fldChar w:fldCharType="end"/>
      </w:r>
      <w:r>
        <w:fldChar w:fldCharType="end"/>
      </w:r>
    </w:p>
    <w:p w14:paraId="2C6A7573">
      <w:pPr>
        <w:pStyle w:val="7"/>
        <w:rPr>
          <w:rFonts w:asciiTheme="minorHAnsi" w:hAnsiTheme="minorHAnsi" w:eastAsiaTheme="minorEastAsia" w:cstheme="minorBidi"/>
          <w:kern w:val="2"/>
          <w:sz w:val="21"/>
          <w:szCs w:val="22"/>
        </w:rPr>
      </w:pPr>
      <w:r>
        <w:fldChar w:fldCharType="begin"/>
      </w:r>
      <w:r>
        <w:instrText xml:space="preserve"> HYPERLINK \l "_Toc97485698" </w:instrText>
      </w:r>
      <w:r>
        <w:fldChar w:fldCharType="separate"/>
      </w:r>
      <w:r>
        <w:rPr>
          <w:rStyle w:val="12"/>
        </w:rPr>
        <w:t>VI.</w:t>
      </w:r>
      <w:r>
        <w:rPr>
          <w:rFonts w:asciiTheme="minorHAnsi" w:hAnsiTheme="minorHAnsi" w:eastAsiaTheme="minorEastAsia" w:cstheme="minorBidi"/>
          <w:kern w:val="2"/>
          <w:sz w:val="21"/>
          <w:szCs w:val="22"/>
        </w:rPr>
        <w:tab/>
      </w:r>
      <w:r>
        <w:rPr>
          <w:rStyle w:val="12"/>
          <w:rFonts w:hint="eastAsia"/>
        </w:rPr>
        <w:t>上市前申报资料内容的建议</w:t>
      </w:r>
      <w:r>
        <w:tab/>
      </w:r>
      <w:r>
        <w:fldChar w:fldCharType="begin"/>
      </w:r>
      <w:r>
        <w:instrText xml:space="preserve"> PAGEREF _Toc97485698 \h </w:instrText>
      </w:r>
      <w:r>
        <w:fldChar w:fldCharType="separate"/>
      </w:r>
      <w:r>
        <w:t>12</w:t>
      </w:r>
      <w:r>
        <w:fldChar w:fldCharType="end"/>
      </w:r>
      <w:r>
        <w:fldChar w:fldCharType="end"/>
      </w:r>
    </w:p>
    <w:p w14:paraId="0B287FD7">
      <w:pPr>
        <w:pStyle w:val="9"/>
        <w:rPr>
          <w:rFonts w:asciiTheme="minorHAnsi" w:hAnsiTheme="minorHAnsi" w:eastAsiaTheme="minorEastAsia" w:cstheme="minorBidi"/>
          <w:kern w:val="2"/>
          <w:szCs w:val="22"/>
        </w:rPr>
      </w:pPr>
      <w:r>
        <w:fldChar w:fldCharType="begin"/>
      </w:r>
      <w:r>
        <w:instrText xml:space="preserve"> HYPERLINK \l "_Toc97485699" </w:instrText>
      </w:r>
      <w:r>
        <w:fldChar w:fldCharType="separate"/>
      </w:r>
      <w:r>
        <w:rPr>
          <w:rStyle w:val="12"/>
        </w:rPr>
        <w:t>A.</w:t>
      </w:r>
      <w:r>
        <w:rPr>
          <w:rFonts w:asciiTheme="minorHAnsi" w:hAnsiTheme="minorHAnsi" w:eastAsiaTheme="minorEastAsia" w:cstheme="minorBidi"/>
          <w:kern w:val="2"/>
          <w:szCs w:val="22"/>
        </w:rPr>
        <w:tab/>
      </w:r>
      <w:r>
        <w:rPr>
          <w:rStyle w:val="12"/>
          <w:rFonts w:hint="eastAsia"/>
        </w:rPr>
        <w:t>器械描述</w:t>
      </w:r>
      <w:r>
        <w:tab/>
      </w:r>
      <w:r>
        <w:fldChar w:fldCharType="begin"/>
      </w:r>
      <w:r>
        <w:instrText xml:space="preserve"> PAGEREF _Toc97485699 \h </w:instrText>
      </w:r>
      <w:r>
        <w:fldChar w:fldCharType="separate"/>
      </w:r>
      <w:r>
        <w:t>13</w:t>
      </w:r>
      <w:r>
        <w:fldChar w:fldCharType="end"/>
      </w:r>
      <w:r>
        <w:fldChar w:fldCharType="end"/>
      </w:r>
    </w:p>
    <w:p w14:paraId="2BBD2463">
      <w:pPr>
        <w:pStyle w:val="9"/>
        <w:rPr>
          <w:rFonts w:asciiTheme="minorHAnsi" w:hAnsiTheme="minorHAnsi" w:eastAsiaTheme="minorEastAsia" w:cstheme="minorBidi"/>
          <w:kern w:val="2"/>
          <w:szCs w:val="22"/>
        </w:rPr>
      </w:pPr>
      <w:r>
        <w:fldChar w:fldCharType="begin"/>
      </w:r>
      <w:r>
        <w:instrText xml:space="preserve"> HYPERLINK \l "_Toc97485700" </w:instrText>
      </w:r>
      <w:r>
        <w:fldChar w:fldCharType="separate"/>
      </w:r>
      <w:r>
        <w:rPr>
          <w:rStyle w:val="12"/>
        </w:rPr>
        <w:t>B.</w:t>
      </w:r>
      <w:r>
        <w:rPr>
          <w:rFonts w:asciiTheme="minorHAnsi" w:hAnsiTheme="minorHAnsi" w:eastAsiaTheme="minorEastAsia" w:cstheme="minorBidi"/>
          <w:kern w:val="2"/>
          <w:szCs w:val="22"/>
        </w:rPr>
        <w:tab/>
      </w:r>
      <w:r>
        <w:rPr>
          <w:rStyle w:val="12"/>
          <w:rFonts w:hint="eastAsia"/>
        </w:rPr>
        <w:t>风险分析</w:t>
      </w:r>
      <w:r>
        <w:tab/>
      </w:r>
      <w:r>
        <w:fldChar w:fldCharType="begin"/>
      </w:r>
      <w:r>
        <w:instrText xml:space="preserve"> PAGEREF _Toc97485700 \h </w:instrText>
      </w:r>
      <w:r>
        <w:fldChar w:fldCharType="separate"/>
      </w:r>
      <w:r>
        <w:t>14</w:t>
      </w:r>
      <w:r>
        <w:fldChar w:fldCharType="end"/>
      </w:r>
      <w:r>
        <w:fldChar w:fldCharType="end"/>
      </w:r>
    </w:p>
    <w:p w14:paraId="1229B62C">
      <w:pPr>
        <w:pStyle w:val="9"/>
        <w:rPr>
          <w:rFonts w:asciiTheme="minorHAnsi" w:hAnsiTheme="minorHAnsi" w:eastAsiaTheme="minorEastAsia" w:cstheme="minorBidi"/>
          <w:kern w:val="2"/>
          <w:szCs w:val="22"/>
        </w:rPr>
      </w:pPr>
      <w:r>
        <w:fldChar w:fldCharType="begin"/>
      </w:r>
      <w:r>
        <w:instrText xml:space="preserve"> HYPERLINK \l "_Toc97485701" </w:instrText>
      </w:r>
      <w:r>
        <w:fldChar w:fldCharType="separate"/>
      </w:r>
      <w:r>
        <w:rPr>
          <w:rStyle w:val="12"/>
        </w:rPr>
        <w:t>C.</w:t>
      </w:r>
      <w:r>
        <w:rPr>
          <w:rFonts w:asciiTheme="minorHAnsi" w:hAnsiTheme="minorHAnsi" w:eastAsiaTheme="minorEastAsia" w:cstheme="minorBidi"/>
          <w:kern w:val="2"/>
          <w:szCs w:val="22"/>
        </w:rPr>
        <w:tab/>
      </w:r>
      <w:r>
        <w:rPr>
          <w:rStyle w:val="12"/>
          <w:rFonts w:hint="eastAsia"/>
        </w:rPr>
        <w:t>验证和确认</w:t>
      </w:r>
      <w:r>
        <w:tab/>
      </w:r>
      <w:r>
        <w:fldChar w:fldCharType="begin"/>
      </w:r>
      <w:r>
        <w:instrText xml:space="preserve"> PAGEREF _Toc97485701 \h </w:instrText>
      </w:r>
      <w:r>
        <w:fldChar w:fldCharType="separate"/>
      </w:r>
      <w:r>
        <w:t>15</w:t>
      </w:r>
      <w:r>
        <w:fldChar w:fldCharType="end"/>
      </w:r>
      <w:r>
        <w:fldChar w:fldCharType="end"/>
      </w:r>
    </w:p>
    <w:p w14:paraId="653E5F0B">
      <w:pPr>
        <w:pStyle w:val="9"/>
        <w:rPr>
          <w:rFonts w:asciiTheme="minorHAnsi" w:hAnsiTheme="minorHAnsi" w:eastAsiaTheme="minorEastAsia" w:cstheme="minorBidi"/>
          <w:kern w:val="2"/>
          <w:szCs w:val="22"/>
        </w:rPr>
      </w:pPr>
      <w:r>
        <w:fldChar w:fldCharType="begin"/>
      </w:r>
      <w:r>
        <w:instrText xml:space="preserve"> HYPERLINK \l "_Toc97485702" </w:instrText>
      </w:r>
      <w:r>
        <w:fldChar w:fldCharType="separate"/>
      </w:r>
      <w:r>
        <w:rPr>
          <w:rStyle w:val="12"/>
        </w:rPr>
        <w:t>D.</w:t>
      </w:r>
      <w:r>
        <w:rPr>
          <w:rFonts w:asciiTheme="minorHAnsi" w:hAnsiTheme="minorHAnsi" w:eastAsiaTheme="minorEastAsia" w:cstheme="minorBidi"/>
          <w:kern w:val="2"/>
          <w:szCs w:val="22"/>
        </w:rPr>
        <w:tab/>
      </w:r>
      <w:r>
        <w:rPr>
          <w:rStyle w:val="12"/>
          <w:rFonts w:hint="eastAsia"/>
        </w:rPr>
        <w:t>标记</w:t>
      </w:r>
      <w:r>
        <w:tab/>
      </w:r>
      <w:r>
        <w:fldChar w:fldCharType="begin"/>
      </w:r>
      <w:r>
        <w:instrText xml:space="preserve"> PAGEREF _Toc97485702 \h </w:instrText>
      </w:r>
      <w:r>
        <w:fldChar w:fldCharType="separate"/>
      </w:r>
      <w:r>
        <w:t>16</w:t>
      </w:r>
      <w:r>
        <w:fldChar w:fldCharType="end"/>
      </w:r>
      <w:r>
        <w:fldChar w:fldCharType="end"/>
      </w:r>
    </w:p>
    <w:p w14:paraId="24D11784">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r>
        <w:rPr>
          <w:rFonts w:eastAsia="宋体"/>
          <w:b/>
          <w:sz w:val="21"/>
          <w:szCs w:val="21"/>
        </w:rPr>
        <w:fldChar w:fldCharType="end"/>
      </w:r>
    </w:p>
    <w:p w14:paraId="047FF9B9">
      <w:pPr>
        <w:pStyle w:val="17"/>
        <w:jc w:val="center"/>
        <w:rPr>
          <w:rFonts w:eastAsia="宋体"/>
          <w:sz w:val="60"/>
          <w:szCs w:val="60"/>
        </w:rPr>
      </w:pPr>
      <w:r>
        <w:rPr>
          <w:rFonts w:eastAsia="宋体"/>
          <w:b/>
          <w:bCs/>
          <w:sz w:val="60"/>
          <w:szCs w:val="60"/>
        </w:rPr>
        <w:t>互操作性医疗器械的设计考虑事项和上市前申报资料建议</w:t>
      </w:r>
    </w:p>
    <w:p w14:paraId="3C9BEEB9">
      <w:pPr>
        <w:pStyle w:val="17"/>
        <w:pBdr>
          <w:bottom w:val="single" w:color="auto" w:sz="4" w:space="1"/>
        </w:pBdr>
        <w:jc w:val="center"/>
        <w:rPr>
          <w:rFonts w:eastAsia="宋体"/>
          <w:b/>
          <w:bCs/>
          <w:sz w:val="21"/>
          <w:szCs w:val="21"/>
        </w:rPr>
      </w:pPr>
    </w:p>
    <w:p w14:paraId="4521F1BE">
      <w:pPr>
        <w:pStyle w:val="17"/>
        <w:jc w:val="center"/>
        <w:rPr>
          <w:rFonts w:eastAsia="宋体"/>
          <w:sz w:val="48"/>
          <w:szCs w:val="48"/>
        </w:rPr>
      </w:pPr>
      <w:r>
        <w:rPr>
          <w:rFonts w:eastAsia="宋体"/>
          <w:b/>
          <w:bCs/>
          <w:sz w:val="48"/>
          <w:szCs w:val="48"/>
        </w:rPr>
        <w:t>行业指南和</w:t>
      </w:r>
    </w:p>
    <w:p w14:paraId="4243EB40">
      <w:pPr>
        <w:shd w:val="clear" w:color="auto" w:fill="FFFFFF"/>
        <w:snapToGrid w:val="0"/>
        <w:jc w:val="center"/>
        <w:rPr>
          <w:rFonts w:eastAsia="宋体"/>
          <w:b/>
          <w:bCs/>
          <w:sz w:val="48"/>
          <w:szCs w:val="48"/>
        </w:rPr>
      </w:pPr>
      <w:r>
        <w:rPr>
          <w:rFonts w:eastAsia="宋体"/>
          <w:b/>
          <w:bCs/>
          <w:sz w:val="48"/>
          <w:szCs w:val="48"/>
        </w:rPr>
        <w:t>美国食品药品监督管理局工作人员</w:t>
      </w:r>
    </w:p>
    <w:p w14:paraId="42A4DF4D">
      <w:pPr>
        <w:shd w:val="clear" w:color="auto" w:fill="FFFFFF"/>
        <w:snapToGrid w:val="0"/>
        <w:jc w:val="both"/>
        <w:rPr>
          <w:rFonts w:eastAsia="宋体"/>
          <w:b/>
          <w:bCs/>
          <w:i/>
          <w:iCs/>
          <w:color w:val="000000"/>
          <w:sz w:val="21"/>
          <w:szCs w:val="21"/>
        </w:rPr>
      </w:pPr>
    </w:p>
    <w:p w14:paraId="7CDBE1BC">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r>
        <w:rPr>
          <w:rFonts w:hint="eastAsia" w:eastAsia="宋体"/>
          <w:b/>
          <w:bCs/>
          <w:i/>
          <w:iCs/>
          <w:color w:val="000000"/>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bookmarkStart w:id="0" w:name="bookmark0"/>
      <w:bookmarkStart w:id="1" w:name="_Toc97485687"/>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1A6FDD37">
      <w:pPr>
        <w:shd w:val="clear" w:color="auto" w:fill="FFFFFF"/>
        <w:snapToGrid w:val="0"/>
        <w:jc w:val="both"/>
        <w:rPr>
          <w:rFonts w:eastAsia="宋体"/>
          <w:color w:val="000000"/>
          <w:sz w:val="24"/>
          <w:szCs w:val="24"/>
        </w:rPr>
      </w:pPr>
      <w:r>
        <w:rPr>
          <w:rFonts w:eastAsia="宋体"/>
          <w:color w:val="000000"/>
          <w:sz w:val="24"/>
          <w:szCs w:val="24"/>
        </w:rPr>
        <w:t>随着电子医疗器械彼此之间以及与其他技术之间的连接越来越紧密，这些连接系统安全有效地交换</w:t>
      </w:r>
      <w:r>
        <w:rPr>
          <w:rFonts w:hint="eastAsia" w:eastAsia="宋体"/>
          <w:color w:val="000000"/>
          <w:sz w:val="24"/>
          <w:szCs w:val="24"/>
        </w:rPr>
        <w:t>信息</w:t>
      </w:r>
      <w:r>
        <w:rPr>
          <w:rFonts w:eastAsia="宋体"/>
          <w:color w:val="000000"/>
          <w:sz w:val="24"/>
          <w:szCs w:val="24"/>
        </w:rPr>
        <w:t>和使用</w:t>
      </w:r>
      <w:r>
        <w:rPr>
          <w:rFonts w:hint="eastAsia" w:eastAsia="宋体"/>
          <w:color w:val="000000"/>
          <w:sz w:val="24"/>
          <w:szCs w:val="24"/>
        </w:rPr>
        <w:t>该</w:t>
      </w:r>
      <w:r>
        <w:rPr>
          <w:rFonts w:eastAsia="宋体"/>
          <w:color w:val="000000"/>
          <w:sz w:val="24"/>
          <w:szCs w:val="24"/>
        </w:rPr>
        <w:t>信息的能力变得越来越重要。提高医疗器械与其他医疗器械以及其他技术安全有效地交换和使用信息的能力，</w:t>
      </w:r>
      <w:r>
        <w:rPr>
          <w:rFonts w:hint="eastAsia" w:eastAsia="宋体"/>
          <w:color w:val="000000"/>
          <w:sz w:val="24"/>
          <w:szCs w:val="24"/>
        </w:rPr>
        <w:t>可潜在地</w:t>
      </w:r>
      <w:r>
        <w:rPr>
          <w:rFonts w:eastAsia="宋体"/>
          <w:color w:val="000000"/>
          <w:sz w:val="24"/>
          <w:szCs w:val="24"/>
        </w:rPr>
        <w:t>提高</w:t>
      </w:r>
      <w:r>
        <w:rPr>
          <w:rFonts w:hint="eastAsia" w:eastAsia="宋体"/>
          <w:color w:val="000000"/>
          <w:sz w:val="24"/>
          <w:szCs w:val="24"/>
        </w:rPr>
        <w:t>照护</w:t>
      </w:r>
      <w:r>
        <w:rPr>
          <w:rFonts w:eastAsia="宋体"/>
          <w:color w:val="000000"/>
          <w:sz w:val="24"/>
          <w:szCs w:val="24"/>
        </w:rPr>
        <w:t>患者的效率。</w:t>
      </w:r>
    </w:p>
    <w:p w14:paraId="50863A75">
      <w:pPr>
        <w:shd w:val="clear" w:color="auto" w:fill="FFFFFF"/>
        <w:snapToGrid w:val="0"/>
        <w:jc w:val="both"/>
        <w:rPr>
          <w:rFonts w:eastAsia="宋体"/>
          <w:sz w:val="24"/>
          <w:szCs w:val="24"/>
        </w:rPr>
      </w:pPr>
    </w:p>
    <w:p w14:paraId="487D6C2D">
      <w:pPr>
        <w:shd w:val="clear" w:color="auto" w:fill="FFFFFF"/>
        <w:snapToGrid w:val="0"/>
        <w:jc w:val="both"/>
        <w:rPr>
          <w:rFonts w:eastAsia="宋体"/>
          <w:color w:val="000000"/>
          <w:sz w:val="24"/>
          <w:szCs w:val="24"/>
        </w:rPr>
      </w:pPr>
      <w:r>
        <w:rPr>
          <w:rFonts w:eastAsia="宋体"/>
          <w:color w:val="000000"/>
          <w:sz w:val="24"/>
          <w:szCs w:val="24"/>
        </w:rPr>
        <w:t>FDA拟促进安全有效的互操作性医疗器械的开发和可用性。FDA发布本指南是为了帮助行业和FDA工作人员确定与电子医疗器械安全有效地交换信息和使用交换信息能力相关的具体考虑事项。本文件强调了在开发和设计互操作性医疗器械时应纳入的考虑事项，并就此类器械上市前申报资料的内容和</w:t>
      </w:r>
      <w:r>
        <w:rPr>
          <w:rFonts w:hint="eastAsia" w:eastAsia="宋体"/>
          <w:color w:val="000000"/>
          <w:sz w:val="24"/>
          <w:szCs w:val="24"/>
        </w:rPr>
        <w:t>标记</w:t>
      </w:r>
      <w:r>
        <w:rPr>
          <w:rFonts w:eastAsia="宋体"/>
          <w:color w:val="000000"/>
          <w:sz w:val="24"/>
          <w:szCs w:val="24"/>
        </w:rPr>
        <w:t>提供了建议。</w:t>
      </w:r>
    </w:p>
    <w:p w14:paraId="0EABD3BE">
      <w:pPr>
        <w:shd w:val="clear" w:color="auto" w:fill="FFFFFF"/>
        <w:snapToGrid w:val="0"/>
        <w:jc w:val="both"/>
        <w:rPr>
          <w:rFonts w:eastAsia="宋体"/>
          <w:sz w:val="24"/>
          <w:szCs w:val="24"/>
        </w:rPr>
      </w:pPr>
    </w:p>
    <w:p w14:paraId="70E6C7E2">
      <w:pPr>
        <w:shd w:val="clear" w:color="auto" w:fill="FFFFFF"/>
        <w:snapToGrid w:val="0"/>
        <w:jc w:val="both"/>
        <w:rPr>
          <w:rFonts w:eastAsia="宋体"/>
          <w:color w:val="000000"/>
          <w:sz w:val="24"/>
          <w:szCs w:val="24"/>
        </w:rPr>
      </w:pPr>
      <w:r>
        <w:rPr>
          <w:rFonts w:eastAsia="宋体"/>
          <w:color w:val="000000"/>
          <w:sz w:val="24"/>
          <w:szCs w:val="24"/>
        </w:rPr>
        <w:t>有关本文件中FDA认可引用的标准的最新版本，请参见FDA认可的共识标准数据库，网站：</w:t>
      </w:r>
    </w:p>
    <w:p w14:paraId="608F1B37">
      <w:pPr>
        <w:shd w:val="clear" w:color="auto" w:fill="FFFFFF"/>
        <w:snapToGrid w:val="0"/>
        <w:jc w:val="both"/>
        <w:rPr>
          <w:rFonts w:eastAsia="宋体"/>
          <w:sz w:val="24"/>
          <w:szCs w:val="24"/>
        </w:rPr>
      </w:pPr>
      <w:r>
        <w:rPr>
          <w:rFonts w:eastAsia="宋体"/>
          <w:color w:val="0000FF"/>
          <w:sz w:val="24"/>
          <w:szCs w:val="24"/>
          <w:u w:val="single"/>
        </w:rPr>
        <w:t>http://www.accessdata.fda.gov/scripts/cdrh/cfdocs/cfStandards/search.cfm</w:t>
      </w:r>
      <w:r>
        <w:rPr>
          <w:rFonts w:eastAsia="宋体"/>
          <w:color w:val="000000"/>
          <w:sz w:val="24"/>
          <w:szCs w:val="24"/>
        </w:rPr>
        <w:t>.</w:t>
      </w:r>
      <w:r>
        <w:rPr>
          <w:rFonts w:ascii="宋体" w:hAnsi="宋体" w:eastAsia="宋体"/>
          <w:color w:val="000000"/>
          <w:sz w:val="24"/>
          <w:szCs w:val="24"/>
        </w:rPr>
        <w:t>”</w:t>
      </w:r>
    </w:p>
    <w:p w14:paraId="6D13FF65">
      <w:pPr>
        <w:shd w:val="clear" w:color="auto" w:fill="FFFFFF"/>
        <w:snapToGrid w:val="0"/>
        <w:jc w:val="both"/>
        <w:rPr>
          <w:rFonts w:eastAsia="宋体"/>
          <w:sz w:val="21"/>
          <w:szCs w:val="21"/>
        </w:rPr>
      </w:pPr>
    </w:p>
    <w:p w14:paraId="3339AD8B">
      <w:pPr>
        <w:shd w:val="clear" w:color="auto" w:fill="FFFFFF"/>
        <w:snapToGrid w:val="0"/>
        <w:jc w:val="both"/>
        <w:rPr>
          <w:rFonts w:eastAsia="宋体"/>
          <w:sz w:val="21"/>
          <w:szCs w:val="21"/>
        </w:rPr>
        <w:sectPr>
          <w:footerReference r:id="rId5" w:type="default"/>
          <w:pgSz w:w="11906" w:h="16838"/>
          <w:pgMar w:top="1134" w:right="1417" w:bottom="1134" w:left="1417" w:header="850" w:footer="720" w:gutter="0"/>
          <w:pgNumType w:start="1"/>
          <w:cols w:space="60" w:num="1"/>
          <w:docGrid w:linePitch="272" w:charSpace="0"/>
        </w:sectPr>
      </w:pPr>
    </w:p>
    <w:p w14:paraId="46C37E0B">
      <w:pPr>
        <w:shd w:val="clear" w:color="auto" w:fill="FFFFFF"/>
        <w:snapToGrid w:val="0"/>
        <w:jc w:val="both"/>
        <w:rPr>
          <w:rFonts w:eastAsia="宋体"/>
          <w:color w:val="000000"/>
          <w:sz w:val="24"/>
          <w:szCs w:val="24"/>
        </w:rPr>
      </w:pPr>
      <w:r>
        <w:rPr>
          <w:rFonts w:eastAsia="宋体"/>
          <w:color w:val="000000"/>
          <w:sz w:val="24"/>
          <w:szCs w:val="24"/>
        </w:rPr>
        <w:t>FDA</w:t>
      </w:r>
      <w:r>
        <w:rPr>
          <w:rFonts w:hint="eastAsia" w:eastAsia="宋体"/>
          <w:color w:val="000000"/>
          <w:sz w:val="24"/>
          <w:szCs w:val="24"/>
        </w:rPr>
        <w:t>识别</w:t>
      </w:r>
      <w:r>
        <w:rPr>
          <w:rFonts w:eastAsia="宋体"/>
          <w:color w:val="000000"/>
          <w:sz w:val="24"/>
          <w:szCs w:val="24"/>
        </w:rPr>
        <w:t>并预期</w:t>
      </w:r>
      <w:r>
        <w:rPr>
          <w:rFonts w:hint="eastAsia" w:eastAsia="宋体"/>
          <w:color w:val="000000"/>
          <w:sz w:val="24"/>
          <w:szCs w:val="24"/>
        </w:rPr>
        <w:t>F</w:t>
      </w:r>
      <w:r>
        <w:rPr>
          <w:rFonts w:eastAsia="宋体"/>
          <w:color w:val="000000"/>
          <w:sz w:val="24"/>
          <w:szCs w:val="24"/>
        </w:rPr>
        <w:t>DA和行业可能需要多达60天的时间来实施指南内的政策。如果在发布本指南60天之前或不超过60天时FDA收到的上市前申报资料中不包括本指南中概述的有关器械互操作性的信息，那么CDRH工作人员在审评申报资料期间一般不会要求提供此类信息。然而，</w:t>
      </w:r>
      <w:r>
        <w:rPr>
          <w:rFonts w:hint="eastAsia" w:eastAsia="宋体"/>
          <w:color w:val="000000"/>
          <w:sz w:val="24"/>
          <w:szCs w:val="24"/>
        </w:rPr>
        <w:t>如递交，</w:t>
      </w:r>
      <w:r>
        <w:rPr>
          <w:rFonts w:eastAsia="宋体"/>
          <w:color w:val="000000"/>
          <w:sz w:val="24"/>
          <w:szCs w:val="24"/>
        </w:rPr>
        <w:t>CDRH确实</w:t>
      </w:r>
      <w:r>
        <w:rPr>
          <w:rFonts w:hint="eastAsia" w:eastAsia="宋体"/>
          <w:color w:val="000000"/>
          <w:sz w:val="24"/>
          <w:szCs w:val="24"/>
        </w:rPr>
        <w:t>会</w:t>
      </w:r>
      <w:r>
        <w:rPr>
          <w:rFonts w:eastAsia="宋体"/>
          <w:color w:val="000000"/>
          <w:sz w:val="24"/>
          <w:szCs w:val="24"/>
        </w:rPr>
        <w:t>审查任何此类</w:t>
      </w:r>
      <w:r>
        <w:rPr>
          <w:rFonts w:hint="eastAsia" w:eastAsia="宋体"/>
          <w:color w:val="000000"/>
          <w:sz w:val="24"/>
          <w:szCs w:val="24"/>
        </w:rPr>
        <w:t>相关</w:t>
      </w:r>
      <w:r>
        <w:rPr>
          <w:rFonts w:eastAsia="宋体"/>
          <w:color w:val="000000"/>
          <w:sz w:val="24"/>
          <w:szCs w:val="24"/>
        </w:rPr>
        <w:t>信息。</w:t>
      </w:r>
    </w:p>
    <w:p w14:paraId="54C74FF3">
      <w:pPr>
        <w:shd w:val="clear" w:color="auto" w:fill="FFFFFF"/>
        <w:snapToGrid w:val="0"/>
        <w:jc w:val="both"/>
        <w:rPr>
          <w:rFonts w:eastAsia="宋体"/>
          <w:sz w:val="24"/>
          <w:szCs w:val="24"/>
        </w:rPr>
      </w:pPr>
    </w:p>
    <w:p w14:paraId="7D5302F4">
      <w:pPr>
        <w:shd w:val="clear" w:color="auto" w:fill="FFFFFF"/>
        <w:snapToGrid w:val="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eastAsia="宋体"/>
          <w:i/>
          <w:iCs/>
          <w:color w:val="000000"/>
          <w:sz w:val="24"/>
          <w:szCs w:val="24"/>
        </w:rPr>
        <w:t>应该（should）</w:t>
      </w:r>
      <w:r>
        <w:rPr>
          <w:rFonts w:hint="eastAsia" w:eastAsia="宋体"/>
          <w:color w:val="000000"/>
          <w:sz w:val="24"/>
          <w:szCs w:val="24"/>
        </w:rPr>
        <w:t>”一词指建议或推荐进行某一事项，并非强制要求。</w:t>
      </w:r>
    </w:p>
    <w:p w14:paraId="74A53722">
      <w:pPr>
        <w:pStyle w:val="2"/>
        <w:spacing w:before="240" w:after="240"/>
        <w:ind w:left="632" w:hanging="632"/>
        <w:rPr>
          <w:rFonts w:eastAsia="宋体"/>
        </w:rPr>
      </w:pPr>
      <w:bookmarkStart w:id="2" w:name="bookmark1"/>
      <w:bookmarkStart w:id="3" w:name="_Toc97485688"/>
      <w:r>
        <w:rPr>
          <w:rFonts w:eastAsia="宋体"/>
        </w:rPr>
        <w:t>I</w:t>
      </w:r>
      <w:bookmarkEnd w:id="2"/>
      <w:r>
        <w:rPr>
          <w:rFonts w:eastAsia="宋体"/>
        </w:rPr>
        <w:t>I.</w:t>
      </w:r>
      <w:r>
        <w:rPr>
          <w:rFonts w:eastAsia="宋体"/>
        </w:rPr>
        <w:tab/>
      </w:r>
      <w:r>
        <w:rPr>
          <w:rFonts w:eastAsia="宋体"/>
        </w:rPr>
        <w:t>背景</w:t>
      </w:r>
      <w:bookmarkEnd w:id="3"/>
    </w:p>
    <w:p w14:paraId="01411428">
      <w:pPr>
        <w:shd w:val="clear" w:color="auto" w:fill="FFFFFF"/>
        <w:snapToGrid w:val="0"/>
        <w:jc w:val="both"/>
        <w:rPr>
          <w:rFonts w:eastAsia="宋体"/>
          <w:color w:val="221E1F"/>
          <w:sz w:val="24"/>
          <w:szCs w:val="24"/>
        </w:rPr>
      </w:pPr>
      <w:r>
        <w:rPr>
          <w:rFonts w:eastAsia="宋体"/>
          <w:color w:val="000000"/>
          <w:sz w:val="24"/>
          <w:szCs w:val="24"/>
        </w:rPr>
        <w:t>在医疗保健界，将医疗器械以及其他产品、技术和系统相互连接的需求和意愿正在增长。这种可能包括医疗器械在内的各种产品或系统的相互连结性多被表征为</w:t>
      </w:r>
      <w:r>
        <w:rPr>
          <w:rFonts w:ascii="宋体" w:hAnsi="宋体" w:eastAsia="宋体"/>
          <w:color w:val="000000"/>
          <w:sz w:val="24"/>
          <w:szCs w:val="24"/>
        </w:rPr>
        <w:t>“</w:t>
      </w:r>
      <w:r>
        <w:rPr>
          <w:rFonts w:eastAsia="宋体"/>
          <w:color w:val="000000"/>
          <w:sz w:val="24"/>
          <w:szCs w:val="24"/>
        </w:rPr>
        <w:t>互操作性</w:t>
      </w:r>
      <w:r>
        <w:rPr>
          <w:rFonts w:ascii="宋体" w:hAnsi="宋体" w:eastAsia="宋体"/>
          <w:color w:val="000000"/>
          <w:sz w:val="24"/>
          <w:szCs w:val="24"/>
        </w:rPr>
        <w:t>”</w:t>
      </w:r>
      <w:r>
        <w:rPr>
          <w:rFonts w:eastAsia="宋体"/>
          <w:color w:val="000000"/>
          <w:sz w:val="24"/>
          <w:szCs w:val="24"/>
        </w:rPr>
        <w:t>。</w:t>
      </w:r>
      <w:r>
        <w:rPr>
          <w:rStyle w:val="13"/>
          <w:rFonts w:eastAsia="宋体"/>
          <w:sz w:val="24"/>
          <w:szCs w:val="24"/>
        </w:rPr>
        <w:t xml:space="preserve"> </w:t>
      </w:r>
      <w:r>
        <w:rPr>
          <w:rStyle w:val="13"/>
          <w:rFonts w:eastAsia="宋体"/>
          <w:sz w:val="24"/>
          <w:szCs w:val="24"/>
        </w:rPr>
        <w:footnoteReference w:id="0"/>
      </w:r>
      <w:r>
        <w:rPr>
          <w:rFonts w:eastAsia="宋体"/>
          <w:color w:val="000000"/>
          <w:sz w:val="24"/>
          <w:szCs w:val="24"/>
        </w:rPr>
        <w:t xml:space="preserve"> 医疗保健领域的互操作性通过促进跨系统的信息可用性和共享， </w:t>
      </w:r>
      <w:r>
        <w:rPr>
          <w:rFonts w:eastAsia="宋体"/>
          <w:color w:val="221E1F"/>
          <w:sz w:val="24"/>
          <w:szCs w:val="24"/>
        </w:rPr>
        <w:t>即使不同制造商</w:t>
      </w:r>
      <w:r>
        <w:rPr>
          <w:rFonts w:hint="eastAsia" w:eastAsia="宋体"/>
          <w:color w:val="221E1F"/>
          <w:sz w:val="24"/>
          <w:szCs w:val="24"/>
        </w:rPr>
        <w:t>之间</w:t>
      </w:r>
      <w:r>
        <w:rPr>
          <w:rFonts w:eastAsia="宋体"/>
          <w:color w:val="221E1F"/>
          <w:sz w:val="24"/>
          <w:szCs w:val="24"/>
        </w:rPr>
        <w:t>的产品，</w:t>
      </w:r>
      <w:r>
        <w:rPr>
          <w:rFonts w:hint="eastAsia" w:eastAsia="宋体"/>
          <w:color w:val="221E1F"/>
          <w:sz w:val="24"/>
          <w:szCs w:val="24"/>
        </w:rPr>
        <w:t>从而会</w:t>
      </w:r>
      <w:r>
        <w:rPr>
          <w:rFonts w:eastAsia="宋体"/>
          <w:color w:val="221E1F"/>
          <w:sz w:val="24"/>
          <w:szCs w:val="24"/>
        </w:rPr>
        <w:t>鼓励创新和促进新的医疗保健提供模式的出现。</w:t>
      </w:r>
    </w:p>
    <w:p w14:paraId="38AEFF4D">
      <w:pPr>
        <w:shd w:val="clear" w:color="auto" w:fill="FFFFFF"/>
        <w:snapToGrid w:val="0"/>
        <w:jc w:val="both"/>
        <w:rPr>
          <w:rFonts w:eastAsia="宋体"/>
          <w:sz w:val="24"/>
          <w:szCs w:val="24"/>
        </w:rPr>
      </w:pPr>
    </w:p>
    <w:p w14:paraId="2C84EC5D">
      <w:pPr>
        <w:shd w:val="clear" w:color="auto" w:fill="FFFFFF"/>
        <w:snapToGrid w:val="0"/>
        <w:jc w:val="both"/>
        <w:rPr>
          <w:rFonts w:eastAsia="宋体"/>
          <w:color w:val="000000"/>
          <w:sz w:val="24"/>
          <w:szCs w:val="24"/>
        </w:rPr>
      </w:pPr>
      <w:r>
        <w:rPr>
          <w:rFonts w:eastAsia="宋体"/>
          <w:color w:val="000000"/>
          <w:sz w:val="24"/>
          <w:szCs w:val="24"/>
        </w:rPr>
        <w:t>在本指南中，我们将互操作性称为两个或多个产品、技术或系统交换信息和使用已交换信息的能力。在这种背景下，信息交换包括传输、接收或两者兼有，无论交换通过何种方式或按照何种方案进行。交换信息的使用可以包括显示、存储、解释、分析，以及自动操作或控制另一个产品。当医疗器械涉及到一个互操作性系统（器械连接的系统，信息</w:t>
      </w:r>
      <w:r>
        <w:rPr>
          <w:rFonts w:hint="eastAsia" w:eastAsia="宋体"/>
          <w:color w:val="000000"/>
          <w:sz w:val="24"/>
          <w:szCs w:val="24"/>
        </w:rPr>
        <w:t>通过</w:t>
      </w:r>
      <w:r>
        <w:rPr>
          <w:rFonts w:eastAsia="宋体"/>
          <w:color w:val="000000"/>
          <w:sz w:val="24"/>
          <w:szCs w:val="24"/>
        </w:rPr>
        <w:t>连接交换和使用，并且至少包括一个医疗器械）时，患者和</w:t>
      </w:r>
      <w:r>
        <w:rPr>
          <w:rFonts w:hint="eastAsia" w:eastAsia="宋体"/>
          <w:color w:val="000000"/>
          <w:sz w:val="24"/>
          <w:szCs w:val="24"/>
        </w:rPr>
        <w:t>操作</w:t>
      </w:r>
      <w:r>
        <w:rPr>
          <w:rFonts w:eastAsia="宋体"/>
          <w:color w:val="000000"/>
          <w:sz w:val="24"/>
          <w:szCs w:val="24"/>
        </w:rPr>
        <w:t>者的安全是最重要的考虑事项。</w:t>
      </w:r>
    </w:p>
    <w:p w14:paraId="026C845B">
      <w:pPr>
        <w:shd w:val="clear" w:color="auto" w:fill="FFFFFF"/>
        <w:snapToGrid w:val="0"/>
        <w:jc w:val="both"/>
        <w:rPr>
          <w:rFonts w:eastAsia="宋体"/>
          <w:sz w:val="24"/>
          <w:szCs w:val="24"/>
        </w:rPr>
      </w:pPr>
    </w:p>
    <w:p w14:paraId="181E3F00">
      <w:pPr>
        <w:shd w:val="clear" w:color="auto" w:fill="FFFFFF"/>
        <w:snapToGrid w:val="0"/>
        <w:jc w:val="both"/>
        <w:rPr>
          <w:rFonts w:eastAsia="宋体"/>
          <w:sz w:val="24"/>
          <w:szCs w:val="24"/>
        </w:rPr>
      </w:pPr>
      <w:r>
        <w:rPr>
          <w:rFonts w:eastAsia="宋体"/>
          <w:color w:val="000000"/>
          <w:sz w:val="24"/>
          <w:szCs w:val="24"/>
        </w:rPr>
        <w:t>包括互操作性医疗器械的系统可能由现有器械、产品或技术组成，共同作用以实现不同于单个医疗器械的功能。医疗器械可以是独立的，可以广播数据以便任何人都可以访问该数据，可以与其他医疗器械、非医疗器械技术和系统连接和交换信息，或者可以</w:t>
      </w:r>
      <w:r>
        <w:rPr>
          <w:rFonts w:hint="eastAsia" w:eastAsia="宋体"/>
          <w:color w:val="000000"/>
          <w:sz w:val="24"/>
          <w:szCs w:val="24"/>
        </w:rPr>
        <w:t>融入</w:t>
      </w:r>
      <w:r>
        <w:rPr>
          <w:rFonts w:eastAsia="宋体"/>
          <w:color w:val="000000"/>
          <w:sz w:val="24"/>
          <w:szCs w:val="24"/>
        </w:rPr>
        <w:t>到一个复杂的医疗器械和/或非医疗器械技术系统中。增加互操作性医疗器械的使用有可能以更低的成本促进快速创新。然而，适当的安全考虑事项（包括器械设计中没有考虑到的系统层面的安全考虑事项）可能会对患者、术者、器械或系统造成不可预见的安全性和有效性问题。</w:t>
      </w:r>
    </w:p>
    <w:p w14:paraId="5B638F5C">
      <w:pPr>
        <w:shd w:val="clear" w:color="auto" w:fill="FFFFFF"/>
        <w:snapToGrid w:val="0"/>
        <w:jc w:val="both"/>
        <w:rPr>
          <w:rFonts w:eastAsia="宋体"/>
          <w:sz w:val="24"/>
          <w:szCs w:val="24"/>
        </w:rPr>
      </w:pPr>
    </w:p>
    <w:p w14:paraId="157F9B49">
      <w:pPr>
        <w:shd w:val="clear" w:color="auto" w:fill="FFFFFF"/>
        <w:snapToGrid w:val="0"/>
        <w:jc w:val="both"/>
        <w:rPr>
          <w:rFonts w:eastAsia="宋体"/>
          <w:sz w:val="24"/>
          <w:szCs w:val="24"/>
        </w:rPr>
      </w:pPr>
    </w:p>
    <w:p w14:paraId="5B74F158">
      <w:pPr>
        <w:shd w:val="clear" w:color="auto" w:fill="FFFFFF"/>
        <w:snapToGrid w:val="0"/>
        <w:jc w:val="both"/>
        <w:rPr>
          <w:rFonts w:eastAsia="宋体"/>
          <w:sz w:val="24"/>
          <w:szCs w:val="24"/>
        </w:rPr>
      </w:pPr>
    </w:p>
    <w:p w14:paraId="305BB528">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941807E">
      <w:pPr>
        <w:shd w:val="clear" w:color="auto" w:fill="FFFFFF"/>
        <w:snapToGrid w:val="0"/>
        <w:jc w:val="both"/>
        <w:rPr>
          <w:rFonts w:eastAsia="宋体"/>
          <w:color w:val="000000"/>
          <w:sz w:val="24"/>
          <w:szCs w:val="24"/>
        </w:rPr>
      </w:pPr>
      <w:r>
        <w:rPr>
          <w:rFonts w:eastAsia="宋体"/>
          <w:color w:val="000000"/>
          <w:sz w:val="24"/>
          <w:szCs w:val="24"/>
        </w:rPr>
        <w:t>医疗器械互操作性不仅限于单向的患者数据，还包括更复杂的交互，例如对医疗器械执行命令和控制。为具有这种交互的器械建立和实现适当的功能、性能和接口需求非常重要。实现这一目标的一种方法是使用标准化体系结构和通信方案。另一种方法是在</w:t>
      </w:r>
      <w:r>
        <w:rPr>
          <w:rFonts w:hint="eastAsia" w:eastAsia="宋体"/>
          <w:color w:val="000000"/>
          <w:sz w:val="24"/>
          <w:szCs w:val="24"/>
        </w:rPr>
        <w:t>标记</w:t>
      </w:r>
      <w:r>
        <w:rPr>
          <w:rFonts w:eastAsia="宋体"/>
          <w:color w:val="000000"/>
          <w:sz w:val="24"/>
          <w:szCs w:val="24"/>
        </w:rPr>
        <w:t>中指定非标准化接口需求和特征。</w:t>
      </w:r>
    </w:p>
    <w:p w14:paraId="70EB4E1E">
      <w:pPr>
        <w:shd w:val="clear" w:color="auto" w:fill="FFFFFF"/>
        <w:snapToGrid w:val="0"/>
        <w:jc w:val="both"/>
        <w:rPr>
          <w:rFonts w:eastAsia="宋体"/>
          <w:sz w:val="24"/>
          <w:szCs w:val="24"/>
        </w:rPr>
      </w:pPr>
    </w:p>
    <w:p w14:paraId="0E20C7C4">
      <w:pPr>
        <w:shd w:val="clear" w:color="auto" w:fill="FFFFFF"/>
        <w:snapToGrid w:val="0"/>
        <w:jc w:val="both"/>
        <w:rPr>
          <w:rFonts w:eastAsia="宋体"/>
          <w:color w:val="000000"/>
          <w:sz w:val="24"/>
          <w:szCs w:val="24"/>
        </w:rPr>
      </w:pPr>
      <w:r>
        <w:rPr>
          <w:rFonts w:eastAsia="宋体"/>
          <w:color w:val="221E1F"/>
          <w:sz w:val="24"/>
          <w:szCs w:val="24"/>
        </w:rPr>
        <w:t>考虑互操作性考虑事项的器械设计要素可以提高数据的可移植性和患者的安全性。然而，可能会发生由于互操作性不足而产生的错误，例如当接收医疗器械</w:t>
      </w:r>
      <w:r>
        <w:rPr>
          <w:rFonts w:hint="eastAsia" w:eastAsia="宋体"/>
          <w:color w:val="221E1F"/>
          <w:sz w:val="24"/>
          <w:szCs w:val="24"/>
        </w:rPr>
        <w:t>接收了kg的重量信息而预</w:t>
      </w:r>
      <w:r>
        <w:rPr>
          <w:rFonts w:eastAsia="宋体"/>
          <w:color w:val="221E1F"/>
          <w:sz w:val="24"/>
          <w:szCs w:val="24"/>
        </w:rPr>
        <w:t>定测量单位为磅时，这可能会导致患者伤害甚至死亡。</w:t>
      </w:r>
      <w:r>
        <w:rPr>
          <w:rFonts w:eastAsia="宋体"/>
          <w:color w:val="000000"/>
          <w:sz w:val="24"/>
          <w:szCs w:val="24"/>
        </w:rPr>
        <w:t>因此，在产品开发过程中，未能建立和实现适当的功能、性能和接口需求可能会导致不准确、不及时或误导性信息的交换。</w:t>
      </w:r>
      <w:r>
        <w:rPr>
          <w:rFonts w:eastAsia="宋体"/>
          <w:color w:val="221E1F"/>
          <w:sz w:val="24"/>
          <w:szCs w:val="24"/>
        </w:rPr>
        <w:t>还可能导致器械</w:t>
      </w:r>
      <w:r>
        <w:rPr>
          <w:rFonts w:eastAsia="宋体"/>
          <w:color w:val="000000"/>
          <w:sz w:val="24"/>
          <w:szCs w:val="24"/>
        </w:rPr>
        <w:t>故障，包括操作失败，并可能导致患者受伤甚至死亡。</w:t>
      </w:r>
    </w:p>
    <w:p w14:paraId="1A9C6F37">
      <w:pPr>
        <w:shd w:val="clear" w:color="auto" w:fill="FFFFFF"/>
        <w:snapToGrid w:val="0"/>
        <w:jc w:val="both"/>
        <w:rPr>
          <w:rFonts w:eastAsia="宋体"/>
          <w:sz w:val="24"/>
          <w:szCs w:val="24"/>
        </w:rPr>
      </w:pPr>
    </w:p>
    <w:p w14:paraId="7E634F9E">
      <w:pPr>
        <w:shd w:val="clear" w:color="auto" w:fill="FFFFFF"/>
        <w:snapToGrid w:val="0"/>
        <w:jc w:val="both"/>
        <w:rPr>
          <w:rFonts w:eastAsia="宋体"/>
          <w:color w:val="000000"/>
          <w:sz w:val="24"/>
          <w:szCs w:val="24"/>
        </w:rPr>
      </w:pPr>
      <w:r>
        <w:rPr>
          <w:rFonts w:eastAsia="宋体"/>
          <w:color w:val="000000"/>
          <w:sz w:val="24"/>
          <w:szCs w:val="24"/>
        </w:rPr>
        <w:t>特定器械识别信息，如UDI（医疗器械唯一标识）和特定患者数据，如ECG（心电图）波形，可以对患者护理和改善患者结局发挥重要作用。此外，这些信息和数据可以与权威数据源（如全球医疗器械唯一标识数据库（GUDID））一起使用，以填充电子健康记录，并允许患者及其家属和医护人员做出更明智的医疗决策。FDA已采取措施促进医疗器械数据的使用，并促进安全和有效的互操作性。例如，FDA已经认可了支持医疗器械互操作性的各种共识标准。</w:t>
      </w:r>
    </w:p>
    <w:p w14:paraId="42F25AE8">
      <w:pPr>
        <w:shd w:val="clear" w:color="auto" w:fill="FFFFFF"/>
        <w:snapToGrid w:val="0"/>
        <w:jc w:val="both"/>
        <w:rPr>
          <w:rFonts w:eastAsia="宋体"/>
          <w:sz w:val="24"/>
          <w:szCs w:val="24"/>
        </w:rPr>
      </w:pPr>
    </w:p>
    <w:p w14:paraId="66964F85">
      <w:pPr>
        <w:shd w:val="clear" w:color="auto" w:fill="FFFFFF"/>
        <w:snapToGrid w:val="0"/>
        <w:jc w:val="both"/>
        <w:rPr>
          <w:rFonts w:eastAsia="宋体"/>
          <w:sz w:val="24"/>
          <w:szCs w:val="24"/>
        </w:rPr>
      </w:pPr>
      <w:r>
        <w:rPr>
          <w:rFonts w:eastAsia="宋体"/>
          <w:color w:val="000000"/>
          <w:sz w:val="24"/>
          <w:szCs w:val="24"/>
        </w:rPr>
        <w:t>本指南旨在强调医疗器械制造商应考虑的以下事项，以合理确保其互操作性医疗器械的安全性和有效性：1）以互操作性为目的设计系统；2）进行适当的验证、确认和风险管理活动； 3）以使用者可用的方式指定相关的功能、性能和接口特征，如</w:t>
      </w:r>
      <w:r>
        <w:rPr>
          <w:rFonts w:hint="eastAsia" w:eastAsia="宋体"/>
          <w:color w:val="000000"/>
          <w:sz w:val="24"/>
          <w:szCs w:val="24"/>
        </w:rPr>
        <w:t>标记</w:t>
      </w:r>
      <w:r>
        <w:rPr>
          <w:rFonts w:eastAsia="宋体"/>
          <w:color w:val="000000"/>
          <w:sz w:val="24"/>
          <w:szCs w:val="24"/>
        </w:rPr>
        <w:t>。</w:t>
      </w:r>
    </w:p>
    <w:p w14:paraId="2F7587F8">
      <w:pPr>
        <w:pStyle w:val="2"/>
        <w:spacing w:before="240" w:after="240"/>
        <w:ind w:left="632" w:hanging="632"/>
        <w:rPr>
          <w:rFonts w:eastAsia="宋体"/>
        </w:rPr>
      </w:pPr>
      <w:bookmarkStart w:id="4" w:name="bookmark3"/>
      <w:bookmarkStart w:id="5" w:name="_Toc97485689"/>
      <w:r>
        <w:rPr>
          <w:rFonts w:eastAsia="宋体"/>
        </w:rPr>
        <w:t>I</w:t>
      </w:r>
      <w:bookmarkEnd w:id="4"/>
      <w:r>
        <w:rPr>
          <w:rFonts w:eastAsia="宋体"/>
        </w:rPr>
        <w:t>II.</w:t>
      </w:r>
      <w:r>
        <w:rPr>
          <w:rFonts w:eastAsia="宋体"/>
        </w:rPr>
        <w:tab/>
      </w:r>
      <w:r>
        <w:rPr>
          <w:rFonts w:eastAsia="宋体"/>
        </w:rPr>
        <w:t>范围</w:t>
      </w:r>
      <w:bookmarkEnd w:id="5"/>
    </w:p>
    <w:p w14:paraId="4AEE0917">
      <w:pPr>
        <w:shd w:val="clear" w:color="auto" w:fill="FFFFFF"/>
        <w:snapToGrid w:val="0"/>
        <w:jc w:val="both"/>
        <w:rPr>
          <w:rFonts w:eastAsia="宋体"/>
          <w:sz w:val="24"/>
          <w:szCs w:val="24"/>
        </w:rPr>
      </w:pPr>
      <w:r>
        <w:rPr>
          <w:rFonts w:eastAsia="宋体"/>
          <w:color w:val="000000"/>
          <w:sz w:val="24"/>
          <w:szCs w:val="24"/>
        </w:rPr>
        <w:t>本指南为制造商在开发互操作性医疗器械时提供设计考虑事项，并就上市前申报资料和器械</w:t>
      </w:r>
      <w:r>
        <w:rPr>
          <w:rFonts w:hint="eastAsia" w:eastAsia="宋体"/>
          <w:color w:val="000000"/>
          <w:sz w:val="24"/>
          <w:szCs w:val="24"/>
        </w:rPr>
        <w:t>标记</w:t>
      </w:r>
      <w:r>
        <w:rPr>
          <w:rFonts w:eastAsia="宋体"/>
          <w:color w:val="000000"/>
          <w:sz w:val="24"/>
          <w:szCs w:val="24"/>
        </w:rPr>
        <w:t>中应包括的信息提供建议。</w:t>
      </w:r>
    </w:p>
    <w:p w14:paraId="28DF8296">
      <w:pPr>
        <w:shd w:val="clear" w:color="auto" w:fill="FFFFFF"/>
        <w:snapToGrid w:val="0"/>
        <w:jc w:val="both"/>
        <w:rPr>
          <w:rFonts w:eastAsia="宋体"/>
          <w:sz w:val="24"/>
          <w:szCs w:val="24"/>
        </w:rPr>
      </w:pPr>
    </w:p>
    <w:p w14:paraId="21A1760E">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A3ACE74">
      <w:pPr>
        <w:shd w:val="clear" w:color="auto" w:fill="FFFFFF"/>
        <w:snapToGrid w:val="0"/>
        <w:jc w:val="both"/>
        <w:rPr>
          <w:rFonts w:eastAsia="宋体"/>
          <w:color w:val="000000"/>
          <w:sz w:val="24"/>
          <w:szCs w:val="24"/>
        </w:rPr>
      </w:pPr>
      <w:r>
        <w:rPr>
          <w:rFonts w:eastAsia="宋体"/>
          <w:color w:val="000000"/>
          <w:sz w:val="24"/>
          <w:szCs w:val="24"/>
        </w:rPr>
        <w:t>本文件重点在于通过连接（如通用串行总线（USB）、无线连接）交换的信息内容。本文件重点不在于物理兼容性方面，如物理连接器，但确实建议制造商指定支持电子接口的连接类型。</w:t>
      </w:r>
    </w:p>
    <w:p w14:paraId="4D0F0A09">
      <w:pPr>
        <w:shd w:val="clear" w:color="auto" w:fill="FFFFFF"/>
        <w:snapToGrid w:val="0"/>
        <w:jc w:val="both"/>
        <w:rPr>
          <w:rFonts w:eastAsia="宋体"/>
          <w:sz w:val="24"/>
          <w:szCs w:val="24"/>
        </w:rPr>
      </w:pPr>
    </w:p>
    <w:p w14:paraId="5500E990">
      <w:pPr>
        <w:shd w:val="clear" w:color="auto" w:fill="FFFFFF"/>
        <w:snapToGrid w:val="0"/>
        <w:jc w:val="both"/>
        <w:rPr>
          <w:rFonts w:eastAsia="宋体"/>
          <w:color w:val="000000"/>
          <w:sz w:val="24"/>
          <w:szCs w:val="24"/>
        </w:rPr>
      </w:pPr>
      <w:r>
        <w:rPr>
          <w:rFonts w:eastAsia="宋体"/>
          <w:color w:val="000000"/>
          <w:sz w:val="24"/>
          <w:szCs w:val="24"/>
        </w:rPr>
        <w:t>本文件预期并不就特定产品或产品的修改是否需要上市前递交提供指导。我们打算将本文件作为其他FDA指导文件的补充。</w:t>
      </w:r>
    </w:p>
    <w:p w14:paraId="1F0D218A">
      <w:pPr>
        <w:shd w:val="clear" w:color="auto" w:fill="FFFFFF"/>
        <w:snapToGrid w:val="0"/>
        <w:jc w:val="both"/>
        <w:rPr>
          <w:rFonts w:eastAsia="宋体"/>
          <w:sz w:val="24"/>
          <w:szCs w:val="24"/>
        </w:rPr>
      </w:pPr>
    </w:p>
    <w:p w14:paraId="55CC7802">
      <w:pPr>
        <w:shd w:val="clear" w:color="auto" w:fill="FFFFFF"/>
        <w:snapToGrid w:val="0"/>
        <w:jc w:val="both"/>
        <w:rPr>
          <w:rFonts w:eastAsia="宋体"/>
          <w:sz w:val="24"/>
          <w:szCs w:val="24"/>
        </w:rPr>
      </w:pPr>
      <w:r>
        <w:rPr>
          <w:rFonts w:eastAsia="宋体"/>
          <w:color w:val="000000"/>
          <w:sz w:val="24"/>
          <w:szCs w:val="24"/>
        </w:rPr>
        <w:t>本指南内的上市前讨论适用于以下互操作性医疗器械的上市前申报资料；</w:t>
      </w:r>
      <w:r>
        <w:rPr>
          <w:rStyle w:val="13"/>
          <w:rFonts w:eastAsia="宋体"/>
          <w:sz w:val="24"/>
          <w:szCs w:val="24"/>
        </w:rPr>
        <w:footnoteReference w:id="1"/>
      </w:r>
    </w:p>
    <w:p w14:paraId="2024CC8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上市前通知（510（k）），包括传统、特殊和简化510（k）递交；</w:t>
      </w:r>
    </w:p>
    <w:p w14:paraId="3EC63A4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重新申请；</w:t>
      </w:r>
    </w:p>
    <w:p w14:paraId="55B72962">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上市前批准申请（PMA</w:t>
      </w:r>
      <w:r>
        <w:rPr>
          <w:rFonts w:hint="eastAsia" w:eastAsia="宋体"/>
          <w:color w:val="000000"/>
          <w:sz w:val="24"/>
          <w:szCs w:val="24"/>
        </w:rPr>
        <w:t>s</w:t>
      </w:r>
      <w:r>
        <w:rPr>
          <w:rFonts w:eastAsia="宋体"/>
          <w:color w:val="000000"/>
          <w:sz w:val="24"/>
          <w:szCs w:val="24"/>
        </w:rPr>
        <w:t>）；</w:t>
      </w:r>
    </w:p>
    <w:p w14:paraId="6EBB822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产品开发方案（PDP</w:t>
      </w:r>
      <w:r>
        <w:rPr>
          <w:rFonts w:hint="eastAsia" w:eastAsia="宋体"/>
          <w:color w:val="000000"/>
          <w:sz w:val="24"/>
          <w:szCs w:val="24"/>
        </w:rPr>
        <w:t>s</w:t>
      </w:r>
      <w:r>
        <w:rPr>
          <w:rFonts w:eastAsia="宋体"/>
          <w:color w:val="000000"/>
          <w:sz w:val="24"/>
          <w:szCs w:val="24"/>
        </w:rPr>
        <w:t>）；</w:t>
      </w:r>
    </w:p>
    <w:p w14:paraId="2A7CB4B6">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人道主义器械豁免（HDE）递交；和</w:t>
      </w:r>
    </w:p>
    <w:p w14:paraId="0D2D79E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生物制品注册证申请（BLA</w:t>
      </w:r>
      <w:r>
        <w:rPr>
          <w:rFonts w:hint="eastAsia" w:eastAsia="宋体"/>
          <w:color w:val="000000"/>
          <w:sz w:val="24"/>
          <w:szCs w:val="24"/>
        </w:rPr>
        <w:t>s</w:t>
      </w:r>
      <w:r>
        <w:rPr>
          <w:rFonts w:eastAsia="宋体"/>
          <w:color w:val="000000"/>
          <w:sz w:val="24"/>
          <w:szCs w:val="24"/>
        </w:rPr>
        <w:t>）。</w:t>
      </w:r>
    </w:p>
    <w:p w14:paraId="24AAF102">
      <w:pPr>
        <w:pStyle w:val="2"/>
        <w:spacing w:before="240" w:after="240"/>
        <w:ind w:left="632" w:hanging="632"/>
        <w:rPr>
          <w:rFonts w:eastAsia="宋体"/>
        </w:rPr>
      </w:pPr>
      <w:bookmarkStart w:id="6" w:name="bookmark4"/>
      <w:bookmarkStart w:id="7" w:name="_Toc97485690"/>
      <w:r>
        <w:rPr>
          <w:rFonts w:eastAsia="宋体"/>
        </w:rPr>
        <w:t>I</w:t>
      </w:r>
      <w:bookmarkEnd w:id="6"/>
      <w:r>
        <w:rPr>
          <w:rFonts w:eastAsia="宋体"/>
        </w:rPr>
        <w:t>V.</w:t>
      </w:r>
      <w:r>
        <w:rPr>
          <w:rFonts w:eastAsia="宋体"/>
        </w:rPr>
        <w:tab/>
      </w:r>
      <w:r>
        <w:rPr>
          <w:rFonts w:eastAsia="宋体"/>
        </w:rPr>
        <w:t>定义</w:t>
      </w:r>
      <w:bookmarkEnd w:id="7"/>
    </w:p>
    <w:p w14:paraId="4CEC9BE3">
      <w:pPr>
        <w:shd w:val="clear" w:color="auto" w:fill="FFFFFF"/>
        <w:snapToGrid w:val="0"/>
        <w:jc w:val="both"/>
        <w:rPr>
          <w:rFonts w:eastAsia="宋体"/>
          <w:sz w:val="24"/>
          <w:szCs w:val="24"/>
        </w:rPr>
      </w:pPr>
      <w:r>
        <w:rPr>
          <w:rFonts w:eastAsia="宋体"/>
          <w:b/>
          <w:bCs/>
          <w:color w:val="000000"/>
          <w:sz w:val="24"/>
          <w:szCs w:val="24"/>
        </w:rPr>
        <w:t>电子接口：</w:t>
      </w:r>
    </w:p>
    <w:p w14:paraId="2C253C37">
      <w:pPr>
        <w:shd w:val="clear" w:color="auto" w:fill="FFFFFF"/>
        <w:snapToGrid w:val="0"/>
        <w:jc w:val="both"/>
        <w:rPr>
          <w:rFonts w:eastAsia="宋体"/>
          <w:sz w:val="24"/>
          <w:szCs w:val="24"/>
        </w:rPr>
      </w:pPr>
      <w:r>
        <w:rPr>
          <w:rFonts w:eastAsia="宋体"/>
          <w:color w:val="000000"/>
          <w:sz w:val="24"/>
          <w:szCs w:val="24"/>
        </w:rPr>
        <w:t>就本指南而言，电子接口是系统相互交互和/或通信的媒介，从而允许系统之间交换信息。电子接口包括连接类型（例如USB端口、无线连接）和信息内容。其是医疗器械与其他设备或其他医疗器械交换和使用信息的媒介。</w:t>
      </w:r>
    </w:p>
    <w:p w14:paraId="2B83E146">
      <w:pPr>
        <w:shd w:val="clear" w:color="auto" w:fill="FFFFFF"/>
        <w:snapToGrid w:val="0"/>
        <w:jc w:val="both"/>
        <w:rPr>
          <w:rFonts w:eastAsia="宋体"/>
          <w:b/>
          <w:bCs/>
          <w:color w:val="000000"/>
          <w:sz w:val="24"/>
          <w:szCs w:val="24"/>
        </w:rPr>
      </w:pPr>
    </w:p>
    <w:p w14:paraId="7D66055B">
      <w:pPr>
        <w:shd w:val="clear" w:color="auto" w:fill="FFFFFF"/>
        <w:snapToGrid w:val="0"/>
        <w:jc w:val="both"/>
        <w:rPr>
          <w:rFonts w:eastAsia="宋体"/>
          <w:sz w:val="24"/>
          <w:szCs w:val="24"/>
        </w:rPr>
      </w:pPr>
      <w:r>
        <w:rPr>
          <w:rFonts w:eastAsia="宋体"/>
          <w:b/>
          <w:bCs/>
          <w:color w:val="000000"/>
          <w:sz w:val="24"/>
          <w:szCs w:val="24"/>
        </w:rPr>
        <w:t>互操作性医疗器械：</w:t>
      </w:r>
    </w:p>
    <w:p w14:paraId="4DE86679">
      <w:pPr>
        <w:shd w:val="clear" w:color="auto" w:fill="FFFFFF"/>
        <w:snapToGrid w:val="0"/>
        <w:jc w:val="both"/>
        <w:rPr>
          <w:rFonts w:eastAsia="宋体"/>
          <w:sz w:val="24"/>
          <w:szCs w:val="24"/>
        </w:rPr>
      </w:pPr>
      <w:r>
        <w:rPr>
          <w:rFonts w:eastAsia="宋体"/>
          <w:color w:val="000000"/>
          <w:sz w:val="24"/>
          <w:szCs w:val="24"/>
        </w:rPr>
        <w:t>就本指南而言，互操作性医疗器械指《联邦食品、药品和化妆品法案》（《FD&amp;C法案》）第201（h）条中定义的能够通过电子接口与其他医疗/非医疗产品、系统或器械交换和使用信息的器械。互操作性医疗器械可以涉及到向另一器械或产品的简单单向数据传输或更复杂的交互，例如对一个或多个医疗器械执行命令和控制。互操作性医疗器械也可以是包含多个医疗器械的复杂系统的一部分。</w:t>
      </w:r>
    </w:p>
    <w:p w14:paraId="67B017E1">
      <w:pPr>
        <w:shd w:val="clear" w:color="auto" w:fill="FFFFFF"/>
        <w:snapToGrid w:val="0"/>
        <w:jc w:val="both"/>
        <w:rPr>
          <w:rFonts w:eastAsia="宋体"/>
          <w:sz w:val="24"/>
          <w:szCs w:val="24"/>
        </w:rPr>
      </w:pPr>
    </w:p>
    <w:p w14:paraId="69911077">
      <w:pPr>
        <w:shd w:val="clear" w:color="auto" w:fill="FFFFFF"/>
        <w:snapToGrid w:val="0"/>
        <w:jc w:val="both"/>
        <w:rPr>
          <w:rFonts w:eastAsia="宋体"/>
          <w:sz w:val="24"/>
          <w:szCs w:val="24"/>
        </w:rPr>
      </w:pPr>
    </w:p>
    <w:p w14:paraId="7D319D7D">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373B2B4">
      <w:pPr>
        <w:pStyle w:val="2"/>
        <w:spacing w:before="240" w:after="240"/>
        <w:ind w:left="632" w:hanging="632"/>
        <w:rPr>
          <w:rFonts w:eastAsia="宋体"/>
        </w:rPr>
      </w:pPr>
      <w:bookmarkStart w:id="8" w:name="_Toc97485691"/>
      <w:r>
        <w:rPr>
          <w:rFonts w:eastAsia="宋体"/>
        </w:rPr>
        <w:t>V.</w:t>
      </w:r>
      <w:r>
        <w:rPr>
          <w:rFonts w:eastAsia="宋体"/>
        </w:rPr>
        <w:tab/>
      </w:r>
      <w:r>
        <w:rPr>
          <w:rFonts w:eastAsia="宋体"/>
        </w:rPr>
        <w:t>互操作性医疗器械的设计考虑事项</w:t>
      </w:r>
      <w:bookmarkEnd w:id="8"/>
    </w:p>
    <w:p w14:paraId="389B8B9E">
      <w:pPr>
        <w:shd w:val="clear" w:color="auto" w:fill="FFFFFF"/>
        <w:snapToGrid w:val="0"/>
        <w:jc w:val="both"/>
        <w:rPr>
          <w:rFonts w:eastAsia="宋体"/>
          <w:color w:val="000000"/>
          <w:sz w:val="24"/>
          <w:szCs w:val="24"/>
        </w:rPr>
      </w:pPr>
      <w:r>
        <w:rPr>
          <w:rFonts w:eastAsia="宋体"/>
          <w:color w:val="000000"/>
          <w:sz w:val="24"/>
          <w:szCs w:val="24"/>
        </w:rPr>
        <w:t>制造商可以从许多设计解决方案中进行选择，以创建互操作性医疗器械。在互操作性医疗器械的设计和开发过程中，应考虑信息模型（数据属性）、功能模型（在互操作性系统中发挥的作用）和体系结构模型（器械如何在系统中连接）。设计输入应包括电子接口所需的功能和性能特征。</w:t>
      </w:r>
    </w:p>
    <w:p w14:paraId="4247F95A">
      <w:pPr>
        <w:shd w:val="clear" w:color="auto" w:fill="FFFFFF"/>
        <w:snapToGrid w:val="0"/>
        <w:jc w:val="both"/>
        <w:rPr>
          <w:rFonts w:eastAsia="宋体"/>
          <w:sz w:val="24"/>
          <w:szCs w:val="24"/>
        </w:rPr>
      </w:pPr>
    </w:p>
    <w:p w14:paraId="5E35BA13">
      <w:pPr>
        <w:shd w:val="clear" w:color="auto" w:fill="FFFFFF"/>
        <w:snapToGrid w:val="0"/>
        <w:jc w:val="both"/>
        <w:rPr>
          <w:rFonts w:eastAsia="宋体"/>
          <w:color w:val="000000"/>
          <w:sz w:val="24"/>
          <w:szCs w:val="24"/>
        </w:rPr>
      </w:pPr>
      <w:r>
        <w:rPr>
          <w:rFonts w:eastAsia="宋体"/>
          <w:color w:val="000000"/>
          <w:sz w:val="24"/>
          <w:szCs w:val="24"/>
        </w:rPr>
        <w:t>互操作性医疗器械的制造商应进行风险分析并进行适当的测试，考虑与互操作性、预期用户、合理可预见的误用以及合理可预见的可导致危险情况的事件组合。</w:t>
      </w:r>
    </w:p>
    <w:p w14:paraId="4E305693">
      <w:pPr>
        <w:shd w:val="clear" w:color="auto" w:fill="FFFFFF"/>
        <w:snapToGrid w:val="0"/>
        <w:jc w:val="both"/>
        <w:rPr>
          <w:rFonts w:eastAsia="宋体"/>
          <w:sz w:val="24"/>
          <w:szCs w:val="24"/>
        </w:rPr>
      </w:pPr>
    </w:p>
    <w:p w14:paraId="2F761FEB">
      <w:pPr>
        <w:shd w:val="clear" w:color="auto" w:fill="FFFFFF"/>
        <w:snapToGrid w:val="0"/>
        <w:jc w:val="both"/>
        <w:rPr>
          <w:rFonts w:eastAsia="宋体"/>
          <w:color w:val="000000"/>
          <w:sz w:val="24"/>
          <w:szCs w:val="24"/>
        </w:rPr>
      </w:pPr>
      <w:r>
        <w:rPr>
          <w:rFonts w:eastAsia="宋体"/>
          <w:color w:val="000000"/>
          <w:sz w:val="24"/>
          <w:szCs w:val="24"/>
        </w:rPr>
        <w:t>一般来说，制造商可以采取的一项措施是在器械标</w:t>
      </w:r>
      <w:r>
        <w:rPr>
          <w:rFonts w:hint="eastAsia" w:eastAsia="宋体"/>
          <w:color w:val="000000"/>
          <w:sz w:val="24"/>
          <w:szCs w:val="24"/>
        </w:rPr>
        <w:t>价</w:t>
      </w:r>
      <w:r>
        <w:rPr>
          <w:rFonts w:eastAsia="宋体"/>
          <w:color w:val="000000"/>
          <w:sz w:val="24"/>
          <w:szCs w:val="24"/>
        </w:rPr>
        <w:t>中明确规定其电子接口的功能和性能要求</w:t>
      </w:r>
      <w:r>
        <w:rPr>
          <w:rFonts w:hint="eastAsia" w:eastAsia="宋体"/>
          <w:color w:val="000000"/>
          <w:sz w:val="24"/>
          <w:szCs w:val="24"/>
        </w:rPr>
        <w:t>，</w:t>
      </w:r>
      <w:r>
        <w:rPr>
          <w:rFonts w:eastAsia="宋体"/>
          <w:color w:val="000000"/>
          <w:sz w:val="24"/>
          <w:szCs w:val="24"/>
        </w:rPr>
        <w:t>来降低风险并促进安全有效的互操作性标记。在互操作性系统中提供这些器械的接口或使用限制</w:t>
      </w:r>
      <w:r>
        <w:rPr>
          <w:rFonts w:hint="eastAsia" w:eastAsia="宋体"/>
          <w:color w:val="000000"/>
          <w:sz w:val="24"/>
          <w:szCs w:val="24"/>
        </w:rPr>
        <w:t>特征</w:t>
      </w:r>
      <w:r>
        <w:rPr>
          <w:rFonts w:eastAsia="宋体"/>
          <w:color w:val="000000"/>
          <w:sz w:val="24"/>
          <w:szCs w:val="24"/>
        </w:rPr>
        <w:t>，可以最大限度地降低未能按预期交换和使用数据相关的风险。</w:t>
      </w:r>
    </w:p>
    <w:p w14:paraId="61B33E08">
      <w:pPr>
        <w:shd w:val="clear" w:color="auto" w:fill="FFFFFF"/>
        <w:snapToGrid w:val="0"/>
        <w:jc w:val="both"/>
        <w:rPr>
          <w:rFonts w:eastAsia="宋体"/>
          <w:sz w:val="24"/>
          <w:szCs w:val="24"/>
        </w:rPr>
      </w:pPr>
    </w:p>
    <w:p w14:paraId="345F9392">
      <w:pPr>
        <w:shd w:val="clear" w:color="auto" w:fill="FFFFFF"/>
        <w:snapToGrid w:val="0"/>
        <w:jc w:val="both"/>
        <w:rPr>
          <w:rFonts w:eastAsia="宋体"/>
          <w:color w:val="000000"/>
          <w:sz w:val="24"/>
          <w:szCs w:val="24"/>
        </w:rPr>
      </w:pPr>
      <w:r>
        <w:rPr>
          <w:rFonts w:eastAsia="宋体"/>
          <w:color w:val="000000"/>
          <w:sz w:val="24"/>
          <w:szCs w:val="24"/>
        </w:rPr>
        <w:t>作为21 CFR第820部分中全面质量体系的一部分，医疗器械制造商必须管理包括与医疗器械中集成的电子接口相关的风险。以下考虑事项应根据选定的接口技术以及医疗器械的预期用途和使用环境进行适当调整。</w:t>
      </w:r>
    </w:p>
    <w:p w14:paraId="51AD19A3">
      <w:pPr>
        <w:shd w:val="clear" w:color="auto" w:fill="FFFFFF"/>
        <w:snapToGrid w:val="0"/>
        <w:jc w:val="both"/>
        <w:rPr>
          <w:rFonts w:eastAsia="宋体"/>
          <w:sz w:val="24"/>
          <w:szCs w:val="24"/>
        </w:rPr>
      </w:pPr>
    </w:p>
    <w:p w14:paraId="78BD54A2">
      <w:pPr>
        <w:shd w:val="clear" w:color="auto" w:fill="FFFFFF"/>
        <w:snapToGrid w:val="0"/>
        <w:ind w:left="1275" w:leftChars="480"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b/>
          <w:bCs/>
          <w:i/>
          <w:iCs/>
          <w:color w:val="000000"/>
          <w:sz w:val="24"/>
          <w:szCs w:val="24"/>
        </w:rPr>
        <w:t>电子接口的用途：</w:t>
      </w:r>
      <w:r>
        <w:rPr>
          <w:rFonts w:eastAsia="宋体"/>
          <w:color w:val="000000"/>
          <w:sz w:val="24"/>
          <w:szCs w:val="24"/>
        </w:rPr>
        <w:t>器械制造商应考虑每个电子接口的用途。这应包括数据交换发生的类型（例如，发送、接收、发出命令和控制）。</w:t>
      </w:r>
    </w:p>
    <w:p w14:paraId="1264C390">
      <w:pPr>
        <w:shd w:val="clear" w:color="auto" w:fill="FFFFFF"/>
        <w:snapToGrid w:val="0"/>
        <w:ind w:left="1275" w:leftChars="480" w:hanging="315"/>
        <w:jc w:val="both"/>
        <w:rPr>
          <w:rFonts w:eastAsia="宋体"/>
          <w:color w:val="000000"/>
          <w:sz w:val="24"/>
          <w:szCs w:val="24"/>
        </w:rPr>
      </w:pPr>
    </w:p>
    <w:p w14:paraId="3EAF36C4">
      <w:pPr>
        <w:shd w:val="clear" w:color="auto" w:fill="FFFFFF"/>
        <w:snapToGrid w:val="0"/>
        <w:ind w:left="1275" w:leftChars="480"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b/>
          <w:bCs/>
          <w:i/>
          <w:iCs/>
          <w:color w:val="000000"/>
          <w:sz w:val="24"/>
          <w:szCs w:val="24"/>
        </w:rPr>
        <w:t>预期用户：</w:t>
      </w:r>
      <w:r>
        <w:rPr>
          <w:rFonts w:eastAsia="宋体"/>
          <w:color w:val="000000"/>
          <w:sz w:val="24"/>
          <w:szCs w:val="24"/>
        </w:rPr>
        <w:t>制造商应确定每个电子接口的预期用户。使用者的示例包括：临床使用者、生物医学工程师、家庭医疗使用者、信息技术（IT）专业人员、系统集成商、系统设计师、患者、研究人员和医疗器械设计师。</w:t>
      </w:r>
    </w:p>
    <w:p w14:paraId="62D4D3AB">
      <w:pPr>
        <w:shd w:val="clear" w:color="auto" w:fill="FFFFFF"/>
        <w:snapToGrid w:val="0"/>
        <w:ind w:left="1275" w:leftChars="480" w:hanging="315"/>
        <w:jc w:val="both"/>
        <w:rPr>
          <w:rFonts w:eastAsia="宋体"/>
          <w:color w:val="000000"/>
          <w:sz w:val="24"/>
          <w:szCs w:val="24"/>
        </w:rPr>
      </w:pPr>
    </w:p>
    <w:p w14:paraId="19C9387E">
      <w:pPr>
        <w:shd w:val="clear" w:color="auto" w:fill="FFFFFF"/>
        <w:snapToGrid w:val="0"/>
        <w:ind w:left="1275" w:leftChars="480" w:hanging="315"/>
        <w:jc w:val="both"/>
        <w:rPr>
          <w:rFonts w:eastAsia="宋体"/>
          <w:color w:val="000000"/>
          <w:sz w:val="24"/>
          <w:szCs w:val="24"/>
        </w:rPr>
      </w:pPr>
      <w:r>
        <w:rPr>
          <w:rFonts w:eastAsia="宋体"/>
          <w:b/>
          <w:bCs/>
          <w:color w:val="000000"/>
          <w:sz w:val="24"/>
          <w:szCs w:val="24"/>
        </w:rPr>
        <w:t>3.</w:t>
      </w:r>
      <w:r>
        <w:rPr>
          <w:rFonts w:eastAsia="宋体"/>
          <w:b/>
          <w:bCs/>
          <w:color w:val="000000"/>
          <w:sz w:val="24"/>
          <w:szCs w:val="24"/>
        </w:rPr>
        <w:tab/>
      </w:r>
      <w:r>
        <w:rPr>
          <w:rFonts w:eastAsia="宋体"/>
          <w:b/>
          <w:bCs/>
          <w:i/>
          <w:iCs/>
          <w:color w:val="000000"/>
          <w:sz w:val="24"/>
          <w:szCs w:val="24"/>
        </w:rPr>
        <w:t>风险管理：</w:t>
      </w:r>
      <w:r>
        <w:rPr>
          <w:rFonts w:eastAsia="宋体"/>
          <w:color w:val="000000"/>
          <w:sz w:val="24"/>
          <w:szCs w:val="24"/>
        </w:rPr>
        <w:t>制造商应考虑缓解风险分析中</w:t>
      </w:r>
      <w:r>
        <w:rPr>
          <w:rFonts w:hint="eastAsia" w:eastAsia="宋体"/>
          <w:color w:val="000000"/>
          <w:sz w:val="24"/>
          <w:szCs w:val="24"/>
        </w:rPr>
        <w:t>识别</w:t>
      </w:r>
      <w:r>
        <w:rPr>
          <w:rFonts w:eastAsia="宋体"/>
          <w:color w:val="000000"/>
          <w:sz w:val="24"/>
          <w:szCs w:val="24"/>
        </w:rPr>
        <w:t>的风险。这包括电子接口的其他</w:t>
      </w:r>
      <w:r>
        <w:rPr>
          <w:rFonts w:hint="eastAsia" w:eastAsia="宋体"/>
          <w:color w:val="000000"/>
          <w:sz w:val="24"/>
          <w:szCs w:val="24"/>
        </w:rPr>
        <w:t>连接</w:t>
      </w:r>
      <w:r>
        <w:rPr>
          <w:rFonts w:eastAsia="宋体"/>
          <w:color w:val="000000"/>
          <w:sz w:val="24"/>
          <w:szCs w:val="24"/>
        </w:rPr>
        <w:t>所产生的风险。</w:t>
      </w:r>
    </w:p>
    <w:p w14:paraId="5788E66E">
      <w:pPr>
        <w:shd w:val="clear" w:color="auto" w:fill="FFFFFF"/>
        <w:tabs>
          <w:tab w:val="left" w:pos="1440"/>
        </w:tabs>
        <w:snapToGrid w:val="0"/>
        <w:jc w:val="both"/>
        <w:rPr>
          <w:rFonts w:eastAsia="宋体"/>
          <w:color w:val="000000"/>
          <w:sz w:val="24"/>
          <w:szCs w:val="24"/>
        </w:rPr>
      </w:pPr>
    </w:p>
    <w:p w14:paraId="39FCEDB1">
      <w:pPr>
        <w:shd w:val="clear" w:color="auto" w:fill="FFFFFF"/>
        <w:tabs>
          <w:tab w:val="left" w:pos="144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37377013">
      <w:pPr>
        <w:shd w:val="clear" w:color="auto" w:fill="FFFFFF"/>
        <w:snapToGrid w:val="0"/>
        <w:ind w:left="1275" w:leftChars="480" w:hanging="315"/>
        <w:jc w:val="both"/>
        <w:rPr>
          <w:rFonts w:eastAsia="宋体"/>
          <w:color w:val="000000"/>
          <w:sz w:val="24"/>
          <w:szCs w:val="24"/>
        </w:rPr>
      </w:pPr>
      <w:r>
        <w:rPr>
          <w:rFonts w:eastAsia="宋体"/>
          <w:b/>
          <w:bCs/>
          <w:color w:val="000000"/>
          <w:sz w:val="24"/>
          <w:szCs w:val="24"/>
        </w:rPr>
        <w:t>4.</w:t>
      </w:r>
      <w:r>
        <w:rPr>
          <w:rFonts w:eastAsia="宋体"/>
          <w:b/>
          <w:bCs/>
          <w:color w:val="000000"/>
          <w:sz w:val="24"/>
          <w:szCs w:val="24"/>
        </w:rPr>
        <w:tab/>
      </w:r>
      <w:r>
        <w:rPr>
          <w:rFonts w:eastAsia="宋体"/>
          <w:b/>
          <w:bCs/>
          <w:i/>
          <w:iCs/>
          <w:color w:val="000000"/>
          <w:sz w:val="24"/>
          <w:szCs w:val="24"/>
        </w:rPr>
        <w:t>验证和确认：</w:t>
      </w:r>
      <w:r>
        <w:rPr>
          <w:rFonts w:eastAsia="宋体"/>
          <w:color w:val="000000"/>
          <w:sz w:val="24"/>
          <w:szCs w:val="24"/>
        </w:rPr>
        <w:t>制造商应建立、维护和实施适当的验证和确认，以确保其带有电子接口的器械在交付前、集成过程中、在使用中继续工作以及维护</w:t>
      </w:r>
      <w:r>
        <w:rPr>
          <w:rFonts w:hint="eastAsia" w:eastAsia="宋体"/>
          <w:color w:val="000000"/>
          <w:sz w:val="24"/>
          <w:szCs w:val="24"/>
        </w:rPr>
        <w:t>过程中</w:t>
      </w:r>
      <w:r>
        <w:rPr>
          <w:rFonts w:eastAsia="宋体"/>
          <w:color w:val="000000"/>
          <w:sz w:val="24"/>
          <w:szCs w:val="24"/>
        </w:rPr>
        <w:t>和软件更新</w:t>
      </w:r>
      <w:r>
        <w:rPr>
          <w:rFonts w:hint="eastAsia" w:eastAsia="宋体"/>
          <w:color w:val="000000"/>
          <w:sz w:val="24"/>
          <w:szCs w:val="24"/>
        </w:rPr>
        <w:t>发布</w:t>
      </w:r>
      <w:r>
        <w:rPr>
          <w:rFonts w:eastAsia="宋体"/>
          <w:color w:val="000000"/>
          <w:sz w:val="24"/>
          <w:szCs w:val="24"/>
        </w:rPr>
        <w:t>时能够正常工作。</w:t>
      </w:r>
    </w:p>
    <w:p w14:paraId="64D35B65">
      <w:pPr>
        <w:shd w:val="clear" w:color="auto" w:fill="FFFFFF"/>
        <w:snapToGrid w:val="0"/>
        <w:ind w:left="1275" w:leftChars="480" w:hanging="315"/>
        <w:jc w:val="both"/>
        <w:rPr>
          <w:rFonts w:eastAsia="宋体"/>
          <w:color w:val="000000"/>
          <w:sz w:val="24"/>
          <w:szCs w:val="24"/>
        </w:rPr>
      </w:pPr>
    </w:p>
    <w:p w14:paraId="1B66315F">
      <w:pPr>
        <w:shd w:val="clear" w:color="auto" w:fill="FFFFFF"/>
        <w:snapToGrid w:val="0"/>
        <w:ind w:left="1275" w:leftChars="480" w:hanging="315"/>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hint="eastAsia" w:eastAsia="宋体"/>
          <w:b/>
          <w:bCs/>
          <w:i/>
          <w:iCs/>
          <w:color w:val="000000"/>
          <w:sz w:val="24"/>
          <w:szCs w:val="24"/>
        </w:rPr>
        <w:t>标记</w:t>
      </w:r>
      <w:r>
        <w:rPr>
          <w:rFonts w:eastAsia="宋体"/>
          <w:b/>
          <w:bCs/>
          <w:i/>
          <w:iCs/>
          <w:color w:val="000000"/>
          <w:sz w:val="24"/>
          <w:szCs w:val="24"/>
        </w:rPr>
        <w:t>考虑事项：</w:t>
      </w:r>
      <w:r>
        <w:rPr>
          <w:rFonts w:eastAsia="宋体"/>
          <w:color w:val="000000"/>
          <w:sz w:val="24"/>
          <w:szCs w:val="24"/>
        </w:rPr>
        <w:t>制造商应包括使用者可能需要的信息，以便可预测且安全地连接到接口以达到预期目的。</w:t>
      </w:r>
    </w:p>
    <w:p w14:paraId="3A80D0C5">
      <w:pPr>
        <w:shd w:val="clear" w:color="auto" w:fill="FFFFFF"/>
        <w:snapToGrid w:val="0"/>
        <w:ind w:left="1275" w:leftChars="480" w:hanging="315"/>
        <w:jc w:val="both"/>
        <w:rPr>
          <w:rFonts w:eastAsia="宋体"/>
          <w:color w:val="000000"/>
          <w:sz w:val="24"/>
          <w:szCs w:val="24"/>
        </w:rPr>
      </w:pPr>
    </w:p>
    <w:p w14:paraId="7AD5E570">
      <w:pPr>
        <w:shd w:val="clear" w:color="auto" w:fill="FFFFFF"/>
        <w:snapToGrid w:val="0"/>
        <w:ind w:left="1275" w:leftChars="480" w:hanging="315"/>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b/>
          <w:bCs/>
          <w:i/>
          <w:iCs/>
          <w:color w:val="000000"/>
          <w:sz w:val="24"/>
          <w:szCs w:val="24"/>
        </w:rPr>
        <w:t>共识标准的使用：</w:t>
      </w:r>
      <w:r>
        <w:rPr>
          <w:rFonts w:eastAsia="宋体"/>
          <w:color w:val="000000"/>
          <w:sz w:val="24"/>
          <w:szCs w:val="24"/>
        </w:rPr>
        <w:t>制造商应考虑使用与医疗器械互操作性相关的共识标准。</w:t>
      </w:r>
    </w:p>
    <w:p w14:paraId="7ACFEBA6">
      <w:pPr>
        <w:shd w:val="clear" w:color="auto" w:fill="FFFFFF"/>
        <w:snapToGrid w:val="0"/>
        <w:ind w:left="1275" w:leftChars="480" w:hanging="315"/>
        <w:jc w:val="both"/>
        <w:rPr>
          <w:rFonts w:eastAsia="宋体"/>
          <w:color w:val="000000"/>
          <w:sz w:val="24"/>
          <w:szCs w:val="24"/>
        </w:rPr>
      </w:pPr>
    </w:p>
    <w:p w14:paraId="15904A26">
      <w:pPr>
        <w:pStyle w:val="3"/>
        <w:spacing w:before="240" w:after="240"/>
        <w:rPr>
          <w:rFonts w:eastAsia="宋体"/>
        </w:rPr>
      </w:pPr>
      <w:bookmarkStart w:id="9" w:name="bookmark6"/>
      <w:bookmarkStart w:id="10" w:name="_Toc97485692"/>
      <w:r>
        <w:rPr>
          <w:rFonts w:eastAsia="宋体"/>
        </w:rPr>
        <w:t>A</w:t>
      </w:r>
      <w:bookmarkEnd w:id="9"/>
      <w:r>
        <w:rPr>
          <w:rFonts w:eastAsia="宋体"/>
        </w:rPr>
        <w:t>.</w:t>
      </w:r>
      <w:r>
        <w:rPr>
          <w:rFonts w:eastAsia="宋体"/>
        </w:rPr>
        <w:tab/>
      </w:r>
      <w:r>
        <w:rPr>
          <w:rFonts w:eastAsia="宋体"/>
        </w:rPr>
        <w:t>电子接口的用途</w:t>
      </w:r>
      <w:bookmarkEnd w:id="10"/>
    </w:p>
    <w:p w14:paraId="5B795D9C">
      <w:pPr>
        <w:shd w:val="clear" w:color="auto" w:fill="FFFFFF"/>
        <w:snapToGrid w:val="0"/>
        <w:jc w:val="both"/>
        <w:rPr>
          <w:rFonts w:eastAsia="宋体"/>
          <w:color w:val="000000"/>
          <w:sz w:val="24"/>
          <w:szCs w:val="24"/>
        </w:rPr>
      </w:pPr>
      <w:r>
        <w:rPr>
          <w:rFonts w:eastAsia="宋体"/>
          <w:color w:val="000000"/>
          <w:sz w:val="24"/>
          <w:szCs w:val="24"/>
        </w:rPr>
        <w:t>作为器械设计的一部分，制造商应明确确定医疗器械上电子接口的用途，并在设计器械（包括电子接口）和开发器械说明时考虑该用途。有时，接口的用途包含在预期用途中，而其他</w:t>
      </w:r>
      <w:r>
        <w:rPr>
          <w:rFonts w:hint="eastAsia" w:eastAsia="宋体"/>
          <w:color w:val="000000"/>
          <w:sz w:val="24"/>
          <w:szCs w:val="24"/>
        </w:rPr>
        <w:t>情况</w:t>
      </w:r>
      <w:r>
        <w:rPr>
          <w:rFonts w:eastAsia="宋体"/>
          <w:color w:val="000000"/>
          <w:sz w:val="24"/>
          <w:szCs w:val="24"/>
        </w:rPr>
        <w:t>，接口发挥</w:t>
      </w:r>
      <w:r>
        <w:rPr>
          <w:rFonts w:hint="eastAsia" w:eastAsia="宋体"/>
          <w:color w:val="000000"/>
          <w:sz w:val="24"/>
          <w:szCs w:val="24"/>
        </w:rPr>
        <w:t>很小</w:t>
      </w:r>
      <w:r>
        <w:rPr>
          <w:rFonts w:eastAsia="宋体"/>
          <w:color w:val="000000"/>
          <w:sz w:val="24"/>
          <w:szCs w:val="24"/>
        </w:rPr>
        <w:t>的用途，</w:t>
      </w:r>
      <w:r>
        <w:rPr>
          <w:rFonts w:hint="eastAsia" w:eastAsia="宋体"/>
          <w:color w:val="000000"/>
          <w:sz w:val="24"/>
          <w:szCs w:val="24"/>
        </w:rPr>
        <w:t>因此</w:t>
      </w:r>
      <w:r>
        <w:rPr>
          <w:rFonts w:eastAsia="宋体"/>
          <w:color w:val="000000"/>
          <w:sz w:val="24"/>
          <w:szCs w:val="24"/>
        </w:rPr>
        <w:t>不包含在预期用途中。</w:t>
      </w:r>
    </w:p>
    <w:p w14:paraId="5A09004A">
      <w:pPr>
        <w:shd w:val="clear" w:color="auto" w:fill="FFFFFF"/>
        <w:snapToGrid w:val="0"/>
        <w:jc w:val="both"/>
        <w:rPr>
          <w:rFonts w:eastAsia="宋体"/>
          <w:sz w:val="24"/>
          <w:szCs w:val="24"/>
        </w:rPr>
      </w:pPr>
    </w:p>
    <w:p w14:paraId="265CEFD3">
      <w:pPr>
        <w:shd w:val="clear" w:color="auto" w:fill="FFFFFF"/>
        <w:snapToGrid w:val="0"/>
        <w:jc w:val="both"/>
        <w:rPr>
          <w:rFonts w:eastAsia="宋体"/>
          <w:color w:val="000000"/>
          <w:sz w:val="24"/>
          <w:szCs w:val="24"/>
        </w:rPr>
      </w:pPr>
      <w:r>
        <w:rPr>
          <w:rFonts w:eastAsia="宋体"/>
          <w:color w:val="000000"/>
          <w:sz w:val="24"/>
          <w:szCs w:val="24"/>
        </w:rPr>
        <w:t>在设计医疗器械的电子接口时，制造商应考虑实现接口用途所需的互操作性级别</w:t>
      </w:r>
      <w:r>
        <w:rPr>
          <w:rStyle w:val="13"/>
          <w:rFonts w:eastAsia="宋体"/>
          <w:sz w:val="24"/>
          <w:szCs w:val="24"/>
        </w:rPr>
        <w:footnoteReference w:id="2"/>
      </w:r>
      <w:r>
        <w:rPr>
          <w:rFonts w:eastAsia="宋体"/>
          <w:color w:val="000000"/>
          <w:sz w:val="24"/>
          <w:szCs w:val="24"/>
        </w:rPr>
        <w:t>，以及描述接口所需的信息。</w:t>
      </w:r>
      <w:r>
        <w:rPr>
          <w:rFonts w:hint="eastAsia" w:eastAsia="宋体"/>
          <w:color w:val="000000"/>
          <w:sz w:val="24"/>
          <w:szCs w:val="24"/>
        </w:rPr>
        <w:t>标记</w:t>
      </w:r>
      <w:r>
        <w:rPr>
          <w:rFonts w:eastAsia="宋体"/>
          <w:color w:val="000000"/>
          <w:sz w:val="24"/>
          <w:szCs w:val="24"/>
        </w:rPr>
        <w:t>应足够详细，以允许预期用户按预期连接并使用医疗器械和接口。</w:t>
      </w:r>
    </w:p>
    <w:p w14:paraId="56693C6E">
      <w:pPr>
        <w:shd w:val="clear" w:color="auto" w:fill="FFFFFF"/>
        <w:snapToGrid w:val="0"/>
        <w:jc w:val="both"/>
        <w:rPr>
          <w:rFonts w:eastAsia="宋体"/>
          <w:sz w:val="24"/>
          <w:szCs w:val="24"/>
        </w:rPr>
      </w:pPr>
    </w:p>
    <w:p w14:paraId="1E402C71">
      <w:pPr>
        <w:shd w:val="clear" w:color="auto" w:fill="FFFFFF"/>
        <w:snapToGrid w:val="0"/>
        <w:jc w:val="both"/>
        <w:rPr>
          <w:rFonts w:eastAsia="宋体"/>
          <w:sz w:val="24"/>
          <w:szCs w:val="24"/>
        </w:rPr>
      </w:pPr>
      <w:r>
        <w:rPr>
          <w:rFonts w:eastAsia="宋体"/>
          <w:color w:val="000000"/>
          <w:sz w:val="24"/>
          <w:szCs w:val="24"/>
        </w:rPr>
        <w:t>不同类型的电子接口的设计考虑事项可能有所不同。与向信息系统传递信息的接口相比，预期为了同步目的而传递电脉冲的接口有不同的要求。在设计器械的电子接口时应考虑的要素包括但不限于以下内容：</w:t>
      </w:r>
    </w:p>
    <w:p w14:paraId="1EF5B4C8">
      <w:pPr>
        <w:shd w:val="clear" w:color="auto" w:fill="FFFFFF"/>
        <w:snapToGrid w:val="0"/>
        <w:ind w:left="1275" w:leftChars="480" w:hanging="315"/>
        <w:jc w:val="both"/>
        <w:rPr>
          <w:rFonts w:eastAsia="宋体"/>
          <w:color w:val="000000"/>
          <w:sz w:val="24"/>
          <w:szCs w:val="24"/>
        </w:rPr>
      </w:pPr>
    </w:p>
    <w:p w14:paraId="53252C4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预期</w:t>
      </w:r>
      <w:r>
        <w:rPr>
          <w:rFonts w:eastAsia="宋体"/>
          <w:color w:val="000000"/>
          <w:sz w:val="24"/>
          <w:szCs w:val="24"/>
        </w:rPr>
        <w:t>连接的器械类型；</w:t>
      </w:r>
    </w:p>
    <w:p w14:paraId="54218965">
      <w:pPr>
        <w:shd w:val="clear" w:color="auto" w:fill="FFFFFF"/>
        <w:tabs>
          <w:tab w:val="left" w:pos="360"/>
        </w:tabs>
        <w:snapToGrid w:val="0"/>
        <w:jc w:val="both"/>
        <w:rPr>
          <w:rFonts w:eastAsia="宋体"/>
          <w:sz w:val="24"/>
          <w:szCs w:val="24"/>
        </w:rPr>
      </w:pPr>
    </w:p>
    <w:p w14:paraId="25A0D876">
      <w:pPr>
        <w:shd w:val="clear" w:color="auto" w:fill="FFFFFF"/>
        <w:tabs>
          <w:tab w:val="left" w:pos="36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69CE882">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发生的数据交换的类型（例如，发送、接收、发出命令和控制）；</w:t>
      </w:r>
    </w:p>
    <w:p w14:paraId="6C907B32">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标准的使用（例如，数据格式、传输、接口标准、标准术语）；</w:t>
      </w:r>
    </w:p>
    <w:p w14:paraId="7DD3214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时间同步的需求</w:t>
      </w:r>
      <w:r>
        <w:rPr>
          <w:rStyle w:val="13"/>
          <w:rFonts w:eastAsia="宋体"/>
          <w:sz w:val="24"/>
          <w:szCs w:val="24"/>
        </w:rPr>
        <w:footnoteReference w:id="3"/>
      </w:r>
      <w:r>
        <w:rPr>
          <w:rFonts w:eastAsia="宋体"/>
          <w:color w:val="000000"/>
          <w:sz w:val="24"/>
          <w:szCs w:val="24"/>
        </w:rPr>
        <w:t>；</w:t>
      </w:r>
    </w:p>
    <w:p w14:paraId="27B175CB">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数据传输的方法；</w:t>
      </w:r>
    </w:p>
    <w:p w14:paraId="5E00B91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数据</w:t>
      </w:r>
      <w:r>
        <w:rPr>
          <w:rFonts w:eastAsia="宋体"/>
          <w:color w:val="000000"/>
          <w:sz w:val="24"/>
          <w:szCs w:val="24"/>
        </w:rPr>
        <w:t>必</w:t>
      </w:r>
      <w:r>
        <w:rPr>
          <w:rFonts w:hint="eastAsia" w:eastAsia="宋体"/>
          <w:color w:val="000000"/>
          <w:sz w:val="24"/>
          <w:szCs w:val="24"/>
        </w:rPr>
        <w:t>需</w:t>
      </w:r>
      <w:r>
        <w:rPr>
          <w:rFonts w:eastAsia="宋体"/>
          <w:color w:val="000000"/>
          <w:sz w:val="24"/>
          <w:szCs w:val="24"/>
        </w:rPr>
        <w:t>的及时性和可靠性（如取样率、传输率）；</w:t>
      </w:r>
    </w:p>
    <w:p w14:paraId="5CC9D171">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使用者在使用电子接口时应做或不应做的事，包括使用交换信息的禁忌症、警告及注意事项；</w:t>
      </w:r>
    </w:p>
    <w:p w14:paraId="4574C25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在接口中使用交换信息的临床背景，例如用于在重症监护病房中将麻醉剂输送给镇静患者的输液泵；</w:t>
      </w:r>
    </w:p>
    <w:p w14:paraId="2B4FE80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接口的互操作性场景，例如，制造商如何预期被使用的接口。例如，在一项新生儿8小时研究中，将脉搏血氧仪的接口用于把数据发送到计算机系统以评估睡眠情况。计算机系统也从心电图中收集信息。因此，脉搏血氧仪和心电图的信息需要时间同步，并以特定的速率采集数据。了解这个场景可以证明对特定功能的需求；</w:t>
      </w:r>
    </w:p>
    <w:p w14:paraId="33855AB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获取</w:t>
      </w:r>
      <w:r>
        <w:rPr>
          <w:rFonts w:eastAsia="宋体"/>
          <w:color w:val="000000"/>
          <w:sz w:val="24"/>
          <w:szCs w:val="24"/>
        </w:rPr>
        <w:t>交换信息后该器械的功能和性能要求；</w:t>
      </w:r>
    </w:p>
    <w:p w14:paraId="1DF6EAB7">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通过应用程序编程接口（API）的预期信息流或信息交换，</w:t>
      </w:r>
      <w:r>
        <w:rPr>
          <w:rFonts w:hint="eastAsia" w:eastAsia="宋体"/>
          <w:color w:val="000000"/>
          <w:sz w:val="24"/>
          <w:szCs w:val="24"/>
        </w:rPr>
        <w:t>需考虑</w:t>
      </w:r>
      <w:r>
        <w:rPr>
          <w:rFonts w:eastAsia="宋体"/>
          <w:color w:val="000000"/>
          <w:sz w:val="24"/>
          <w:szCs w:val="24"/>
        </w:rPr>
        <w:t>可接受和不可接受命令</w:t>
      </w:r>
      <w:r>
        <w:rPr>
          <w:rFonts w:hint="eastAsia" w:eastAsia="宋体"/>
          <w:color w:val="000000"/>
          <w:sz w:val="24"/>
          <w:szCs w:val="24"/>
        </w:rPr>
        <w:t>对接口的影响</w:t>
      </w:r>
      <w:r>
        <w:rPr>
          <w:rFonts w:eastAsia="宋体"/>
          <w:color w:val="000000"/>
          <w:sz w:val="24"/>
          <w:szCs w:val="24"/>
        </w:rPr>
        <w:t>，以及</w:t>
      </w:r>
      <w:r>
        <w:rPr>
          <w:rFonts w:hint="eastAsia" w:eastAsia="宋体"/>
          <w:color w:val="000000"/>
          <w:sz w:val="24"/>
          <w:szCs w:val="24"/>
        </w:rPr>
        <w:t>该</w:t>
      </w:r>
      <w:r>
        <w:rPr>
          <w:rFonts w:eastAsia="宋体"/>
          <w:color w:val="000000"/>
          <w:sz w:val="24"/>
          <w:szCs w:val="24"/>
        </w:rPr>
        <w:t>接口对器械安全性和有效性的影响；和</w:t>
      </w:r>
    </w:p>
    <w:p w14:paraId="24973118">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元数据的传输（例如，医疗器械唯一标识（UDI）、软件版本、配置、设置）。</w:t>
      </w:r>
    </w:p>
    <w:p w14:paraId="57432B8D">
      <w:pPr>
        <w:shd w:val="clear" w:color="auto" w:fill="FFFFFF"/>
        <w:snapToGrid w:val="0"/>
        <w:ind w:left="1275" w:leftChars="480" w:hanging="315"/>
        <w:jc w:val="both"/>
        <w:rPr>
          <w:rFonts w:eastAsia="宋体"/>
          <w:sz w:val="21"/>
          <w:szCs w:val="21"/>
        </w:rPr>
      </w:pPr>
    </w:p>
    <w:p w14:paraId="46EAA527">
      <w:pPr>
        <w:pStyle w:val="3"/>
        <w:spacing w:before="240" w:after="240"/>
        <w:rPr>
          <w:rFonts w:eastAsia="宋体"/>
        </w:rPr>
      </w:pPr>
      <w:bookmarkStart w:id="11" w:name="bookmark8"/>
      <w:bookmarkStart w:id="12" w:name="_Toc97485693"/>
      <w:r>
        <w:rPr>
          <w:rFonts w:eastAsia="宋体"/>
        </w:rPr>
        <w:t>B</w:t>
      </w:r>
      <w:bookmarkEnd w:id="11"/>
      <w:r>
        <w:rPr>
          <w:rFonts w:eastAsia="宋体"/>
        </w:rPr>
        <w:t>.</w:t>
      </w:r>
      <w:r>
        <w:rPr>
          <w:rFonts w:eastAsia="宋体"/>
        </w:rPr>
        <w:tab/>
      </w:r>
      <w:r>
        <w:rPr>
          <w:rFonts w:eastAsia="宋体"/>
        </w:rPr>
        <w:t>预期用户</w:t>
      </w:r>
      <w:bookmarkEnd w:id="12"/>
    </w:p>
    <w:p w14:paraId="32CE9658">
      <w:pPr>
        <w:shd w:val="clear" w:color="auto" w:fill="FFFFFF"/>
        <w:snapToGrid w:val="0"/>
        <w:jc w:val="both"/>
        <w:rPr>
          <w:rFonts w:eastAsia="宋体"/>
          <w:sz w:val="24"/>
          <w:szCs w:val="24"/>
        </w:rPr>
      </w:pPr>
      <w:r>
        <w:rPr>
          <w:rFonts w:eastAsia="宋体"/>
          <w:color w:val="000000"/>
          <w:sz w:val="24"/>
          <w:szCs w:val="24"/>
        </w:rPr>
        <w:t>确定电子接口的预期用户</w:t>
      </w:r>
      <w:r>
        <w:rPr>
          <w:rFonts w:hint="eastAsia" w:eastAsia="宋体"/>
          <w:color w:val="000000"/>
          <w:sz w:val="24"/>
          <w:szCs w:val="24"/>
        </w:rPr>
        <w:t>和</w:t>
      </w:r>
      <w:r>
        <w:rPr>
          <w:rFonts w:eastAsia="宋体"/>
          <w:color w:val="000000"/>
          <w:sz w:val="24"/>
          <w:szCs w:val="24"/>
        </w:rPr>
        <w:t>确定电子接口的用途</w:t>
      </w:r>
      <w:r>
        <w:rPr>
          <w:rFonts w:hint="eastAsia" w:eastAsia="宋体"/>
          <w:color w:val="000000"/>
          <w:sz w:val="24"/>
          <w:szCs w:val="24"/>
        </w:rPr>
        <w:t>同样重要和</w:t>
      </w:r>
      <w:r>
        <w:rPr>
          <w:rFonts w:eastAsia="宋体"/>
          <w:color w:val="000000"/>
          <w:sz w:val="24"/>
          <w:szCs w:val="24"/>
        </w:rPr>
        <w:t>。确定预期用户将有助于适当应用风险管理策略，如制定适当的使用说明和设置器械使用限制，包括禁忌症、警告和注意事项。制造商应</w:t>
      </w:r>
      <w:r>
        <w:rPr>
          <w:rFonts w:hint="eastAsia" w:eastAsia="宋体"/>
          <w:color w:val="000000"/>
          <w:sz w:val="24"/>
          <w:szCs w:val="24"/>
        </w:rPr>
        <w:t>识别</w:t>
      </w:r>
      <w:r>
        <w:rPr>
          <w:rFonts w:eastAsia="宋体"/>
          <w:color w:val="000000"/>
          <w:sz w:val="24"/>
          <w:szCs w:val="24"/>
        </w:rPr>
        <w:t>其器械</w:t>
      </w:r>
      <w:r>
        <w:rPr>
          <w:rFonts w:hint="eastAsia" w:eastAsia="宋体"/>
          <w:color w:val="000000"/>
          <w:sz w:val="24"/>
          <w:szCs w:val="24"/>
        </w:rPr>
        <w:t>的</w:t>
      </w:r>
      <w:r>
        <w:rPr>
          <w:rFonts w:eastAsia="宋体"/>
          <w:color w:val="000000"/>
          <w:sz w:val="24"/>
          <w:szCs w:val="24"/>
        </w:rPr>
        <w:t>预期用户，以及器械预期如何在互操作性系统中</w:t>
      </w:r>
      <w:r>
        <w:rPr>
          <w:rFonts w:hint="eastAsia" w:eastAsia="宋体"/>
          <w:color w:val="000000"/>
          <w:sz w:val="24"/>
          <w:szCs w:val="24"/>
        </w:rPr>
        <w:t>被</w:t>
      </w:r>
      <w:r>
        <w:rPr>
          <w:rFonts w:eastAsia="宋体"/>
          <w:color w:val="000000"/>
          <w:sz w:val="24"/>
          <w:szCs w:val="24"/>
        </w:rPr>
        <w:t>使用。制造商应提供足够的信息，以便预期用户能够安全有效地使用电子接口。不同类型的使用者可能需要不同的信息。例如：</w:t>
      </w:r>
    </w:p>
    <w:p w14:paraId="3A6A8B41">
      <w:pPr>
        <w:shd w:val="clear" w:color="auto" w:fill="FFFFFF"/>
        <w:snapToGrid w:val="0"/>
        <w:jc w:val="both"/>
        <w:rPr>
          <w:rFonts w:eastAsia="宋体"/>
          <w:sz w:val="24"/>
          <w:szCs w:val="24"/>
        </w:rPr>
      </w:pPr>
    </w:p>
    <w:p w14:paraId="246D1BED">
      <w:pPr>
        <w:shd w:val="clear" w:color="auto" w:fill="FFFFFF"/>
        <w:snapToGrid w:val="0"/>
        <w:jc w:val="both"/>
        <w:rPr>
          <w:rFonts w:eastAsia="宋体"/>
          <w:sz w:val="24"/>
          <w:szCs w:val="24"/>
        </w:rPr>
      </w:pPr>
    </w:p>
    <w:p w14:paraId="08D50860">
      <w:pPr>
        <w:shd w:val="clear" w:color="auto" w:fill="FFFFFF"/>
        <w:snapToGrid w:val="0"/>
        <w:jc w:val="both"/>
        <w:rPr>
          <w:rFonts w:eastAsia="宋体"/>
          <w:sz w:val="24"/>
          <w:szCs w:val="24"/>
        </w:rPr>
      </w:pPr>
    </w:p>
    <w:p w14:paraId="6FAF03F8">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8382AAB">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使用者、操作员和临床医生需要了解与使用环境和</w:t>
      </w:r>
      <w:r>
        <w:rPr>
          <w:rFonts w:hint="eastAsia" w:eastAsia="宋体"/>
          <w:color w:val="000000"/>
          <w:sz w:val="24"/>
          <w:szCs w:val="24"/>
        </w:rPr>
        <w:t>预期</w:t>
      </w:r>
      <w:r>
        <w:rPr>
          <w:rFonts w:eastAsia="宋体"/>
          <w:color w:val="000000"/>
          <w:sz w:val="24"/>
          <w:szCs w:val="24"/>
        </w:rPr>
        <w:t>临床任务相关的临床</w:t>
      </w:r>
      <w:r>
        <w:rPr>
          <w:rFonts w:hint="eastAsia" w:eastAsia="宋体"/>
          <w:color w:val="000000"/>
          <w:sz w:val="24"/>
          <w:szCs w:val="24"/>
        </w:rPr>
        <w:t>应用</w:t>
      </w:r>
      <w:r>
        <w:rPr>
          <w:rFonts w:eastAsia="宋体"/>
          <w:color w:val="000000"/>
          <w:sz w:val="24"/>
          <w:szCs w:val="24"/>
        </w:rPr>
        <w:t>和潜在风险；</w:t>
      </w:r>
    </w:p>
    <w:p w14:paraId="0DC9B96A">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器械维护人员和医院临床工程师需要知道应采取什么措施来验证正确的配置和操作。他们需要确保系统按规定发挥功能；</w:t>
      </w:r>
    </w:p>
    <w:p w14:paraId="0EDAE270">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IT专业人员需要了解连接到他们维护和运营的网络的器械的性能需求和安全要求；</w:t>
      </w:r>
    </w:p>
    <w:p w14:paraId="7E2DAEB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系统集成商，系统设计者和医疗器械设计者负责其系统或器械的安全有效运行，并需要了解他们使用的组件的功能，以便他们能够执行适当的风险管理和确认；和</w:t>
      </w:r>
    </w:p>
    <w:p w14:paraId="39957083">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患者可能需要如何在家庭环境中使用其器械的具体说明。</w:t>
      </w:r>
    </w:p>
    <w:p w14:paraId="350A2224">
      <w:pPr>
        <w:shd w:val="clear" w:color="auto" w:fill="FFFFFF"/>
        <w:snapToGrid w:val="0"/>
        <w:jc w:val="both"/>
        <w:rPr>
          <w:rFonts w:eastAsia="宋体"/>
          <w:color w:val="000000"/>
          <w:sz w:val="24"/>
          <w:szCs w:val="24"/>
        </w:rPr>
      </w:pPr>
    </w:p>
    <w:p w14:paraId="60CC7CAB">
      <w:pPr>
        <w:shd w:val="clear" w:color="auto" w:fill="FFFFFF"/>
        <w:snapToGrid w:val="0"/>
        <w:jc w:val="both"/>
        <w:rPr>
          <w:rFonts w:eastAsia="宋体"/>
          <w:color w:val="000000"/>
          <w:sz w:val="24"/>
          <w:szCs w:val="24"/>
        </w:rPr>
      </w:pPr>
      <w:r>
        <w:rPr>
          <w:rFonts w:eastAsia="宋体"/>
          <w:color w:val="000000"/>
          <w:sz w:val="24"/>
          <w:szCs w:val="24"/>
        </w:rPr>
        <w:t>制造商在设计器械（包括电子接口）和开发器械说明时，都应考虑不同的使用者。这些考虑事项可能会影响制造商是限制器械的使用者，还是</w:t>
      </w:r>
      <w:r>
        <w:rPr>
          <w:rFonts w:hint="eastAsia" w:eastAsia="宋体"/>
          <w:color w:val="000000"/>
          <w:sz w:val="24"/>
          <w:szCs w:val="24"/>
        </w:rPr>
        <w:t>对</w:t>
      </w:r>
      <w:r>
        <w:rPr>
          <w:rFonts w:eastAsia="宋体"/>
          <w:color w:val="000000"/>
          <w:sz w:val="24"/>
          <w:szCs w:val="24"/>
        </w:rPr>
        <w:t>器械的使用方式</w:t>
      </w:r>
      <w:r>
        <w:rPr>
          <w:rFonts w:hint="eastAsia" w:eastAsia="宋体"/>
          <w:color w:val="000000"/>
          <w:sz w:val="24"/>
          <w:szCs w:val="24"/>
        </w:rPr>
        <w:t>施加</w:t>
      </w:r>
      <w:r>
        <w:rPr>
          <w:rFonts w:eastAsia="宋体"/>
          <w:color w:val="000000"/>
          <w:sz w:val="24"/>
          <w:szCs w:val="24"/>
        </w:rPr>
        <w:t>限制。为不同的使用者开发不同的说明可能有助于缓解风险。</w:t>
      </w:r>
    </w:p>
    <w:p w14:paraId="1FD791CD">
      <w:pPr>
        <w:shd w:val="clear" w:color="auto" w:fill="FFFFFF"/>
        <w:snapToGrid w:val="0"/>
        <w:jc w:val="both"/>
        <w:rPr>
          <w:rFonts w:eastAsia="宋体"/>
          <w:sz w:val="24"/>
          <w:szCs w:val="24"/>
        </w:rPr>
      </w:pPr>
    </w:p>
    <w:p w14:paraId="2C012B9B">
      <w:pPr>
        <w:shd w:val="clear" w:color="auto" w:fill="FFFFFF"/>
        <w:snapToGrid w:val="0"/>
        <w:jc w:val="both"/>
        <w:rPr>
          <w:rFonts w:eastAsia="宋体"/>
          <w:color w:val="000000"/>
          <w:sz w:val="24"/>
          <w:szCs w:val="24"/>
        </w:rPr>
      </w:pPr>
      <w:r>
        <w:rPr>
          <w:rFonts w:eastAsia="宋体"/>
          <w:color w:val="000000"/>
          <w:sz w:val="24"/>
          <w:szCs w:val="24"/>
        </w:rPr>
        <w:t>制造商的风险管理策略应</w:t>
      </w:r>
      <w:r>
        <w:rPr>
          <w:rFonts w:hint="eastAsia" w:eastAsia="宋体"/>
          <w:color w:val="000000"/>
          <w:sz w:val="24"/>
          <w:szCs w:val="24"/>
        </w:rPr>
        <w:t>考虑</w:t>
      </w:r>
      <w:r>
        <w:rPr>
          <w:rFonts w:eastAsia="宋体"/>
          <w:color w:val="000000"/>
          <w:sz w:val="24"/>
          <w:szCs w:val="24"/>
        </w:rPr>
        <w:t>器械的预期用户、合理可预见的器械误用以及可能导致危险情况的合理可预见的事件组合相关的风险。然而，FDA认识到，制造商不</w:t>
      </w:r>
      <w:r>
        <w:rPr>
          <w:rFonts w:hint="eastAsia" w:eastAsia="宋体"/>
          <w:color w:val="000000"/>
          <w:sz w:val="24"/>
          <w:szCs w:val="24"/>
        </w:rPr>
        <w:t>可</w:t>
      </w:r>
      <w:r>
        <w:rPr>
          <w:rFonts w:eastAsia="宋体"/>
          <w:color w:val="000000"/>
          <w:sz w:val="24"/>
          <w:szCs w:val="24"/>
        </w:rPr>
        <w:t>能对接口目的以外的所有可能用途负责。基于合理可预见的使用和误用相关的风险，制造商可能</w:t>
      </w:r>
      <w:r>
        <w:rPr>
          <w:rFonts w:hint="eastAsia" w:eastAsia="宋体"/>
          <w:color w:val="000000"/>
          <w:sz w:val="24"/>
          <w:szCs w:val="24"/>
        </w:rPr>
        <w:t>更改</w:t>
      </w:r>
      <w:r>
        <w:rPr>
          <w:rFonts w:eastAsia="宋体"/>
          <w:color w:val="000000"/>
          <w:sz w:val="24"/>
          <w:szCs w:val="24"/>
        </w:rPr>
        <w:t>器械的设计</w:t>
      </w:r>
      <w:r>
        <w:rPr>
          <w:rFonts w:hint="eastAsia" w:eastAsia="宋体"/>
          <w:color w:val="000000"/>
          <w:sz w:val="24"/>
          <w:szCs w:val="24"/>
        </w:rPr>
        <w:t>和</w:t>
      </w:r>
      <w:r>
        <w:rPr>
          <w:rFonts w:eastAsia="宋体"/>
          <w:color w:val="000000"/>
          <w:sz w:val="24"/>
          <w:szCs w:val="24"/>
        </w:rPr>
        <w:t>预期的互操作性场景，或在器械标记中包含警告</w:t>
      </w:r>
      <w:r>
        <w:rPr>
          <w:rFonts w:hint="eastAsia" w:eastAsia="宋体"/>
          <w:color w:val="000000"/>
          <w:sz w:val="24"/>
          <w:szCs w:val="24"/>
        </w:rPr>
        <w:t>、</w:t>
      </w:r>
      <w:r>
        <w:rPr>
          <w:rFonts w:eastAsia="宋体"/>
          <w:color w:val="000000"/>
          <w:sz w:val="24"/>
          <w:szCs w:val="24"/>
        </w:rPr>
        <w:t>注意事项或禁忌症，以将风险降低到可接受水平。</w:t>
      </w:r>
    </w:p>
    <w:p w14:paraId="43F2B3BF">
      <w:pPr>
        <w:shd w:val="clear" w:color="auto" w:fill="FFFFFF"/>
        <w:snapToGrid w:val="0"/>
        <w:jc w:val="both"/>
        <w:rPr>
          <w:rFonts w:eastAsia="宋体"/>
          <w:sz w:val="21"/>
          <w:szCs w:val="21"/>
        </w:rPr>
      </w:pPr>
    </w:p>
    <w:p w14:paraId="50E68971">
      <w:pPr>
        <w:pStyle w:val="3"/>
        <w:spacing w:before="240" w:after="240"/>
        <w:rPr>
          <w:rFonts w:eastAsia="宋体"/>
        </w:rPr>
      </w:pPr>
      <w:bookmarkStart w:id="13" w:name="bookmark10"/>
      <w:bookmarkStart w:id="14" w:name="_Toc97485694"/>
      <w:r>
        <w:rPr>
          <w:rFonts w:eastAsia="宋体"/>
        </w:rPr>
        <w:t>C</w:t>
      </w:r>
      <w:bookmarkEnd w:id="13"/>
      <w:r>
        <w:rPr>
          <w:rFonts w:eastAsia="宋体"/>
        </w:rPr>
        <w:t>.</w:t>
      </w:r>
      <w:r>
        <w:rPr>
          <w:rFonts w:eastAsia="宋体"/>
        </w:rPr>
        <w:tab/>
      </w:r>
      <w:r>
        <w:rPr>
          <w:rFonts w:eastAsia="宋体"/>
        </w:rPr>
        <w:t>风险管理考虑事项</w:t>
      </w:r>
      <w:bookmarkEnd w:id="14"/>
    </w:p>
    <w:p w14:paraId="373392D6">
      <w:pPr>
        <w:shd w:val="clear" w:color="auto" w:fill="FFFFFF"/>
        <w:snapToGrid w:val="0"/>
        <w:jc w:val="both"/>
        <w:rPr>
          <w:rFonts w:eastAsia="宋体"/>
          <w:sz w:val="24"/>
          <w:szCs w:val="24"/>
        </w:rPr>
      </w:pPr>
      <w:r>
        <w:rPr>
          <w:rFonts w:eastAsia="宋体"/>
          <w:color w:val="000000"/>
          <w:sz w:val="24"/>
          <w:szCs w:val="24"/>
        </w:rPr>
        <w:t>在医疗器械上包括电子接口可能会影响风险管理考虑事项，包括医疗器械</w:t>
      </w:r>
      <w:r>
        <w:rPr>
          <w:rFonts w:hint="eastAsia" w:eastAsia="宋体"/>
          <w:color w:val="000000"/>
          <w:sz w:val="24"/>
          <w:szCs w:val="24"/>
        </w:rPr>
        <w:t>、</w:t>
      </w:r>
      <w:r>
        <w:rPr>
          <w:rFonts w:eastAsia="宋体"/>
          <w:color w:val="000000"/>
          <w:sz w:val="24"/>
          <w:szCs w:val="24"/>
        </w:rPr>
        <w:t>网络和其</w:t>
      </w:r>
      <w:r>
        <w:rPr>
          <w:rFonts w:hint="eastAsia" w:eastAsia="宋体"/>
          <w:color w:val="000000"/>
          <w:sz w:val="24"/>
          <w:szCs w:val="24"/>
        </w:rPr>
        <w:t>对接</w:t>
      </w:r>
      <w:r>
        <w:rPr>
          <w:rFonts w:eastAsia="宋体"/>
          <w:color w:val="000000"/>
          <w:sz w:val="24"/>
          <w:szCs w:val="24"/>
        </w:rPr>
        <w:t>器械的安全性。应</w:t>
      </w:r>
      <w:r>
        <w:rPr>
          <w:rFonts w:hint="eastAsia" w:eastAsia="宋体"/>
          <w:color w:val="000000"/>
          <w:sz w:val="24"/>
          <w:szCs w:val="24"/>
        </w:rPr>
        <w:t>对</w:t>
      </w:r>
      <w:r>
        <w:rPr>
          <w:rFonts w:eastAsia="宋体"/>
          <w:color w:val="000000"/>
          <w:sz w:val="24"/>
          <w:szCs w:val="24"/>
        </w:rPr>
        <w:t>有意和无意访问接口医疗器械所造成的风险</w:t>
      </w:r>
      <w:r>
        <w:rPr>
          <w:rFonts w:hint="eastAsia" w:eastAsia="宋体"/>
          <w:color w:val="000000"/>
          <w:sz w:val="24"/>
          <w:szCs w:val="24"/>
        </w:rPr>
        <w:t>进行分析</w:t>
      </w:r>
      <w:r>
        <w:rPr>
          <w:rFonts w:eastAsia="宋体"/>
          <w:color w:val="000000"/>
          <w:sz w:val="24"/>
          <w:szCs w:val="24"/>
        </w:rPr>
        <w:t>。FDA认识到，管理互操作性医疗器械包括平衡如何允许预期访问，同时实施安全功能以限制对医疗器械的非预期访问。</w:t>
      </w:r>
      <w:r>
        <w:rPr>
          <w:rStyle w:val="13"/>
          <w:rFonts w:eastAsia="宋体"/>
          <w:sz w:val="24"/>
          <w:szCs w:val="24"/>
        </w:rPr>
        <w:footnoteReference w:id="4"/>
      </w:r>
    </w:p>
    <w:p w14:paraId="5094ECF7">
      <w:pPr>
        <w:shd w:val="clear" w:color="auto" w:fill="FFFFFF"/>
        <w:snapToGrid w:val="0"/>
        <w:jc w:val="both"/>
        <w:rPr>
          <w:rFonts w:eastAsia="宋体"/>
          <w:sz w:val="24"/>
          <w:szCs w:val="24"/>
        </w:rPr>
      </w:pPr>
    </w:p>
    <w:p w14:paraId="7C5395AB">
      <w:pPr>
        <w:shd w:val="clear" w:color="auto" w:fill="FFFFFF"/>
        <w:snapToGrid w:val="0"/>
        <w:jc w:val="both"/>
        <w:rPr>
          <w:rFonts w:eastAsia="宋体"/>
          <w:sz w:val="24"/>
          <w:szCs w:val="24"/>
        </w:rPr>
      </w:pPr>
    </w:p>
    <w:p w14:paraId="2DA1CE70">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3796858">
      <w:pPr>
        <w:shd w:val="clear" w:color="auto" w:fill="FFFFFF"/>
        <w:snapToGrid w:val="0"/>
        <w:jc w:val="both"/>
        <w:rPr>
          <w:rFonts w:eastAsia="宋体"/>
          <w:sz w:val="24"/>
          <w:szCs w:val="24"/>
        </w:rPr>
      </w:pPr>
      <w:r>
        <w:rPr>
          <w:rFonts w:eastAsia="宋体"/>
          <w:color w:val="000000"/>
          <w:sz w:val="24"/>
          <w:szCs w:val="24"/>
        </w:rPr>
        <w:t>FDA建议制造商在其风险管理方法中特别关注包含电子接口时引入的潜在危险、安全隐患和安全问题。例如，作为评价和设计流程的一部分，制造商应考虑以下事项：</w:t>
      </w:r>
    </w:p>
    <w:p w14:paraId="53A4C0A6">
      <w:pPr>
        <w:shd w:val="clear" w:color="auto" w:fill="FFFFFF"/>
        <w:tabs>
          <w:tab w:val="left" w:pos="1440"/>
        </w:tabs>
        <w:snapToGrid w:val="0"/>
        <w:jc w:val="both"/>
        <w:rPr>
          <w:rFonts w:eastAsia="宋体"/>
          <w:color w:val="000000"/>
          <w:sz w:val="24"/>
          <w:szCs w:val="24"/>
        </w:rPr>
      </w:pPr>
    </w:p>
    <w:p w14:paraId="727F817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接口的实施和使用是否会降低器械的基本安全或风险控制；</w:t>
      </w:r>
    </w:p>
    <w:p w14:paraId="20976271">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接口的实施和使用是否会降低IEC 60601-1中定义的器械的基本性能；</w:t>
      </w:r>
    </w:p>
    <w:p w14:paraId="6AA84E3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设计中是否包含适当的安全功能；和</w:t>
      </w:r>
    </w:p>
    <w:p w14:paraId="55CD3A31">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器械是否具有处理已损坏或超出适当参数的数据的能力。</w:t>
      </w:r>
    </w:p>
    <w:p w14:paraId="3D3E5C11">
      <w:pPr>
        <w:shd w:val="clear" w:color="auto" w:fill="FFFFFF"/>
        <w:snapToGrid w:val="0"/>
        <w:jc w:val="both"/>
        <w:rPr>
          <w:rFonts w:eastAsia="宋体"/>
          <w:color w:val="000000"/>
          <w:sz w:val="24"/>
          <w:szCs w:val="24"/>
        </w:rPr>
      </w:pPr>
    </w:p>
    <w:p w14:paraId="1C5ED218">
      <w:pPr>
        <w:shd w:val="clear" w:color="auto" w:fill="FFFFFF"/>
        <w:snapToGrid w:val="0"/>
        <w:jc w:val="both"/>
        <w:rPr>
          <w:rFonts w:eastAsia="宋体"/>
          <w:color w:val="000000"/>
          <w:sz w:val="24"/>
          <w:szCs w:val="24"/>
        </w:rPr>
      </w:pPr>
      <w:r>
        <w:rPr>
          <w:rFonts w:eastAsia="宋体"/>
          <w:color w:val="000000"/>
          <w:sz w:val="24"/>
          <w:szCs w:val="24"/>
        </w:rPr>
        <w:t>请注意，此列表并非旨在全面列出制造商应针对其单个医疗器械解决的问题。制造商应自行评估并解决在风险管理活动中识别出的问题。</w:t>
      </w:r>
    </w:p>
    <w:p w14:paraId="7CAE94FE">
      <w:pPr>
        <w:shd w:val="clear" w:color="auto" w:fill="FFFFFF"/>
        <w:snapToGrid w:val="0"/>
        <w:jc w:val="both"/>
        <w:rPr>
          <w:rFonts w:eastAsia="宋体"/>
          <w:sz w:val="24"/>
          <w:szCs w:val="24"/>
        </w:rPr>
      </w:pPr>
    </w:p>
    <w:p w14:paraId="5096CFE8">
      <w:pPr>
        <w:shd w:val="clear" w:color="auto" w:fill="FFFFFF"/>
        <w:snapToGrid w:val="0"/>
        <w:jc w:val="both"/>
        <w:rPr>
          <w:rFonts w:eastAsia="宋体"/>
          <w:color w:val="000000"/>
          <w:sz w:val="24"/>
          <w:szCs w:val="24"/>
        </w:rPr>
      </w:pPr>
      <w:r>
        <w:rPr>
          <w:rFonts w:eastAsia="宋体"/>
          <w:color w:val="000000"/>
          <w:sz w:val="24"/>
          <w:szCs w:val="24"/>
        </w:rPr>
        <w:t>此外，现有的通信和互操作性标准可用于决定在电子接口的风险分析中应解决哪些问题或隐患。</w:t>
      </w:r>
    </w:p>
    <w:p w14:paraId="44B2C608">
      <w:pPr>
        <w:shd w:val="clear" w:color="auto" w:fill="FFFFFF"/>
        <w:snapToGrid w:val="0"/>
        <w:jc w:val="both"/>
        <w:rPr>
          <w:rFonts w:eastAsia="宋体"/>
          <w:sz w:val="24"/>
          <w:szCs w:val="24"/>
        </w:rPr>
      </w:pPr>
    </w:p>
    <w:p w14:paraId="1963F714">
      <w:pPr>
        <w:shd w:val="clear" w:color="auto" w:fill="FFFFFF"/>
        <w:snapToGrid w:val="0"/>
        <w:jc w:val="both"/>
        <w:rPr>
          <w:rFonts w:eastAsia="宋体"/>
          <w:sz w:val="24"/>
          <w:szCs w:val="24"/>
        </w:rPr>
      </w:pPr>
      <w:r>
        <w:rPr>
          <w:rFonts w:eastAsia="宋体"/>
          <w:color w:val="000000"/>
          <w:sz w:val="24"/>
          <w:szCs w:val="24"/>
        </w:rPr>
        <w:t>FDA认为，互操作性系统应在正常和故障条件下保持基本安全和基本性能。制造商设计</w:t>
      </w:r>
      <w:r>
        <w:rPr>
          <w:rFonts w:hint="eastAsia" w:eastAsia="宋体"/>
          <w:color w:val="000000"/>
          <w:sz w:val="24"/>
          <w:szCs w:val="24"/>
        </w:rPr>
        <w:t>的</w:t>
      </w:r>
      <w:r>
        <w:rPr>
          <w:rFonts w:eastAsia="宋体"/>
          <w:color w:val="000000"/>
          <w:sz w:val="24"/>
          <w:szCs w:val="24"/>
        </w:rPr>
        <w:t>互操作性医疗器械，</w:t>
      </w:r>
      <w:r>
        <w:rPr>
          <w:rFonts w:hint="eastAsia" w:eastAsia="宋体"/>
          <w:color w:val="000000"/>
          <w:sz w:val="24"/>
          <w:szCs w:val="24"/>
        </w:rPr>
        <w:t>，应</w:t>
      </w:r>
      <w:r>
        <w:rPr>
          <w:rFonts w:eastAsia="宋体"/>
          <w:color w:val="000000"/>
          <w:sz w:val="24"/>
          <w:szCs w:val="24"/>
        </w:rPr>
        <w:t>能够适当缓解与可能的错误场景相关的风险，例如：</w:t>
      </w:r>
      <w:r>
        <w:rPr>
          <w:rStyle w:val="13"/>
          <w:rFonts w:eastAsia="宋体"/>
          <w:sz w:val="24"/>
          <w:szCs w:val="24"/>
        </w:rPr>
        <w:t xml:space="preserve"> </w:t>
      </w:r>
      <w:r>
        <w:rPr>
          <w:rStyle w:val="13"/>
          <w:rFonts w:eastAsia="宋体"/>
          <w:sz w:val="24"/>
          <w:szCs w:val="24"/>
        </w:rPr>
        <w:footnoteReference w:id="5"/>
      </w:r>
    </w:p>
    <w:p w14:paraId="2B0A6966">
      <w:pPr>
        <w:shd w:val="clear" w:color="auto" w:fill="FFFFFF"/>
        <w:tabs>
          <w:tab w:val="left" w:pos="1440"/>
        </w:tabs>
        <w:snapToGrid w:val="0"/>
        <w:jc w:val="both"/>
        <w:rPr>
          <w:rFonts w:eastAsia="宋体"/>
          <w:color w:val="000000"/>
          <w:sz w:val="24"/>
          <w:szCs w:val="24"/>
        </w:rPr>
      </w:pPr>
    </w:p>
    <w:p w14:paraId="497A2B32">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直接或间接连接目标器械导致的失效或故障；</w:t>
      </w:r>
    </w:p>
    <w:p w14:paraId="6ED7FF6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无效命令导致的失效或故障；</w:t>
      </w:r>
    </w:p>
    <w:p w14:paraId="6F6DA48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接收和处理错误的数据或命令导致的失效或故障；和</w:t>
      </w:r>
    </w:p>
    <w:p w14:paraId="5C4E8D90">
      <w:pPr>
        <w:shd w:val="clear" w:color="auto" w:fill="FFFFFF"/>
        <w:snapToGrid w:val="0"/>
        <w:ind w:left="660" w:leftChars="150" w:hanging="360" w:hangingChars="150"/>
        <w:jc w:val="both"/>
        <w:rPr>
          <w:rFonts w:eastAsia="宋体"/>
          <w:color w:val="000000"/>
          <w:sz w:val="24"/>
          <w:szCs w:val="24"/>
        </w:rPr>
      </w:pPr>
    </w:p>
    <w:p w14:paraId="4C99AD2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由于不符合通信规范的非功能性要求而导致的失效或故障。对于非功能性要求，FDA参考了ASTM 2761-09（2013）中列出的示例（例如，带宽、延迟、时间同步）。</w:t>
      </w:r>
    </w:p>
    <w:p w14:paraId="3E944A7F">
      <w:pPr>
        <w:shd w:val="clear" w:color="auto" w:fill="FFFFFF"/>
        <w:snapToGrid w:val="0"/>
        <w:jc w:val="both"/>
        <w:rPr>
          <w:rFonts w:eastAsia="宋体"/>
          <w:color w:val="000000"/>
          <w:sz w:val="24"/>
          <w:szCs w:val="24"/>
        </w:rPr>
      </w:pPr>
    </w:p>
    <w:p w14:paraId="59FAACBF">
      <w:pPr>
        <w:shd w:val="clear" w:color="auto" w:fill="FFFFFF"/>
        <w:snapToGrid w:val="0"/>
        <w:jc w:val="both"/>
        <w:rPr>
          <w:rFonts w:eastAsia="宋体"/>
          <w:sz w:val="24"/>
          <w:szCs w:val="24"/>
        </w:rPr>
      </w:pPr>
      <w:r>
        <w:rPr>
          <w:rFonts w:eastAsia="宋体"/>
          <w:color w:val="000000"/>
          <w:sz w:val="24"/>
          <w:szCs w:val="24"/>
        </w:rPr>
        <w:t>医疗器械制造商应完成对其连接的风险评定，其中应考虑合理可预见的使用和误用。制造商应确保风险</w:t>
      </w:r>
      <w:r>
        <w:rPr>
          <w:rFonts w:hint="eastAsia" w:eastAsia="宋体"/>
          <w:color w:val="000000"/>
          <w:sz w:val="24"/>
          <w:szCs w:val="24"/>
        </w:rPr>
        <w:t>已</w:t>
      </w:r>
      <w:r>
        <w:rPr>
          <w:rFonts w:eastAsia="宋体"/>
          <w:color w:val="000000"/>
          <w:sz w:val="24"/>
          <w:szCs w:val="24"/>
        </w:rPr>
        <w:t>降低。对于包含多个医疗器械的复杂系统，识别和管理风险可能相当复杂。若要处理包含多个医疗器械的复杂系统，制造商应使用系统方法并应用本部分中列出的考虑事项。</w:t>
      </w:r>
    </w:p>
    <w:p w14:paraId="00C20796">
      <w:pPr>
        <w:shd w:val="clear" w:color="auto" w:fill="FFFFFF"/>
        <w:snapToGrid w:val="0"/>
        <w:jc w:val="both"/>
        <w:rPr>
          <w:rFonts w:eastAsia="宋体"/>
          <w:sz w:val="24"/>
          <w:szCs w:val="24"/>
        </w:rPr>
      </w:pPr>
    </w:p>
    <w:p w14:paraId="2EA9C40F">
      <w:pPr>
        <w:shd w:val="clear" w:color="auto" w:fill="FFFFFF"/>
        <w:snapToGrid w:val="0"/>
        <w:jc w:val="both"/>
        <w:rPr>
          <w:rFonts w:eastAsia="宋体"/>
          <w:sz w:val="24"/>
          <w:szCs w:val="24"/>
        </w:rPr>
      </w:pPr>
    </w:p>
    <w:p w14:paraId="41D340A0">
      <w:pPr>
        <w:shd w:val="clear" w:color="auto" w:fill="FFFFFF"/>
        <w:snapToGrid w:val="0"/>
        <w:jc w:val="both"/>
        <w:rPr>
          <w:rFonts w:eastAsia="宋体"/>
          <w:sz w:val="24"/>
          <w:szCs w:val="24"/>
        </w:rPr>
      </w:pPr>
    </w:p>
    <w:p w14:paraId="606322E9">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563F32A3">
      <w:pPr>
        <w:shd w:val="clear" w:color="auto" w:fill="FFFFFF"/>
        <w:snapToGrid w:val="0"/>
        <w:jc w:val="both"/>
        <w:rPr>
          <w:rFonts w:eastAsia="宋体"/>
          <w:sz w:val="24"/>
          <w:szCs w:val="24"/>
        </w:rPr>
      </w:pPr>
      <w:r>
        <w:rPr>
          <w:rFonts w:eastAsia="宋体"/>
          <w:color w:val="000000"/>
          <w:sz w:val="24"/>
          <w:szCs w:val="24"/>
        </w:rPr>
        <w:t>作为符合21 CFR第820部分的风险管理过程的一部分，制造商应在医疗器械的整个生命周期中建立、记录和维护一个持续的过程，用于识别危险、估计和评价相关风险、控制这些风险以及监测控制措施的有效性。这一过程应包括风险分析、风险评价、风险控制以及生产和生产后信息的合并。FDA认识到，医疗器械互操作性是利益相关者之间的共同风险，包括医疗保健机构、患者、提供者和医疗器械制造商。制造商应有一个明确的流程，以系统地进行风险评价，并确定风险是可接受还是不可接受。本指南无法描述与医疗器械互操作性相关的所有危险和风险。一个示例是第三方非预期使用接口相关的风险。FDA建议制造商定义并记录在整个器械生命周期中客观评估其医疗器械的可预见使用和合理可预见误用</w:t>
      </w:r>
      <w:r>
        <w:rPr>
          <w:rFonts w:hint="eastAsia" w:eastAsia="宋体"/>
          <w:color w:val="000000"/>
          <w:sz w:val="24"/>
          <w:szCs w:val="24"/>
        </w:rPr>
        <w:t>的</w:t>
      </w:r>
      <w:r>
        <w:rPr>
          <w:rFonts w:eastAsia="宋体"/>
          <w:color w:val="000000"/>
          <w:sz w:val="24"/>
          <w:szCs w:val="24"/>
        </w:rPr>
        <w:t>流程。</w:t>
      </w:r>
    </w:p>
    <w:p w14:paraId="518689EE">
      <w:pPr>
        <w:pStyle w:val="3"/>
        <w:spacing w:before="240" w:after="240"/>
        <w:rPr>
          <w:rFonts w:eastAsia="宋体"/>
        </w:rPr>
      </w:pPr>
      <w:bookmarkStart w:id="15" w:name="bookmark13"/>
      <w:bookmarkStart w:id="16" w:name="_Toc97485695"/>
      <w:r>
        <w:rPr>
          <w:rFonts w:eastAsia="宋体"/>
        </w:rPr>
        <w:t>D</w:t>
      </w:r>
      <w:bookmarkEnd w:id="15"/>
      <w:r>
        <w:rPr>
          <w:rFonts w:eastAsia="宋体"/>
        </w:rPr>
        <w:t>.</w:t>
      </w:r>
      <w:r>
        <w:rPr>
          <w:rFonts w:eastAsia="宋体"/>
        </w:rPr>
        <w:tab/>
      </w:r>
      <w:r>
        <w:rPr>
          <w:rFonts w:eastAsia="宋体"/>
        </w:rPr>
        <w:t>验证和确认考虑事项</w:t>
      </w:r>
      <w:bookmarkEnd w:id="16"/>
    </w:p>
    <w:p w14:paraId="31664CD3">
      <w:pPr>
        <w:shd w:val="clear" w:color="auto" w:fill="FFFFFF"/>
        <w:snapToGrid w:val="0"/>
        <w:jc w:val="both"/>
        <w:rPr>
          <w:rFonts w:eastAsia="宋体"/>
          <w:color w:val="000000"/>
          <w:sz w:val="24"/>
          <w:szCs w:val="24"/>
        </w:rPr>
      </w:pPr>
      <w:r>
        <w:rPr>
          <w:rFonts w:eastAsia="宋体"/>
          <w:color w:val="000000"/>
          <w:sz w:val="24"/>
          <w:szCs w:val="24"/>
        </w:rPr>
        <w:t>所需要的验证和确认将取决于与器械相关的风险等级、接口的用途、器械在目标系统中的预期用途以及器械的预期用途。</w:t>
      </w:r>
    </w:p>
    <w:p w14:paraId="3C9DFA91">
      <w:pPr>
        <w:shd w:val="clear" w:color="auto" w:fill="FFFFFF"/>
        <w:snapToGrid w:val="0"/>
        <w:jc w:val="both"/>
        <w:rPr>
          <w:rFonts w:eastAsia="宋体"/>
          <w:sz w:val="24"/>
          <w:szCs w:val="24"/>
        </w:rPr>
      </w:pPr>
    </w:p>
    <w:p w14:paraId="13A26432">
      <w:pPr>
        <w:shd w:val="clear" w:color="auto" w:fill="FFFFFF"/>
        <w:snapToGrid w:val="0"/>
        <w:jc w:val="both"/>
        <w:rPr>
          <w:rFonts w:eastAsia="宋体"/>
          <w:color w:val="000000"/>
          <w:sz w:val="24"/>
          <w:szCs w:val="24"/>
        </w:rPr>
      </w:pPr>
      <w:r>
        <w:rPr>
          <w:rFonts w:eastAsia="宋体"/>
          <w:color w:val="000000"/>
          <w:sz w:val="24"/>
          <w:szCs w:val="24"/>
        </w:rPr>
        <w:t>互操作性医疗器械应经过适当级别的测试，以证明电子接口上的交互按预期进行。医疗器械制造商应根据接口的用途测试电子接口，并应确保其符合预期规范。对于要与有限数量的特定器械配合使用的器械，进行</w:t>
      </w:r>
      <w:r>
        <w:rPr>
          <w:rFonts w:hint="eastAsia" w:eastAsia="宋体"/>
          <w:color w:val="000000"/>
          <w:sz w:val="24"/>
          <w:szCs w:val="24"/>
        </w:rPr>
        <w:t>相关</w:t>
      </w:r>
      <w:r>
        <w:rPr>
          <w:rFonts w:eastAsia="宋体"/>
          <w:color w:val="000000"/>
          <w:sz w:val="24"/>
          <w:szCs w:val="24"/>
        </w:rPr>
        <w:t>适当的测试，以证明这些联用特定器械的安全运行。对于要与多个器械配合使用的器械，可能适合针对接口规格和典型器械进行测试以完成验证。如果医疗器械将用作更大的互操作性系统的一部分，制造商应进行测试，以合理地保证医疗器械在按照其说明进行组装、安装和维护时能够继续安全有效地实现其预期用途。</w:t>
      </w:r>
    </w:p>
    <w:p w14:paraId="57EA8BA2">
      <w:pPr>
        <w:shd w:val="clear" w:color="auto" w:fill="FFFFFF"/>
        <w:snapToGrid w:val="0"/>
        <w:jc w:val="both"/>
        <w:rPr>
          <w:rFonts w:eastAsia="宋体"/>
          <w:sz w:val="24"/>
          <w:szCs w:val="24"/>
        </w:rPr>
      </w:pPr>
    </w:p>
    <w:p w14:paraId="5BFBABE7">
      <w:pPr>
        <w:shd w:val="clear" w:color="auto" w:fill="FFFFFF"/>
        <w:snapToGrid w:val="0"/>
        <w:jc w:val="both"/>
        <w:rPr>
          <w:rFonts w:eastAsia="宋体"/>
          <w:color w:val="000000"/>
          <w:sz w:val="24"/>
          <w:szCs w:val="24"/>
        </w:rPr>
      </w:pPr>
      <w:r>
        <w:rPr>
          <w:rFonts w:eastAsia="宋体"/>
          <w:color w:val="000000"/>
          <w:sz w:val="24"/>
          <w:szCs w:val="24"/>
        </w:rPr>
        <w:t>例如，制造商应：</w:t>
      </w:r>
    </w:p>
    <w:p w14:paraId="60FEA5E4">
      <w:pPr>
        <w:shd w:val="clear" w:color="auto" w:fill="FFFFFF"/>
        <w:snapToGrid w:val="0"/>
        <w:jc w:val="both"/>
        <w:rPr>
          <w:rFonts w:eastAsia="宋体"/>
          <w:sz w:val="24"/>
          <w:szCs w:val="24"/>
        </w:rPr>
      </w:pPr>
    </w:p>
    <w:p w14:paraId="242F0807">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验证并确认当数据损坏时，可以检测到数据并进行适当管理；</w:t>
      </w:r>
    </w:p>
    <w:p w14:paraId="3B53B31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执行测试以确保器械在以超出指定参数范围的方式接收数据时继续安全运行。确定如何或是否可以检测到这一点以及这将对系统的其他部分产生什么影响；</w:t>
      </w:r>
    </w:p>
    <w:p w14:paraId="150B065A">
      <w:pPr>
        <w:shd w:val="clear" w:color="auto" w:fill="FFFFFF"/>
        <w:tabs>
          <w:tab w:val="left" w:pos="1440"/>
        </w:tabs>
        <w:snapToGrid w:val="0"/>
        <w:jc w:val="both"/>
        <w:rPr>
          <w:rFonts w:eastAsia="宋体"/>
          <w:sz w:val="24"/>
          <w:szCs w:val="24"/>
        </w:rPr>
      </w:pPr>
    </w:p>
    <w:p w14:paraId="62FF619E">
      <w:pPr>
        <w:shd w:val="clear" w:color="auto" w:fill="FFFFFF"/>
        <w:tabs>
          <w:tab w:val="left" w:pos="144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A50C9B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实施容错设计并验证其性能；</w:t>
      </w:r>
    </w:p>
    <w:p w14:paraId="0857006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为关键功能建立和指定故障安全状态（例如，传递能量，实时监测）；</w:t>
      </w:r>
    </w:p>
    <w:p w14:paraId="0CB6DBD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如果符合共识标准，则验证并确认设计是否符合标准中确定的目的和范围；</w:t>
      </w:r>
    </w:p>
    <w:p w14:paraId="5E1D777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验证只允许授权用户（个人、器械和系统）与互操作性医疗器械交换信息；</w:t>
      </w:r>
    </w:p>
    <w:p w14:paraId="2B7CE35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确认用户界面。确定使用者能够正确地使用界面；</w:t>
      </w:r>
    </w:p>
    <w:p w14:paraId="7129D1D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确保合理可预见的相互作用不会导致其他网络化系统的不正确操作；以及</w:t>
      </w:r>
    </w:p>
    <w:p w14:paraId="6C6464D8">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进行模拟器械真实世界使用的测试。</w:t>
      </w:r>
    </w:p>
    <w:p w14:paraId="627DABC7">
      <w:pPr>
        <w:shd w:val="clear" w:color="auto" w:fill="FFFFFF"/>
        <w:snapToGrid w:val="0"/>
        <w:jc w:val="both"/>
        <w:rPr>
          <w:rFonts w:eastAsia="宋体"/>
          <w:color w:val="000000"/>
          <w:sz w:val="24"/>
          <w:szCs w:val="24"/>
        </w:rPr>
      </w:pPr>
    </w:p>
    <w:p w14:paraId="0A33CE22">
      <w:pPr>
        <w:shd w:val="clear" w:color="auto" w:fill="FFFFFF"/>
        <w:snapToGrid w:val="0"/>
        <w:jc w:val="both"/>
        <w:rPr>
          <w:rFonts w:eastAsia="宋体"/>
          <w:color w:val="000000"/>
          <w:sz w:val="24"/>
          <w:szCs w:val="24"/>
        </w:rPr>
      </w:pPr>
      <w:r>
        <w:rPr>
          <w:rFonts w:eastAsia="宋体"/>
          <w:color w:val="000000"/>
          <w:sz w:val="24"/>
          <w:szCs w:val="24"/>
        </w:rPr>
        <w:t>作为互操作性医疗器械规范的一部分，制造商还应考虑开发适当的测试场景，以允许使用者评估医疗器械在并入预期互操作性系统时是否保持了基本的安全性和有效性。</w:t>
      </w:r>
    </w:p>
    <w:p w14:paraId="0077A3DB">
      <w:pPr>
        <w:shd w:val="clear" w:color="auto" w:fill="FFFFFF"/>
        <w:snapToGrid w:val="0"/>
        <w:jc w:val="both"/>
        <w:rPr>
          <w:rFonts w:eastAsia="宋体"/>
          <w:sz w:val="24"/>
          <w:szCs w:val="24"/>
        </w:rPr>
      </w:pPr>
    </w:p>
    <w:p w14:paraId="08D5B033">
      <w:pPr>
        <w:pStyle w:val="3"/>
        <w:spacing w:before="240" w:after="240"/>
        <w:rPr>
          <w:rFonts w:eastAsia="宋体"/>
        </w:rPr>
      </w:pPr>
      <w:bookmarkStart w:id="17" w:name="bookmark14"/>
      <w:bookmarkStart w:id="18" w:name="_Toc97485696"/>
      <w:r>
        <w:rPr>
          <w:rFonts w:eastAsia="宋体"/>
        </w:rPr>
        <w:t>E</w:t>
      </w:r>
      <w:bookmarkEnd w:id="17"/>
      <w:r>
        <w:rPr>
          <w:rFonts w:eastAsia="宋体"/>
        </w:rPr>
        <w:t>.</w:t>
      </w:r>
      <w:r>
        <w:rPr>
          <w:rFonts w:eastAsia="宋体"/>
        </w:rPr>
        <w:tab/>
      </w:r>
      <w:r>
        <w:rPr>
          <w:rFonts w:eastAsia="宋体"/>
        </w:rPr>
        <w:t>标记考虑事项</w:t>
      </w:r>
      <w:bookmarkEnd w:id="18"/>
    </w:p>
    <w:p w14:paraId="08D54B61">
      <w:pPr>
        <w:shd w:val="clear" w:color="auto" w:fill="FFFFFF"/>
        <w:snapToGrid w:val="0"/>
        <w:jc w:val="both"/>
        <w:rPr>
          <w:rFonts w:eastAsia="宋体"/>
          <w:sz w:val="24"/>
          <w:szCs w:val="24"/>
        </w:rPr>
      </w:pPr>
      <w:r>
        <w:rPr>
          <w:rFonts w:eastAsia="宋体"/>
          <w:color w:val="000000"/>
          <w:sz w:val="24"/>
          <w:szCs w:val="24"/>
        </w:rPr>
        <w:t>降低风险和促进安全有效的医疗器械互操作性的一种方法是在</w:t>
      </w:r>
      <w:r>
        <w:rPr>
          <w:rFonts w:hint="eastAsia" w:eastAsia="宋体"/>
          <w:color w:val="000000"/>
          <w:sz w:val="24"/>
          <w:szCs w:val="24"/>
        </w:rPr>
        <w:t>标记</w:t>
      </w:r>
      <w:r>
        <w:rPr>
          <w:rFonts w:eastAsia="宋体"/>
          <w:color w:val="000000"/>
          <w:sz w:val="24"/>
          <w:szCs w:val="24"/>
        </w:rPr>
        <w:t>中包括可用于将医疗器械与其他电子器械连接的电子接口的功能和性能要求。</w:t>
      </w:r>
      <w:r>
        <w:rPr>
          <w:rStyle w:val="13"/>
          <w:rFonts w:eastAsia="宋体"/>
          <w:sz w:val="24"/>
          <w:szCs w:val="24"/>
        </w:rPr>
        <w:t xml:space="preserve"> </w:t>
      </w:r>
      <w:r>
        <w:rPr>
          <w:rStyle w:val="13"/>
          <w:rFonts w:eastAsia="宋体"/>
          <w:sz w:val="24"/>
          <w:szCs w:val="24"/>
        </w:rPr>
        <w:footnoteReference w:id="6"/>
      </w:r>
      <w:r>
        <w:rPr>
          <w:rFonts w:eastAsia="宋体"/>
          <w:color w:val="000000"/>
          <w:sz w:val="24"/>
          <w:szCs w:val="24"/>
        </w:rPr>
        <w:t xml:space="preserve"> 标记选项可能包括器械包装内的材料、使用说明或制造商网站上发布的特定器械信息。制造商应根据预期用户和风险分析确定提供信息的适当方式。</w:t>
      </w:r>
    </w:p>
    <w:p w14:paraId="79B985B7">
      <w:pPr>
        <w:shd w:val="clear" w:color="auto" w:fill="FFFFFF"/>
        <w:snapToGrid w:val="0"/>
        <w:jc w:val="both"/>
        <w:rPr>
          <w:rFonts w:eastAsia="宋体"/>
          <w:sz w:val="24"/>
          <w:szCs w:val="24"/>
        </w:rPr>
      </w:pPr>
    </w:p>
    <w:p w14:paraId="5D4BABE3">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B0E0300">
      <w:pPr>
        <w:shd w:val="clear" w:color="auto" w:fill="FFFFFF"/>
        <w:snapToGrid w:val="0"/>
        <w:jc w:val="both"/>
        <w:rPr>
          <w:rFonts w:eastAsia="宋体"/>
          <w:sz w:val="24"/>
          <w:szCs w:val="24"/>
        </w:rPr>
      </w:pPr>
      <w:r>
        <w:rPr>
          <w:rFonts w:eastAsia="宋体"/>
          <w:color w:val="000000"/>
          <w:sz w:val="24"/>
          <w:szCs w:val="24"/>
        </w:rPr>
        <w:t>即使器械不需要进行上市前递交，第VI.D部分中的建议也可能有助于制定清晰的标记并将风险降至最低。第VI.D部分为上市前申报资料标记建议。</w:t>
      </w:r>
    </w:p>
    <w:p w14:paraId="2395E12E">
      <w:pPr>
        <w:pStyle w:val="3"/>
        <w:spacing w:before="240" w:after="240"/>
        <w:rPr>
          <w:rFonts w:eastAsia="宋体"/>
        </w:rPr>
      </w:pPr>
      <w:bookmarkStart w:id="19" w:name="bookmark16"/>
      <w:bookmarkStart w:id="20" w:name="_Toc97485697"/>
      <w:r>
        <w:rPr>
          <w:rFonts w:eastAsia="宋体"/>
        </w:rPr>
        <w:t>F</w:t>
      </w:r>
      <w:bookmarkEnd w:id="19"/>
      <w:r>
        <w:rPr>
          <w:rFonts w:eastAsia="宋体"/>
        </w:rPr>
        <w:t>.</w:t>
      </w:r>
      <w:r>
        <w:rPr>
          <w:rFonts w:eastAsia="宋体"/>
        </w:rPr>
        <w:tab/>
      </w:r>
      <w:r>
        <w:rPr>
          <w:rFonts w:eastAsia="宋体"/>
        </w:rPr>
        <w:t>共识标准的使用</w:t>
      </w:r>
      <w:bookmarkEnd w:id="20"/>
    </w:p>
    <w:p w14:paraId="47EC74CE">
      <w:pPr>
        <w:shd w:val="clear" w:color="auto" w:fill="FFFFFF"/>
        <w:snapToGrid w:val="0"/>
        <w:jc w:val="both"/>
        <w:rPr>
          <w:rFonts w:eastAsia="宋体"/>
          <w:color w:val="000000"/>
          <w:sz w:val="24"/>
          <w:szCs w:val="24"/>
        </w:rPr>
      </w:pPr>
      <w:r>
        <w:rPr>
          <w:rFonts w:eastAsia="宋体"/>
          <w:color w:val="000000"/>
          <w:sz w:val="24"/>
          <w:szCs w:val="24"/>
        </w:rPr>
        <w:t>FDA认识到在医疗器械的设计中，特别是在互操作性医疗器械的开发中，依赖已发布的共识标准的优势。因此，FDA认可了许多与互操作性医疗器械的开发和设计相关的共识标准，并鼓励使用这些共识标准。在许多情况下，支持互操作性的标准不仅可供医疗器械制造商使用，还可供许多其他利益相关者使用，如医疗保健提供机构，包括系统集成商、系统设计师和在医疗保健机构中工作的信息技术专业人员。</w:t>
      </w:r>
    </w:p>
    <w:p w14:paraId="5549ED88">
      <w:pPr>
        <w:shd w:val="clear" w:color="auto" w:fill="FFFFFF"/>
        <w:snapToGrid w:val="0"/>
        <w:jc w:val="both"/>
        <w:rPr>
          <w:rFonts w:eastAsia="宋体"/>
          <w:sz w:val="24"/>
          <w:szCs w:val="24"/>
        </w:rPr>
      </w:pPr>
    </w:p>
    <w:p w14:paraId="102A6D6D">
      <w:pPr>
        <w:shd w:val="clear" w:color="auto" w:fill="FFFFFF"/>
        <w:snapToGrid w:val="0"/>
        <w:jc w:val="both"/>
        <w:rPr>
          <w:rFonts w:eastAsia="宋体"/>
          <w:color w:val="000000"/>
          <w:sz w:val="24"/>
          <w:szCs w:val="24"/>
        </w:rPr>
      </w:pPr>
      <w:r>
        <w:rPr>
          <w:rFonts w:eastAsia="宋体"/>
          <w:color w:val="000000"/>
          <w:sz w:val="24"/>
          <w:szCs w:val="24"/>
        </w:rPr>
        <w:t>目前支持医疗器械互操作性的许多可用标准都是设计标准。这些标准可能会在上述其他设计考虑事项方面为制造商提供帮助。例如，标准可以指定数据格式、互操作性体系结构设计或与互操作性相关的其他方面。对于医疗器械制造商来说，遵守公认的共识标准</w:t>
      </w:r>
      <w:r>
        <w:rPr>
          <w:rFonts w:hint="eastAsia" w:eastAsia="宋体"/>
          <w:color w:val="000000"/>
          <w:sz w:val="24"/>
          <w:szCs w:val="24"/>
        </w:rPr>
        <w:t>是</w:t>
      </w:r>
      <w:r>
        <w:rPr>
          <w:rFonts w:eastAsia="宋体"/>
          <w:color w:val="000000"/>
          <w:sz w:val="24"/>
          <w:szCs w:val="24"/>
        </w:rPr>
        <w:t>自愿</w:t>
      </w:r>
      <w:r>
        <w:rPr>
          <w:rFonts w:hint="eastAsia" w:eastAsia="宋体"/>
          <w:color w:val="000000"/>
          <w:sz w:val="24"/>
          <w:szCs w:val="24"/>
        </w:rPr>
        <w:t>行为</w:t>
      </w:r>
      <w:r>
        <w:rPr>
          <w:rFonts w:eastAsia="宋体"/>
          <w:color w:val="000000"/>
          <w:sz w:val="24"/>
          <w:szCs w:val="24"/>
        </w:rPr>
        <w:t>。FDA对设计标准的认可并不意味着FDA推荐</w:t>
      </w:r>
      <w:r>
        <w:rPr>
          <w:rFonts w:hint="eastAsia" w:eastAsia="宋体"/>
          <w:color w:val="000000"/>
          <w:sz w:val="24"/>
          <w:szCs w:val="24"/>
        </w:rPr>
        <w:t>该</w:t>
      </w:r>
      <w:r>
        <w:rPr>
          <w:rFonts w:eastAsia="宋体"/>
          <w:color w:val="000000"/>
          <w:sz w:val="24"/>
          <w:szCs w:val="24"/>
        </w:rPr>
        <w:t>设计标准而不是另一种。FDA对支持互操作性的设计标准的认可意味着鼓励制造商、医疗保健机构和其他机构以标准化方式实施互操作性。或者，制造商可以选择将他们自己的设计偏好用于他们的医疗器械的界面（而不是已发布的共识标准）。</w:t>
      </w:r>
      <w:r>
        <w:rPr>
          <w:rFonts w:hint="eastAsia" w:eastAsia="宋体"/>
          <w:color w:val="000000"/>
          <w:sz w:val="24"/>
          <w:szCs w:val="24"/>
        </w:rPr>
        <w:t>无论怎样</w:t>
      </w:r>
      <w:r>
        <w:rPr>
          <w:rFonts w:eastAsia="宋体"/>
          <w:color w:val="000000"/>
          <w:sz w:val="24"/>
          <w:szCs w:val="24"/>
        </w:rPr>
        <w:t>，通过使所有使用者公开获得功能、性能和接口需求，可以最大限度地减少互操作性医疗器械的问题或误用。</w:t>
      </w:r>
    </w:p>
    <w:p w14:paraId="46B49B1B">
      <w:pPr>
        <w:shd w:val="clear" w:color="auto" w:fill="FFFFFF"/>
        <w:snapToGrid w:val="0"/>
        <w:jc w:val="both"/>
        <w:rPr>
          <w:rFonts w:eastAsia="宋体"/>
          <w:sz w:val="24"/>
          <w:szCs w:val="24"/>
        </w:rPr>
      </w:pPr>
    </w:p>
    <w:p w14:paraId="19AF309B">
      <w:pPr>
        <w:shd w:val="clear" w:color="auto" w:fill="FFFFFF"/>
        <w:snapToGrid w:val="0"/>
        <w:rPr>
          <w:rFonts w:eastAsia="宋体"/>
          <w:color w:val="0000FF"/>
          <w:sz w:val="24"/>
          <w:szCs w:val="24"/>
          <w:u w:val="single"/>
        </w:rPr>
      </w:pPr>
      <w:r>
        <w:rPr>
          <w:rFonts w:eastAsia="宋体"/>
          <w:color w:val="000000"/>
          <w:sz w:val="24"/>
          <w:szCs w:val="24"/>
        </w:rPr>
        <w:t xml:space="preserve">FDA继续评价待认可的支持医疗器械互操作性的标准。此外，FDA欢迎已发布的共识标准的建议以考虑认可情况  </w:t>
      </w:r>
      <w:r>
        <w:rPr>
          <w:rFonts w:eastAsia="宋体"/>
          <w:color w:val="0000FF"/>
          <w:sz w:val="24"/>
          <w:szCs w:val="24"/>
          <w:u w:val="single"/>
        </w:rPr>
        <w:t xml:space="preserve"> （http://www.fda.gov/MedicalDevices/DeviceRegulationandGuidance/Standards/ucm123739. htm</w:t>
      </w:r>
      <w:r>
        <w:rPr>
          <w:rFonts w:eastAsia="宋体"/>
          <w:color w:val="000000" w:themeColor="text1"/>
          <w:sz w:val="24"/>
          <w:szCs w:val="24"/>
        </w:rPr>
        <w:t xml:space="preserve">）。请参考FDA认可的共识标准数据库，了解当前 </w:t>
      </w:r>
      <w:r>
        <w:rPr>
          <w:rFonts w:eastAsia="宋体"/>
          <w:color w:val="000000"/>
          <w:sz w:val="24"/>
          <w:szCs w:val="24"/>
        </w:rPr>
        <w:t>认可的标准列表（</w:t>
      </w:r>
      <w:r>
        <w:rPr>
          <w:rFonts w:eastAsia="宋体"/>
          <w:color w:val="0000FF"/>
          <w:sz w:val="24"/>
          <w:szCs w:val="24"/>
          <w:u w:val="single"/>
        </w:rPr>
        <w:t>http://www.accessdata.fda.gov/scripts/cdrh/cfdocs/cfStandards/search.cfm）。</w:t>
      </w:r>
    </w:p>
    <w:p w14:paraId="70E85CF5">
      <w:pPr>
        <w:shd w:val="clear" w:color="auto" w:fill="FFFFFF"/>
        <w:snapToGrid w:val="0"/>
        <w:jc w:val="both"/>
        <w:rPr>
          <w:rFonts w:eastAsia="宋体"/>
          <w:sz w:val="24"/>
          <w:szCs w:val="24"/>
        </w:rPr>
      </w:pPr>
    </w:p>
    <w:p w14:paraId="1D431B1E">
      <w:pPr>
        <w:pStyle w:val="2"/>
        <w:spacing w:before="240" w:after="240"/>
        <w:ind w:left="632" w:hanging="632"/>
        <w:rPr>
          <w:rFonts w:eastAsia="宋体"/>
        </w:rPr>
      </w:pPr>
      <w:bookmarkStart w:id="21" w:name="bookmark17"/>
      <w:bookmarkStart w:id="22" w:name="_Toc97485698"/>
      <w:r>
        <w:rPr>
          <w:rFonts w:eastAsia="宋体"/>
        </w:rPr>
        <w:t>V</w:t>
      </w:r>
      <w:bookmarkEnd w:id="21"/>
      <w:r>
        <w:rPr>
          <w:rFonts w:eastAsia="宋体"/>
        </w:rPr>
        <w:t>I.</w:t>
      </w:r>
      <w:r>
        <w:rPr>
          <w:rFonts w:eastAsia="宋体"/>
        </w:rPr>
        <w:tab/>
      </w:r>
      <w:r>
        <w:rPr>
          <w:rFonts w:eastAsia="宋体"/>
        </w:rPr>
        <w:t>上市前申报资料内容的建议</w:t>
      </w:r>
      <w:bookmarkEnd w:id="22"/>
    </w:p>
    <w:p w14:paraId="327407F8">
      <w:pPr>
        <w:shd w:val="clear" w:color="auto" w:fill="FFFFFF"/>
        <w:snapToGrid w:val="0"/>
        <w:jc w:val="both"/>
        <w:rPr>
          <w:rFonts w:eastAsia="宋体"/>
          <w:sz w:val="24"/>
          <w:szCs w:val="24"/>
        </w:rPr>
      </w:pPr>
      <w:r>
        <w:rPr>
          <w:rFonts w:eastAsia="宋体"/>
          <w:color w:val="000000"/>
          <w:sz w:val="24"/>
          <w:szCs w:val="24"/>
        </w:rPr>
        <w:t>并不是所有互操作性医疗器械都需要向FDA提交上市前申报资料。本部分为需要上市前递交的互操作性医疗器械提供指导。上市前申报可能只包括互操作性系统</w:t>
      </w:r>
      <w:r>
        <w:rPr>
          <w:rFonts w:hint="eastAsia" w:eastAsia="宋体"/>
          <w:color w:val="000000"/>
          <w:sz w:val="24"/>
          <w:szCs w:val="24"/>
        </w:rPr>
        <w:t>中</w:t>
      </w:r>
      <w:r>
        <w:rPr>
          <w:rFonts w:eastAsia="宋体"/>
          <w:color w:val="000000"/>
          <w:sz w:val="24"/>
          <w:szCs w:val="24"/>
        </w:rPr>
        <w:t>一个器械，或者可能覆盖整个系统。</w:t>
      </w:r>
    </w:p>
    <w:p w14:paraId="2862862B">
      <w:pPr>
        <w:shd w:val="clear" w:color="auto" w:fill="FFFFFF"/>
        <w:snapToGrid w:val="0"/>
        <w:jc w:val="both"/>
        <w:rPr>
          <w:rFonts w:eastAsia="宋体"/>
          <w:sz w:val="24"/>
          <w:szCs w:val="24"/>
        </w:rPr>
      </w:pPr>
    </w:p>
    <w:p w14:paraId="66C1E7A0">
      <w:pPr>
        <w:shd w:val="clear" w:color="auto" w:fill="FFFFFF"/>
        <w:snapToGrid w:val="0"/>
        <w:jc w:val="both"/>
        <w:rPr>
          <w:rFonts w:eastAsia="宋体"/>
          <w:sz w:val="24"/>
          <w:szCs w:val="24"/>
        </w:rPr>
      </w:pPr>
    </w:p>
    <w:p w14:paraId="37DFD45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0E1168C">
      <w:pPr>
        <w:shd w:val="clear" w:color="auto" w:fill="FFFFFF"/>
        <w:snapToGrid w:val="0"/>
        <w:jc w:val="both"/>
        <w:rPr>
          <w:rFonts w:eastAsia="宋体"/>
          <w:sz w:val="24"/>
          <w:szCs w:val="24"/>
        </w:rPr>
      </w:pPr>
      <w:r>
        <w:rPr>
          <w:rFonts w:eastAsia="宋体"/>
          <w:color w:val="000000"/>
          <w:sz w:val="24"/>
          <w:szCs w:val="24"/>
        </w:rPr>
        <w:t>在准备上市前递交时，请考虑适用于该器械的任何其他相关FDA指南或特殊控制措施。对于旨在与其他产品、技术或系统交换和使用信息的医疗器械，FDA建议申办方提供与通常用于支持医疗器械其他功能或特征类似的基本信息。具体地说，当考虑电子接口的存在时，我们建议考虑本文件</w:t>
      </w:r>
      <w:r>
        <w:rPr>
          <w:rFonts w:ascii="宋体" w:hAnsi="宋体" w:eastAsia="宋体"/>
          <w:color w:val="000000"/>
          <w:sz w:val="24"/>
          <w:szCs w:val="24"/>
        </w:rPr>
        <w:t>“</w:t>
      </w:r>
      <w:r>
        <w:rPr>
          <w:rFonts w:eastAsia="宋体"/>
          <w:color w:val="000000"/>
          <w:sz w:val="24"/>
          <w:szCs w:val="24"/>
        </w:rPr>
        <w:t>互操作性医疗器械的设计考虑事项</w:t>
      </w:r>
      <w:r>
        <w:rPr>
          <w:rFonts w:ascii="宋体" w:hAnsi="宋体" w:eastAsia="宋体"/>
          <w:color w:val="000000"/>
          <w:sz w:val="24"/>
          <w:szCs w:val="24"/>
        </w:rPr>
        <w:t>”</w:t>
      </w:r>
      <w:r>
        <w:rPr>
          <w:rFonts w:eastAsia="宋体"/>
          <w:color w:val="000000"/>
          <w:sz w:val="24"/>
          <w:szCs w:val="24"/>
        </w:rPr>
        <w:t>部分中讨论的要素。与任何递交一样，在宣称器械与其他器械、技术或产品交换和使用信息时，递交的信息应足以支持该声明。</w:t>
      </w:r>
    </w:p>
    <w:p w14:paraId="762ABAA5">
      <w:pPr>
        <w:pStyle w:val="3"/>
        <w:spacing w:before="240" w:after="240"/>
        <w:rPr>
          <w:rFonts w:eastAsia="宋体"/>
        </w:rPr>
      </w:pPr>
      <w:bookmarkStart w:id="23" w:name="bookmark18"/>
      <w:bookmarkStart w:id="24" w:name="_Toc97485699"/>
      <w:r>
        <w:rPr>
          <w:rFonts w:eastAsia="宋体"/>
        </w:rPr>
        <w:t>A</w:t>
      </w:r>
      <w:bookmarkEnd w:id="23"/>
      <w:r>
        <w:rPr>
          <w:rFonts w:eastAsia="宋体"/>
        </w:rPr>
        <w:t>.</w:t>
      </w:r>
      <w:r>
        <w:rPr>
          <w:rFonts w:eastAsia="宋体"/>
        </w:rPr>
        <w:tab/>
      </w:r>
      <w:r>
        <w:rPr>
          <w:rFonts w:eastAsia="宋体"/>
        </w:rPr>
        <w:t>器械描述</w:t>
      </w:r>
      <w:bookmarkEnd w:id="24"/>
    </w:p>
    <w:p w14:paraId="60473836">
      <w:pPr>
        <w:shd w:val="clear" w:color="auto" w:fill="FFFFFF"/>
        <w:snapToGrid w:val="0"/>
        <w:jc w:val="both"/>
        <w:rPr>
          <w:rFonts w:eastAsia="宋体"/>
          <w:color w:val="000000"/>
          <w:sz w:val="24"/>
          <w:szCs w:val="24"/>
        </w:rPr>
      </w:pPr>
      <w:r>
        <w:rPr>
          <w:rFonts w:eastAsia="宋体"/>
          <w:color w:val="000000"/>
          <w:sz w:val="24"/>
          <w:szCs w:val="24"/>
        </w:rPr>
        <w:t>作为通常在上市前申报资料中递交的器械描述的一部分，申办方应包括对器械上每个面向外部的电子接口、每个接口的用途以及接口的预期用户的讨论。申办方还应描述每个接口的使用方式和/或接口使用的限制。如果该接口预期仅供制造商使用，则应明确说明这一点。如果该接口预期仅与特定器械配合使用，则应明确指定这些器械。</w:t>
      </w:r>
    </w:p>
    <w:p w14:paraId="27445B97">
      <w:pPr>
        <w:shd w:val="clear" w:color="auto" w:fill="FFFFFF"/>
        <w:snapToGrid w:val="0"/>
        <w:jc w:val="both"/>
        <w:rPr>
          <w:rFonts w:eastAsia="宋体"/>
          <w:sz w:val="24"/>
          <w:szCs w:val="24"/>
        </w:rPr>
      </w:pPr>
    </w:p>
    <w:p w14:paraId="047A7FE2">
      <w:pPr>
        <w:shd w:val="clear" w:color="auto" w:fill="FFFFFF"/>
        <w:snapToGrid w:val="0"/>
        <w:jc w:val="both"/>
        <w:rPr>
          <w:rFonts w:eastAsia="宋体"/>
          <w:color w:val="000000"/>
          <w:sz w:val="24"/>
          <w:szCs w:val="24"/>
        </w:rPr>
      </w:pPr>
      <w:r>
        <w:rPr>
          <w:rFonts w:eastAsia="宋体"/>
          <w:color w:val="000000"/>
          <w:sz w:val="24"/>
          <w:szCs w:val="24"/>
        </w:rPr>
        <w:t>如果器械旨在与其他医疗器械、产品、技术或系统交换或使用数据，则应包括对交换信息、交换方式以及交换信息对器械或其他受影响器械的影响的描述。根据对医疗器械进行的数据交换和使用的声明，这可能包括以下部分或全部要素：</w:t>
      </w:r>
    </w:p>
    <w:p w14:paraId="6A88B446">
      <w:pPr>
        <w:shd w:val="clear" w:color="auto" w:fill="FFFFFF"/>
        <w:snapToGrid w:val="0"/>
        <w:jc w:val="both"/>
        <w:rPr>
          <w:rFonts w:eastAsia="宋体"/>
          <w:sz w:val="24"/>
          <w:szCs w:val="24"/>
        </w:rPr>
      </w:pPr>
    </w:p>
    <w:p w14:paraId="1978E3F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解释接口的用途以及器械在互操作性系统中发挥的作用。这可能很简单，</w:t>
      </w:r>
      <w:r>
        <w:rPr>
          <w:rFonts w:hint="eastAsia" w:eastAsia="宋体"/>
          <w:color w:val="000000"/>
          <w:sz w:val="24"/>
          <w:szCs w:val="24"/>
        </w:rPr>
        <w:t>如同特定标准中所述，</w:t>
      </w:r>
      <w:r>
        <w:rPr>
          <w:rFonts w:eastAsia="宋体"/>
          <w:color w:val="000000"/>
          <w:sz w:val="24"/>
          <w:szCs w:val="24"/>
        </w:rPr>
        <w:t>只需声明器械旨在向特定产品、技术或系统体系结构提供器械数据；</w:t>
      </w:r>
    </w:p>
    <w:p w14:paraId="4DCDF18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指定接口是否旨在传输、接收或交换信息；</w:t>
      </w:r>
    </w:p>
    <w:p w14:paraId="70B721A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指定使用的任何标准，包括相关版本编号和日期。</w:t>
      </w:r>
    </w:p>
    <w:p w14:paraId="3C93EA0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描述信息及时性和完整性的要求（例如取样率，传输率）；</w:t>
      </w:r>
    </w:p>
    <w:p w14:paraId="1186C67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描述通信格式、速率和传输方法；</w:t>
      </w:r>
    </w:p>
    <w:p w14:paraId="7A78C9F3">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讨论限制（使用者不应做什么）、禁忌症、注意事项和警告；</w:t>
      </w:r>
    </w:p>
    <w:p w14:paraId="06E85FC0">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描述功能和性能要求；和</w:t>
      </w:r>
    </w:p>
    <w:p w14:paraId="1BADEE97">
      <w:pPr>
        <w:shd w:val="clear" w:color="auto" w:fill="FFFFFF"/>
        <w:tabs>
          <w:tab w:val="left" w:pos="1440"/>
        </w:tabs>
        <w:snapToGrid w:val="0"/>
        <w:jc w:val="both"/>
        <w:rPr>
          <w:rFonts w:eastAsia="宋体"/>
          <w:sz w:val="24"/>
          <w:szCs w:val="24"/>
        </w:rPr>
      </w:pPr>
    </w:p>
    <w:p w14:paraId="7AA6E647">
      <w:pPr>
        <w:shd w:val="clear" w:color="auto" w:fill="FFFFFF"/>
        <w:tabs>
          <w:tab w:val="left" w:pos="144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FDD204F">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如果器械是可供其他软件、医疗器械或系统使用的软件，请列出应用程序编程接口（API）。</w:t>
      </w:r>
    </w:p>
    <w:p w14:paraId="112D73E8">
      <w:pPr>
        <w:shd w:val="clear" w:color="auto" w:fill="FFFFFF"/>
        <w:snapToGrid w:val="0"/>
        <w:jc w:val="both"/>
        <w:rPr>
          <w:rFonts w:eastAsia="宋体"/>
          <w:color w:val="000000"/>
          <w:sz w:val="24"/>
          <w:szCs w:val="24"/>
        </w:rPr>
      </w:pPr>
    </w:p>
    <w:p w14:paraId="17C452D7">
      <w:pPr>
        <w:shd w:val="clear" w:color="auto" w:fill="FFFFFF"/>
        <w:snapToGrid w:val="0"/>
        <w:jc w:val="both"/>
        <w:rPr>
          <w:rFonts w:eastAsia="宋体"/>
          <w:color w:val="000000"/>
          <w:sz w:val="24"/>
          <w:szCs w:val="24"/>
        </w:rPr>
      </w:pPr>
      <w:r>
        <w:rPr>
          <w:rFonts w:eastAsia="宋体"/>
          <w:color w:val="000000"/>
          <w:sz w:val="24"/>
          <w:szCs w:val="24"/>
        </w:rPr>
        <w:t>请注意，必要的详细级别可能取决于制造商期望使用互操作性医疗器械的预期互操作性场景。</w:t>
      </w:r>
    </w:p>
    <w:p w14:paraId="61AAC77D">
      <w:pPr>
        <w:shd w:val="clear" w:color="auto" w:fill="FFFFFF"/>
        <w:snapToGrid w:val="0"/>
        <w:jc w:val="both"/>
        <w:rPr>
          <w:rFonts w:eastAsia="宋体"/>
          <w:sz w:val="24"/>
          <w:szCs w:val="24"/>
        </w:rPr>
      </w:pPr>
    </w:p>
    <w:p w14:paraId="6FB3E7E4">
      <w:pPr>
        <w:pStyle w:val="3"/>
        <w:spacing w:before="240" w:after="240"/>
        <w:rPr>
          <w:rFonts w:eastAsia="宋体"/>
        </w:rPr>
      </w:pPr>
      <w:bookmarkStart w:id="25" w:name="bookmark19"/>
      <w:bookmarkStart w:id="26" w:name="_Toc97485700"/>
      <w:r>
        <w:rPr>
          <w:rFonts w:eastAsia="宋体"/>
        </w:rPr>
        <w:t>B</w:t>
      </w:r>
      <w:bookmarkEnd w:id="25"/>
      <w:r>
        <w:rPr>
          <w:rFonts w:eastAsia="宋体"/>
        </w:rPr>
        <w:t>.</w:t>
      </w:r>
      <w:r>
        <w:rPr>
          <w:rFonts w:eastAsia="宋体"/>
        </w:rPr>
        <w:tab/>
      </w:r>
      <w:r>
        <w:rPr>
          <w:rFonts w:eastAsia="宋体"/>
        </w:rPr>
        <w:t>风险分析</w:t>
      </w:r>
      <w:bookmarkEnd w:id="26"/>
    </w:p>
    <w:p w14:paraId="63D3FBBB">
      <w:pPr>
        <w:shd w:val="clear" w:color="auto" w:fill="FFFFFF"/>
        <w:snapToGrid w:val="0"/>
        <w:jc w:val="both"/>
        <w:rPr>
          <w:rFonts w:eastAsia="宋体"/>
          <w:color w:val="000000"/>
          <w:sz w:val="24"/>
          <w:szCs w:val="24"/>
        </w:rPr>
      </w:pPr>
      <w:r>
        <w:rPr>
          <w:rFonts w:eastAsia="宋体"/>
          <w:color w:val="000000"/>
          <w:sz w:val="24"/>
          <w:szCs w:val="24"/>
        </w:rPr>
        <w:t>制造商的风险分析应考虑与互操作性、合理可预见的误用以及可能导致危险情况的合理可预见的事件组合相关的风险。基于这些风险，制造商可能希望变更器械的设计、预期的互操作性场景，或者包括器械限制和/或警告，以将风险降低到可接受水平。正如ISO 14971中的讨论内容所示，对于广泛可接受的风险，可能没有必要采取风险控制措施；</w:t>
      </w:r>
      <w:r>
        <w:rPr>
          <w:rStyle w:val="13"/>
          <w:rFonts w:eastAsia="宋体"/>
          <w:sz w:val="24"/>
          <w:szCs w:val="24"/>
        </w:rPr>
        <w:t xml:space="preserve"> </w:t>
      </w:r>
      <w:r>
        <w:rPr>
          <w:rStyle w:val="13"/>
          <w:rFonts w:eastAsia="宋体"/>
          <w:sz w:val="24"/>
          <w:szCs w:val="24"/>
        </w:rPr>
        <w:footnoteReference w:id="7"/>
      </w:r>
      <w:r>
        <w:rPr>
          <w:rFonts w:eastAsia="宋体"/>
          <w:color w:val="000000"/>
          <w:sz w:val="24"/>
          <w:szCs w:val="24"/>
        </w:rPr>
        <w:t xml:space="preserve"> 这些决策应包含在风险分析证明文件中。</w:t>
      </w:r>
    </w:p>
    <w:p w14:paraId="566D0FF8">
      <w:pPr>
        <w:shd w:val="clear" w:color="auto" w:fill="FFFFFF"/>
        <w:snapToGrid w:val="0"/>
        <w:jc w:val="both"/>
        <w:rPr>
          <w:rFonts w:eastAsia="宋体"/>
          <w:sz w:val="24"/>
          <w:szCs w:val="24"/>
        </w:rPr>
      </w:pPr>
    </w:p>
    <w:p w14:paraId="310A9189">
      <w:pPr>
        <w:shd w:val="clear" w:color="auto" w:fill="FFFFFF"/>
        <w:snapToGrid w:val="0"/>
        <w:jc w:val="both"/>
        <w:rPr>
          <w:rFonts w:eastAsia="宋体"/>
          <w:color w:val="000000"/>
          <w:sz w:val="24"/>
          <w:szCs w:val="24"/>
        </w:rPr>
      </w:pPr>
      <w:r>
        <w:rPr>
          <w:rFonts w:eastAsia="宋体"/>
          <w:color w:val="000000"/>
          <w:sz w:val="24"/>
          <w:szCs w:val="24"/>
        </w:rPr>
        <w:t>FDA强调，当考虑包含多个连接的医疗器械的系统时，可以使用相同的过程定义危险情况、风险和缓解措施。在这些情况下，可能还会出现其他危险情况。制造商应具体说明实施哪些缓解措施，以及哪些缓解措施对于安全使用是必要的，但可能需要其他方实施，如负责设置或安装的一方。这些内容应包括在申报资料的风险分析部分。</w:t>
      </w:r>
    </w:p>
    <w:p w14:paraId="7D7DF295">
      <w:pPr>
        <w:shd w:val="clear" w:color="auto" w:fill="FFFFFF"/>
        <w:snapToGrid w:val="0"/>
        <w:jc w:val="both"/>
        <w:rPr>
          <w:rFonts w:eastAsia="宋体"/>
          <w:sz w:val="24"/>
          <w:szCs w:val="24"/>
        </w:rPr>
      </w:pPr>
    </w:p>
    <w:p w14:paraId="63D038B6">
      <w:pPr>
        <w:shd w:val="clear" w:color="auto" w:fill="FFFFFF"/>
        <w:snapToGrid w:val="0"/>
        <w:jc w:val="both"/>
        <w:rPr>
          <w:rFonts w:eastAsia="宋体"/>
          <w:color w:val="000000"/>
          <w:sz w:val="24"/>
          <w:szCs w:val="24"/>
        </w:rPr>
      </w:pPr>
      <w:r>
        <w:rPr>
          <w:rFonts w:eastAsia="宋体"/>
          <w:color w:val="000000"/>
          <w:sz w:val="24"/>
          <w:szCs w:val="24"/>
        </w:rPr>
        <w:t>对于</w:t>
      </w:r>
      <w:r>
        <w:rPr>
          <w:rFonts w:hint="eastAsia" w:eastAsia="宋体"/>
          <w:color w:val="000000"/>
          <w:sz w:val="24"/>
          <w:szCs w:val="24"/>
        </w:rPr>
        <w:t>执行</w:t>
      </w:r>
      <w:r>
        <w:rPr>
          <w:rFonts w:eastAsia="宋体"/>
          <w:color w:val="000000"/>
          <w:sz w:val="24"/>
          <w:szCs w:val="24"/>
        </w:rPr>
        <w:t>21 CFR 820.30（g）中风险分析的器械，FDA建议对器械上包括的一个或多个接口、预期连接以及该连接可能对器械性能产生的任何影响</w:t>
      </w:r>
      <w:r>
        <w:rPr>
          <w:rFonts w:hint="eastAsia" w:eastAsia="宋体"/>
          <w:color w:val="000000"/>
          <w:sz w:val="24"/>
          <w:szCs w:val="24"/>
        </w:rPr>
        <w:t>进行</w:t>
      </w:r>
      <w:r>
        <w:rPr>
          <w:rFonts w:eastAsia="宋体"/>
          <w:color w:val="000000"/>
          <w:sz w:val="24"/>
          <w:szCs w:val="24"/>
        </w:rPr>
        <w:t>分析。递交的正常风险分析应包括所考虑的危险</w:t>
      </w:r>
      <w:r>
        <w:rPr>
          <w:rFonts w:hint="eastAsia" w:eastAsia="宋体"/>
          <w:color w:val="000000"/>
          <w:sz w:val="24"/>
          <w:szCs w:val="24"/>
        </w:rPr>
        <w:t>源</w:t>
      </w:r>
      <w:r>
        <w:rPr>
          <w:rFonts w:eastAsia="宋体"/>
          <w:color w:val="000000"/>
          <w:sz w:val="24"/>
          <w:szCs w:val="24"/>
        </w:rPr>
        <w:t>、可能的危险情况、每种危险情况可能导致的风险以及如何处理危险和风险。您递交的分析应包括风险分析中的正常要素，并说明：</w:t>
      </w:r>
    </w:p>
    <w:p w14:paraId="461C7E40">
      <w:pPr>
        <w:shd w:val="clear" w:color="auto" w:fill="FFFFFF"/>
        <w:snapToGrid w:val="0"/>
        <w:jc w:val="both"/>
        <w:rPr>
          <w:rFonts w:eastAsia="宋体"/>
          <w:sz w:val="24"/>
          <w:szCs w:val="24"/>
        </w:rPr>
      </w:pPr>
    </w:p>
    <w:p w14:paraId="4E2438D0">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将不可接受的风险降至可接受水平的风险控制措施；</w:t>
      </w:r>
    </w:p>
    <w:p w14:paraId="5EA45C0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容错行为、边界条件和故障安全行为，例如器械如何处理延迟、损坏的数据、以错误格式提供的数据、不同步或时间不匹配的数据，以及与数据接收和传输有关的任何其他问题；</w:t>
      </w:r>
    </w:p>
    <w:p w14:paraId="626C4C6A">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由于</w:t>
      </w:r>
      <w:r>
        <w:rPr>
          <w:rFonts w:eastAsia="宋体"/>
          <w:color w:val="000000"/>
          <w:sz w:val="24"/>
          <w:szCs w:val="24"/>
        </w:rPr>
        <w:t>电子接口涉及的安全漏洞可能产生的任何风险；</w:t>
      </w:r>
      <w:r>
        <w:rPr>
          <w:rStyle w:val="13"/>
          <w:rFonts w:eastAsia="宋体"/>
          <w:sz w:val="24"/>
          <w:szCs w:val="24"/>
        </w:rPr>
        <w:footnoteReference w:id="8"/>
      </w:r>
      <w:r>
        <w:rPr>
          <w:rFonts w:eastAsia="宋体"/>
          <w:color w:val="000000"/>
          <w:sz w:val="24"/>
          <w:szCs w:val="24"/>
        </w:rPr>
        <w:t xml:space="preserve"> 以及</w:t>
      </w:r>
    </w:p>
    <w:p w14:paraId="6FBC7BB6">
      <w:pPr>
        <w:shd w:val="clear" w:color="auto" w:fill="FFFFFF"/>
        <w:snapToGrid w:val="0"/>
        <w:ind w:left="1275" w:leftChars="480" w:hanging="315"/>
        <w:jc w:val="both"/>
        <w:rPr>
          <w:rFonts w:eastAsia="宋体"/>
          <w:sz w:val="24"/>
          <w:szCs w:val="24"/>
        </w:rPr>
      </w:pPr>
    </w:p>
    <w:p w14:paraId="2CE2E2F7">
      <w:pPr>
        <w:shd w:val="clear" w:color="auto" w:fill="FFFFFF"/>
        <w:tabs>
          <w:tab w:val="left" w:pos="139"/>
        </w:tabs>
        <w:snapToGrid w:val="0"/>
        <w:jc w:val="both"/>
        <w:rPr>
          <w:rFonts w:eastAsia="宋体"/>
          <w:color w:val="000000"/>
          <w:sz w:val="24"/>
          <w:szCs w:val="24"/>
          <w:vertAlign w:val="superscript"/>
        </w:rPr>
      </w:pPr>
    </w:p>
    <w:p w14:paraId="1729DC4C">
      <w:pPr>
        <w:shd w:val="clear" w:color="auto" w:fill="FFFFFF"/>
        <w:tabs>
          <w:tab w:val="left" w:pos="139"/>
        </w:tabs>
        <w:snapToGrid w:val="0"/>
        <w:jc w:val="both"/>
        <w:rPr>
          <w:rFonts w:eastAsia="宋体"/>
          <w:sz w:val="24"/>
          <w:szCs w:val="24"/>
        </w:rPr>
      </w:pPr>
    </w:p>
    <w:p w14:paraId="3BF51CC9">
      <w:pPr>
        <w:shd w:val="clear" w:color="auto" w:fill="FFFFFF"/>
        <w:tabs>
          <w:tab w:val="left" w:pos="139"/>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55E284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正常使用和合理可预见的误用所产生的风险。例如，制造商可能希望在标记中包含可能导致伤害的可预见使用的明确警告。</w:t>
      </w:r>
    </w:p>
    <w:p w14:paraId="483D17A5">
      <w:pPr>
        <w:shd w:val="clear" w:color="auto" w:fill="FFFFFF"/>
        <w:snapToGrid w:val="0"/>
        <w:jc w:val="both"/>
        <w:rPr>
          <w:rFonts w:eastAsia="宋体"/>
          <w:color w:val="000000"/>
          <w:sz w:val="24"/>
          <w:szCs w:val="24"/>
        </w:rPr>
      </w:pPr>
    </w:p>
    <w:p w14:paraId="6AC0F094">
      <w:pPr>
        <w:shd w:val="clear" w:color="auto" w:fill="FFFFFF"/>
        <w:snapToGrid w:val="0"/>
        <w:jc w:val="both"/>
        <w:rPr>
          <w:rFonts w:eastAsia="宋体"/>
          <w:sz w:val="24"/>
          <w:szCs w:val="24"/>
        </w:rPr>
      </w:pPr>
      <w:r>
        <w:rPr>
          <w:rFonts w:eastAsia="宋体"/>
          <w:color w:val="000000"/>
          <w:sz w:val="24"/>
          <w:szCs w:val="24"/>
        </w:rPr>
        <w:t>重要的是要注意，有多种方法（包括保证案例）可用于采集有关风险的信息，以及在设计和实施器械时如何处理风险信息。本文件没有具体说明应使用哪种方法；而是强调了采集此信息的必要性。</w:t>
      </w:r>
    </w:p>
    <w:p w14:paraId="06DA3D3A">
      <w:pPr>
        <w:pStyle w:val="3"/>
        <w:spacing w:before="240" w:after="240"/>
        <w:rPr>
          <w:rFonts w:eastAsia="宋体"/>
        </w:rPr>
      </w:pPr>
      <w:bookmarkStart w:id="27" w:name="bookmark21"/>
      <w:bookmarkStart w:id="28" w:name="_Toc97485701"/>
      <w:r>
        <w:rPr>
          <w:rFonts w:eastAsia="宋体"/>
        </w:rPr>
        <w:t>C</w:t>
      </w:r>
      <w:bookmarkEnd w:id="27"/>
      <w:r>
        <w:rPr>
          <w:rFonts w:eastAsia="宋体"/>
        </w:rPr>
        <w:t>.</w:t>
      </w:r>
      <w:r>
        <w:rPr>
          <w:rFonts w:eastAsia="宋体"/>
        </w:rPr>
        <w:tab/>
      </w:r>
      <w:r>
        <w:rPr>
          <w:rFonts w:eastAsia="宋体"/>
        </w:rPr>
        <w:t>验证和确认</w:t>
      </w:r>
      <w:bookmarkEnd w:id="28"/>
    </w:p>
    <w:p w14:paraId="7D6B9D47">
      <w:pPr>
        <w:shd w:val="clear" w:color="auto" w:fill="FFFFFF"/>
        <w:snapToGrid w:val="0"/>
        <w:jc w:val="both"/>
        <w:rPr>
          <w:rFonts w:eastAsia="宋体"/>
          <w:color w:val="000000"/>
          <w:sz w:val="24"/>
          <w:szCs w:val="24"/>
        </w:rPr>
      </w:pPr>
      <w:r>
        <w:rPr>
          <w:rFonts w:eastAsia="宋体"/>
          <w:color w:val="000000"/>
          <w:sz w:val="24"/>
          <w:szCs w:val="24"/>
        </w:rPr>
        <w:t>作为通常在上市前申报资料中递交的器械性能测试的一部分，申办方应包括器械上电子接口的验证和确认测试结果。确认的性质和范围取决于与器械相关的风险等级、接口的用途、器械在互操作性系统中的预期用途以及器械的预期用途。制造商应考虑设计考虑事项中V.D.部分强调的方面。</w:t>
      </w:r>
    </w:p>
    <w:p w14:paraId="247DAA60">
      <w:pPr>
        <w:shd w:val="clear" w:color="auto" w:fill="FFFFFF"/>
        <w:snapToGrid w:val="0"/>
        <w:jc w:val="both"/>
        <w:rPr>
          <w:rFonts w:eastAsia="宋体"/>
          <w:sz w:val="24"/>
          <w:szCs w:val="24"/>
        </w:rPr>
      </w:pPr>
    </w:p>
    <w:p w14:paraId="03FDE8D7">
      <w:pPr>
        <w:shd w:val="clear" w:color="auto" w:fill="FFFFFF"/>
        <w:snapToGrid w:val="0"/>
        <w:jc w:val="both"/>
        <w:rPr>
          <w:rFonts w:eastAsia="宋体"/>
          <w:color w:val="000000"/>
          <w:sz w:val="24"/>
          <w:szCs w:val="24"/>
        </w:rPr>
      </w:pPr>
      <w:r>
        <w:rPr>
          <w:rFonts w:eastAsia="宋体"/>
          <w:color w:val="000000"/>
          <w:sz w:val="24"/>
          <w:szCs w:val="24"/>
        </w:rPr>
        <w:t>对于那些预期仅与有限数量的特定器械配合使用的器械，证明使用这些特定器械进行的适当测试的证明文件。对于那些预期与某类器械连接或由任何器械或计算机系统使用的器械，向该类器械的代表或在系统环境中适当测试的证明文件可能更合适。申报资料中应包括证明以下性能测试的证明文件：</w:t>
      </w:r>
    </w:p>
    <w:p w14:paraId="3EDA29EA">
      <w:pPr>
        <w:shd w:val="clear" w:color="auto" w:fill="FFFFFF"/>
        <w:snapToGrid w:val="0"/>
        <w:jc w:val="both"/>
        <w:rPr>
          <w:rFonts w:eastAsia="宋体"/>
          <w:sz w:val="24"/>
          <w:szCs w:val="24"/>
        </w:rPr>
      </w:pPr>
    </w:p>
    <w:p w14:paraId="5286DD7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验证器械接口是否符合其设计规范；</w:t>
      </w:r>
    </w:p>
    <w:p w14:paraId="1AEBB1F8">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确认器械接口是否按预期发挥作用；</w:t>
      </w:r>
    </w:p>
    <w:p w14:paraId="5F173B5A">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确定和验证应提供给使用者以连接到接口并允许使用者确保已正确进行连接的信息；以及</w:t>
      </w:r>
    </w:p>
    <w:p w14:paraId="194CD7BF">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验证器械在正常条件和合理可能发生的异常条件下使用时是否在规范范围内安全运行（例如，接收规范外的数据，连接到非预期器械或系统，在使用接口时不会锁定系统）。</w:t>
      </w:r>
    </w:p>
    <w:p w14:paraId="33FD6B04">
      <w:pPr>
        <w:shd w:val="clear" w:color="auto" w:fill="FFFFFF"/>
        <w:snapToGrid w:val="0"/>
        <w:jc w:val="both"/>
        <w:rPr>
          <w:rFonts w:eastAsia="宋体"/>
          <w:color w:val="000000"/>
          <w:sz w:val="24"/>
          <w:szCs w:val="24"/>
        </w:rPr>
      </w:pPr>
    </w:p>
    <w:p w14:paraId="1BFF4DE0">
      <w:pPr>
        <w:shd w:val="clear" w:color="auto" w:fill="FFFFFF"/>
        <w:snapToGrid w:val="0"/>
        <w:jc w:val="both"/>
        <w:rPr>
          <w:rFonts w:eastAsia="宋体"/>
          <w:sz w:val="24"/>
          <w:szCs w:val="24"/>
        </w:rPr>
      </w:pPr>
      <w:r>
        <w:rPr>
          <w:rFonts w:eastAsia="宋体"/>
          <w:color w:val="000000"/>
          <w:sz w:val="24"/>
          <w:szCs w:val="24"/>
        </w:rPr>
        <w:t>文件化程度可以根据与器械相关的风险等级、接口的用途、器械在互操作性系统中的预期用途以及器械的预期用途而有所不同。 对于那些使用标准的界面要素，证明符合该标准可能已足够</w:t>
      </w:r>
      <w:r>
        <w:rPr>
          <w:rStyle w:val="13"/>
          <w:rFonts w:eastAsia="宋体"/>
          <w:sz w:val="24"/>
          <w:szCs w:val="24"/>
        </w:rPr>
        <w:footnoteReference w:id="9"/>
      </w:r>
      <w:r>
        <w:rPr>
          <w:rFonts w:eastAsia="宋体"/>
          <w:color w:val="000000"/>
          <w:sz w:val="24"/>
          <w:szCs w:val="24"/>
        </w:rPr>
        <w:t>。例如，如果接口的用途以及使用该接口的预期场景不会给医疗器械的操作增加重大风险，则测试总结可能已足够。</w:t>
      </w:r>
    </w:p>
    <w:p w14:paraId="2C5B408D">
      <w:pPr>
        <w:shd w:val="clear" w:color="auto" w:fill="FFFFFF"/>
        <w:snapToGrid w:val="0"/>
        <w:jc w:val="both"/>
        <w:rPr>
          <w:rFonts w:eastAsia="宋体"/>
          <w:sz w:val="24"/>
          <w:szCs w:val="24"/>
        </w:rPr>
      </w:pPr>
    </w:p>
    <w:p w14:paraId="43C82136">
      <w:pPr>
        <w:shd w:val="clear" w:color="auto" w:fill="FFFFFF"/>
        <w:snapToGrid w:val="0"/>
        <w:jc w:val="both"/>
        <w:rPr>
          <w:rFonts w:eastAsia="宋体"/>
          <w:sz w:val="24"/>
          <w:szCs w:val="24"/>
        </w:rPr>
      </w:pPr>
    </w:p>
    <w:p w14:paraId="6FAEF319">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5B10829">
      <w:pPr>
        <w:shd w:val="clear" w:color="auto" w:fill="FFFFFF"/>
        <w:snapToGrid w:val="0"/>
        <w:jc w:val="both"/>
        <w:rPr>
          <w:rFonts w:eastAsia="宋体"/>
          <w:color w:val="000000"/>
          <w:sz w:val="24"/>
          <w:szCs w:val="24"/>
        </w:rPr>
      </w:pPr>
      <w:r>
        <w:rPr>
          <w:rFonts w:eastAsia="宋体"/>
          <w:color w:val="000000"/>
          <w:sz w:val="24"/>
          <w:szCs w:val="24"/>
        </w:rPr>
        <w:t>以下示例描述了递交给FDA</w:t>
      </w:r>
      <w:r>
        <w:rPr>
          <w:rFonts w:hint="eastAsia" w:eastAsia="宋体"/>
          <w:color w:val="000000"/>
          <w:sz w:val="24"/>
          <w:szCs w:val="24"/>
        </w:rPr>
        <w:t>的</w:t>
      </w:r>
      <w:r>
        <w:rPr>
          <w:rFonts w:eastAsia="宋体"/>
          <w:color w:val="000000"/>
          <w:sz w:val="24"/>
          <w:szCs w:val="24"/>
        </w:rPr>
        <w:t>不同文件化程度；一种情况下应递交完整的测试报告，另一种情况下仅应递交测试总结。</w:t>
      </w:r>
    </w:p>
    <w:p w14:paraId="1392CCF6">
      <w:pPr>
        <w:shd w:val="clear" w:color="auto" w:fill="FFFFFF"/>
        <w:snapToGrid w:val="0"/>
        <w:jc w:val="both"/>
        <w:rPr>
          <w:rFonts w:eastAsia="宋体"/>
          <w:sz w:val="24"/>
          <w:szCs w:val="24"/>
        </w:rPr>
      </w:pPr>
    </w:p>
    <w:p w14:paraId="01CDB87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如果输液泵预期从多种器械（例如脉搏血氧仪，呼吸机和电子血压计）接收患者数据并使用这些数据变更输液泵设置，则应在计划的申报资料中向FDA提供完整的测试报告；和</w:t>
      </w:r>
    </w:p>
    <w:p w14:paraId="4C2A3818">
      <w:pPr>
        <w:shd w:val="clear" w:color="auto" w:fill="FFFFFF"/>
        <w:snapToGrid w:val="0"/>
        <w:ind w:left="1275" w:leftChars="480" w:hanging="315"/>
        <w:jc w:val="both"/>
        <w:rPr>
          <w:rFonts w:eastAsia="宋体"/>
          <w:color w:val="000000"/>
          <w:sz w:val="24"/>
          <w:szCs w:val="24"/>
        </w:rPr>
      </w:pPr>
    </w:p>
    <w:p w14:paraId="0AB6D787">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如果无创电子血压计具有预期允许将历史数据下载到计算机的接口，则在该接口上执行的测试的总结可能已足够。</w:t>
      </w:r>
    </w:p>
    <w:p w14:paraId="23770241">
      <w:pPr>
        <w:pStyle w:val="3"/>
        <w:spacing w:before="240" w:after="240"/>
        <w:rPr>
          <w:rFonts w:eastAsia="宋体"/>
        </w:rPr>
      </w:pPr>
      <w:bookmarkStart w:id="29" w:name="bookmark22"/>
      <w:bookmarkStart w:id="30" w:name="_Toc97485702"/>
      <w:r>
        <w:rPr>
          <w:rFonts w:eastAsia="宋体"/>
        </w:rPr>
        <w:t>D</w:t>
      </w:r>
      <w:bookmarkEnd w:id="29"/>
      <w:r>
        <w:rPr>
          <w:rFonts w:eastAsia="宋体"/>
        </w:rPr>
        <w:t>.</w:t>
      </w:r>
      <w:r>
        <w:rPr>
          <w:rFonts w:eastAsia="宋体"/>
        </w:rPr>
        <w:tab/>
      </w:r>
      <w:bookmarkEnd w:id="30"/>
      <w:r>
        <w:rPr>
          <w:rFonts w:eastAsia="宋体"/>
        </w:rPr>
        <w:t>标记</w:t>
      </w:r>
    </w:p>
    <w:p w14:paraId="279E3189">
      <w:pPr>
        <w:shd w:val="clear" w:color="auto" w:fill="FFFFFF"/>
        <w:snapToGrid w:val="0"/>
        <w:jc w:val="both"/>
        <w:rPr>
          <w:rFonts w:eastAsia="宋体"/>
          <w:sz w:val="24"/>
          <w:szCs w:val="24"/>
        </w:rPr>
      </w:pPr>
      <w:r>
        <w:rPr>
          <w:rFonts w:eastAsia="宋体"/>
          <w:color w:val="000000"/>
          <w:sz w:val="24"/>
          <w:szCs w:val="24"/>
        </w:rPr>
        <w:t>以下建议旨在帮助准备满足21 CFR第801和809部分要求的标记（视情况而定）。请注意，在将医疗器械引入州际贸易之前，标记必须符合21 CFR第801和809部分的要求（视情况而定）。</w:t>
      </w:r>
      <w:r>
        <w:rPr>
          <w:rStyle w:val="13"/>
          <w:rFonts w:eastAsia="宋体"/>
          <w:sz w:val="24"/>
          <w:szCs w:val="24"/>
        </w:rPr>
        <w:t xml:space="preserve"> </w:t>
      </w:r>
      <w:r>
        <w:rPr>
          <w:rStyle w:val="13"/>
          <w:rFonts w:eastAsia="宋体"/>
          <w:sz w:val="24"/>
          <w:szCs w:val="24"/>
        </w:rPr>
        <w:footnoteReference w:id="10"/>
      </w:r>
      <w:r>
        <w:rPr>
          <w:rFonts w:eastAsia="宋体"/>
          <w:color w:val="000000"/>
          <w:sz w:val="24"/>
          <w:szCs w:val="24"/>
        </w:rPr>
        <w:t xml:space="preserve"> 有关开发标记的额外信息，请查阅</w:t>
      </w:r>
      <w:r>
        <w:rPr>
          <w:rFonts w:eastAsia="宋体"/>
          <w:color w:val="000000"/>
          <w:sz w:val="24"/>
          <w:szCs w:val="24"/>
          <w:u w:val="single"/>
        </w:rPr>
        <w:t>FDA指南</w:t>
      </w:r>
      <w:r>
        <w:rPr>
          <w:rFonts w:eastAsia="宋体"/>
          <w:color w:val="000000"/>
          <w:sz w:val="24"/>
          <w:szCs w:val="24"/>
        </w:rPr>
        <w:t>：</w:t>
      </w:r>
      <w:r>
        <w:rPr>
          <w:rFonts w:eastAsia="宋体"/>
          <w:color w:val="000000"/>
          <w:sz w:val="24"/>
          <w:szCs w:val="24"/>
          <w:u w:val="single"/>
        </w:rPr>
        <w:t>标记-用于医疗器械的法规要求</w:t>
      </w:r>
    </w:p>
    <w:p w14:paraId="7ADF17E7">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http://www.fda.gov/downloads/MedicalDevices/DeviceRegulationandGuidance/GuidanceDocuments/UCM095308.pdf)</w:t>
      </w:r>
    </w:p>
    <w:p w14:paraId="5BA4EF87">
      <w:pPr>
        <w:shd w:val="clear" w:color="auto" w:fill="FFFFFF"/>
        <w:snapToGrid w:val="0"/>
        <w:jc w:val="both"/>
        <w:rPr>
          <w:rFonts w:eastAsia="宋体"/>
          <w:color w:val="000000"/>
          <w:sz w:val="24"/>
          <w:szCs w:val="24"/>
        </w:rPr>
      </w:pPr>
    </w:p>
    <w:p w14:paraId="6185FC8F">
      <w:pPr>
        <w:shd w:val="clear" w:color="auto" w:fill="FFFFFF"/>
        <w:snapToGrid w:val="0"/>
        <w:jc w:val="both"/>
        <w:rPr>
          <w:rFonts w:eastAsia="宋体"/>
          <w:sz w:val="24"/>
          <w:szCs w:val="24"/>
        </w:rPr>
      </w:pPr>
      <w:r>
        <w:rPr>
          <w:rFonts w:eastAsia="宋体"/>
          <w:color w:val="000000"/>
          <w:sz w:val="24"/>
          <w:szCs w:val="24"/>
        </w:rPr>
        <w:t>标记中应包含有关器械电子接口的信息，以便器械能够安全有效地用于其预期用途。此信息应使使用者能够以指定方式连接到器械，并应提供有关如何按照设计方式使用器械连接的正确说明。制造商还应在标记中包括连接的任何限制，以防止任何误用该器械的行为。注意事项、警告和禁忌症也应包括在器械标记中。关于使用电子接口的标</w:t>
      </w:r>
      <w:r>
        <w:rPr>
          <w:rFonts w:hint="eastAsia" w:eastAsia="宋体"/>
          <w:color w:val="000000"/>
          <w:sz w:val="24"/>
          <w:szCs w:val="24"/>
        </w:rPr>
        <w:t>记</w:t>
      </w:r>
      <w:r>
        <w:rPr>
          <w:rFonts w:eastAsia="宋体"/>
          <w:color w:val="000000"/>
          <w:sz w:val="24"/>
          <w:szCs w:val="24"/>
        </w:rPr>
        <w:t>的确认应考虑人为因素</w:t>
      </w:r>
      <w:r>
        <w:rPr>
          <w:rStyle w:val="13"/>
          <w:rFonts w:eastAsia="宋体"/>
          <w:sz w:val="24"/>
          <w:szCs w:val="24"/>
        </w:rPr>
        <w:footnoteReference w:id="11"/>
      </w:r>
      <w:r>
        <w:rPr>
          <w:rFonts w:eastAsia="宋体"/>
          <w:color w:val="000000"/>
          <w:sz w:val="24"/>
          <w:szCs w:val="24"/>
        </w:rPr>
        <w:t xml:space="preserve"> （视情况而定）。</w:t>
      </w:r>
    </w:p>
    <w:p w14:paraId="6C36F714">
      <w:pPr>
        <w:shd w:val="clear" w:color="auto" w:fill="FFFFFF"/>
        <w:snapToGrid w:val="0"/>
        <w:jc w:val="both"/>
        <w:rPr>
          <w:rFonts w:eastAsia="宋体"/>
          <w:sz w:val="24"/>
          <w:szCs w:val="24"/>
        </w:rPr>
      </w:pPr>
    </w:p>
    <w:p w14:paraId="13B1A125">
      <w:pPr>
        <w:shd w:val="clear" w:color="auto" w:fill="FFFFFF"/>
        <w:tabs>
          <w:tab w:val="left" w:pos="182"/>
        </w:tabs>
        <w:snapToGrid w:val="0"/>
        <w:jc w:val="both"/>
        <w:rPr>
          <w:rFonts w:eastAsia="宋体"/>
          <w:color w:val="000000"/>
          <w:sz w:val="24"/>
          <w:szCs w:val="24"/>
          <w:vertAlign w:val="superscript"/>
        </w:rPr>
      </w:pPr>
    </w:p>
    <w:p w14:paraId="207FCB0E">
      <w:pPr>
        <w:shd w:val="clear" w:color="auto" w:fill="FFFFFF"/>
        <w:tabs>
          <w:tab w:val="left" w:pos="18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19D9DEB">
      <w:pPr>
        <w:shd w:val="clear" w:color="auto" w:fill="FFFFFF"/>
        <w:snapToGrid w:val="0"/>
        <w:jc w:val="both"/>
        <w:rPr>
          <w:rFonts w:eastAsia="宋体"/>
          <w:color w:val="000000"/>
          <w:sz w:val="24"/>
          <w:szCs w:val="24"/>
        </w:rPr>
      </w:pPr>
      <w:r>
        <w:rPr>
          <w:rFonts w:eastAsia="宋体"/>
          <w:color w:val="000000"/>
          <w:sz w:val="24"/>
          <w:szCs w:val="24"/>
        </w:rPr>
        <w:t>如果该器械预期仅与几个特定器械交互，则标记应明确说明该医疗器械预期与列出的特定器械（包括版本）连接，并且不应与其他医疗器械或非医疗器械技术一起使用。如果该接口仅供制造商的技术人员用于软件更新或诊断，则应在标记中明确说明。在适当的情况下，标记应包括说明器械上的电子接口不用于连接到其他医疗器械或非医疗器械技术，并且电子接口的使用仅保留给制造商的代表。</w:t>
      </w:r>
    </w:p>
    <w:p w14:paraId="76C0254C">
      <w:pPr>
        <w:shd w:val="clear" w:color="auto" w:fill="FFFFFF"/>
        <w:snapToGrid w:val="0"/>
        <w:jc w:val="both"/>
        <w:rPr>
          <w:rFonts w:eastAsia="宋体"/>
          <w:sz w:val="24"/>
          <w:szCs w:val="24"/>
        </w:rPr>
      </w:pPr>
    </w:p>
    <w:p w14:paraId="4463C826">
      <w:pPr>
        <w:shd w:val="clear" w:color="auto" w:fill="FFFFFF"/>
        <w:snapToGrid w:val="0"/>
        <w:jc w:val="both"/>
        <w:rPr>
          <w:rFonts w:eastAsia="宋体"/>
          <w:color w:val="000000"/>
          <w:sz w:val="24"/>
          <w:szCs w:val="24"/>
        </w:rPr>
      </w:pPr>
      <w:r>
        <w:rPr>
          <w:rFonts w:eastAsia="宋体"/>
          <w:color w:val="000000"/>
          <w:sz w:val="24"/>
          <w:szCs w:val="24"/>
        </w:rPr>
        <w:t>FDA建议根据医疗器械接口的用途，在器械标记中包含以下信息（视情况而定）：</w:t>
      </w:r>
    </w:p>
    <w:p w14:paraId="4302373E">
      <w:pPr>
        <w:shd w:val="clear" w:color="auto" w:fill="FFFFFF"/>
        <w:snapToGrid w:val="0"/>
        <w:jc w:val="both"/>
        <w:rPr>
          <w:rFonts w:eastAsia="宋体"/>
          <w:sz w:val="24"/>
          <w:szCs w:val="24"/>
        </w:rPr>
      </w:pPr>
    </w:p>
    <w:p w14:paraId="470E0C68">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接口的用途包括与其连接的任何器械、器械类型、接口标准/规范或软件（包括软件版本）；</w:t>
      </w:r>
    </w:p>
    <w:p w14:paraId="00FEC52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预期用户；</w:t>
      </w:r>
    </w:p>
    <w:p w14:paraId="48DF2F8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连接是否预期控制另一个器械的操作；</w:t>
      </w:r>
    </w:p>
    <w:p w14:paraId="35303D1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每个接口的规格（例如生理波形、探头类型、准确度、响应频率、更新速率、数据速率、带宽），以及来自器械的与数据/控制的发送或接收相关的必要性能和功能要求；</w:t>
      </w:r>
    </w:p>
    <w:p w14:paraId="16A587B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可</w:t>
      </w:r>
      <w:r>
        <w:rPr>
          <w:rFonts w:eastAsia="宋体"/>
          <w:color w:val="000000"/>
          <w:sz w:val="24"/>
          <w:szCs w:val="24"/>
        </w:rPr>
        <w:t>交换的数据属性列表；</w:t>
      </w:r>
    </w:p>
    <w:p w14:paraId="6754F6F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在验证互操作性声明的接口上执行的测试总结以及为使用者验证安全操作而建议任何活动</w:t>
      </w:r>
      <w:r>
        <w:rPr>
          <w:rFonts w:hint="eastAsia" w:eastAsia="宋体"/>
          <w:color w:val="000000"/>
          <w:sz w:val="24"/>
          <w:szCs w:val="24"/>
        </w:rPr>
        <w:t>。</w:t>
      </w:r>
      <w:r>
        <w:rPr>
          <w:rFonts w:eastAsia="宋体"/>
          <w:color w:val="000000"/>
          <w:sz w:val="24"/>
          <w:szCs w:val="24"/>
        </w:rPr>
        <w:t>在对接口规格进行测试并用代表性器械进行验证的情况下，制造商应指定使用的代表性器械；</w:t>
      </w:r>
    </w:p>
    <w:p w14:paraId="41940A8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使用的相关标准和收到的认证；</w:t>
      </w:r>
    </w:p>
    <w:p w14:paraId="67647C83">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用于时间同步的任何方法；</w:t>
      </w:r>
    </w:p>
    <w:p w14:paraId="1509928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对允许使用者理解如何正确使用界面的关键功能（例如，传递能量）的任何容错行为、边界条件测试或故障安全的描述；</w:t>
      </w:r>
    </w:p>
    <w:p w14:paraId="2B46C57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任何已知限制（使用者不应做什么）、禁忌症、注意事项和警告；</w:t>
      </w:r>
    </w:p>
    <w:p w14:paraId="5513500F">
      <w:pPr>
        <w:shd w:val="clear" w:color="auto" w:fill="FFFFFF"/>
        <w:snapToGrid w:val="0"/>
        <w:jc w:val="both"/>
        <w:rPr>
          <w:rFonts w:eastAsia="宋体"/>
          <w:sz w:val="24"/>
          <w:szCs w:val="24"/>
        </w:rPr>
      </w:pPr>
    </w:p>
    <w:p w14:paraId="60F32EC2">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C55A41D">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推荐的连接；</w:t>
      </w:r>
    </w:p>
    <w:p w14:paraId="2C85CBFF">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推荐的电子接口设置或配置；以及</w:t>
      </w:r>
    </w:p>
    <w:p w14:paraId="23EFB900">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提供给</w:t>
      </w:r>
      <w:r>
        <w:rPr>
          <w:rFonts w:eastAsia="宋体"/>
          <w:color w:val="000000"/>
          <w:sz w:val="24"/>
          <w:szCs w:val="24"/>
        </w:rPr>
        <w:t>特定使用者（如IT人员）</w:t>
      </w:r>
      <w:r>
        <w:rPr>
          <w:rFonts w:hint="eastAsia" w:eastAsia="宋体"/>
          <w:color w:val="000000"/>
          <w:sz w:val="24"/>
          <w:szCs w:val="24"/>
        </w:rPr>
        <w:t>的</w:t>
      </w:r>
      <w:r>
        <w:rPr>
          <w:rFonts w:eastAsia="宋体"/>
          <w:color w:val="000000"/>
          <w:sz w:val="24"/>
          <w:szCs w:val="24"/>
        </w:rPr>
        <w:t>有关如何连接或安装以及断开或卸载器械的说明。</w:t>
      </w:r>
    </w:p>
    <w:p w14:paraId="3E98F3CA">
      <w:pPr>
        <w:shd w:val="clear" w:color="auto" w:fill="FFFFFF"/>
        <w:tabs>
          <w:tab w:val="left" w:pos="360"/>
        </w:tabs>
        <w:snapToGrid w:val="0"/>
        <w:jc w:val="both"/>
        <w:rPr>
          <w:rFonts w:eastAsia="宋体"/>
          <w:color w:val="000000"/>
          <w:sz w:val="24"/>
          <w:szCs w:val="24"/>
        </w:rPr>
      </w:pPr>
    </w:p>
    <w:p w14:paraId="0CCD6E78">
      <w:pPr>
        <w:pBdr>
          <w:bottom w:val="double" w:color="auto" w:sz="4" w:space="1"/>
        </w:pBdr>
        <w:shd w:val="clear" w:color="auto" w:fill="FFFFFF"/>
        <w:tabs>
          <w:tab w:val="left" w:pos="360"/>
        </w:tabs>
        <w:snapToGrid w:val="0"/>
        <w:jc w:val="both"/>
        <w:rPr>
          <w:rFonts w:eastAsia="宋体"/>
          <w:color w:val="000000"/>
          <w:sz w:val="24"/>
          <w:szCs w:val="24"/>
        </w:rPr>
      </w:pPr>
    </w:p>
    <w:p w14:paraId="40139C27">
      <w:pPr>
        <w:shd w:val="clear" w:color="auto" w:fill="FFFFFF"/>
        <w:tabs>
          <w:tab w:val="left" w:pos="360"/>
        </w:tabs>
        <w:snapToGrid w:val="0"/>
        <w:jc w:val="both"/>
        <w:rPr>
          <w:rFonts w:eastAsia="宋体"/>
          <w:sz w:val="24"/>
          <w:szCs w:val="24"/>
        </w:rPr>
      </w:pPr>
    </w:p>
    <w:p w14:paraId="07C0A886">
      <w:pPr>
        <w:pStyle w:val="17"/>
        <w:pBdr>
          <w:bottom w:val="single" w:color="auto" w:sz="4" w:space="1"/>
        </w:pBdr>
        <w:jc w:val="center"/>
        <w:rPr>
          <w:rFonts w:hint="eastAsia" w:eastAsia="等线"/>
          <w:lang w:eastAsia="zh-CN"/>
        </w:rPr>
      </w:pPr>
    </w:p>
    <w:p w14:paraId="5D06887C">
      <w:pPr>
        <w:pStyle w:val="17"/>
        <w:pBdr>
          <w:bottom w:val="single" w:color="auto" w:sz="4" w:space="1"/>
        </w:pBdr>
        <w:jc w:val="center"/>
        <w:rPr>
          <w:rFonts w:hint="eastAsia" w:eastAsia="等线"/>
          <w:lang w:eastAsia="zh-CN"/>
        </w:rPr>
      </w:pPr>
    </w:p>
    <w:p w14:paraId="420E3AA0">
      <w:pPr>
        <w:pStyle w:val="17"/>
        <w:pBdr>
          <w:bottom w:val="single" w:color="auto" w:sz="4"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8C35">
    <w:pPr>
      <w:pStyle w:val="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16</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1590198C">
      <w:pPr>
        <w:pStyle w:val="8"/>
        <w:rPr>
          <w:rFonts w:eastAsia="宋体"/>
        </w:rPr>
      </w:pPr>
      <w:r>
        <w:rPr>
          <w:rStyle w:val="13"/>
          <w:rFonts w:eastAsia="宋体"/>
        </w:rPr>
        <w:footnoteRef/>
      </w:r>
      <w:r>
        <w:rPr>
          <w:rFonts w:eastAsia="宋体"/>
        </w:rPr>
        <w:t xml:space="preserve"> </w:t>
      </w:r>
      <w:r>
        <w:rPr>
          <w:rFonts w:eastAsia="宋体"/>
          <w:color w:val="221E1F"/>
        </w:rPr>
        <w:t>见美国电气和电子工程师协会（IEEE）标准计算机词典：IEEE标准计算机词汇汇编（纽约市，纽约州：1990年）。</w:t>
      </w:r>
    </w:p>
  </w:footnote>
  <w:footnote w:id="1">
    <w:p w14:paraId="5430C402">
      <w:pPr>
        <w:pStyle w:val="8"/>
        <w:rPr>
          <w:rFonts w:eastAsia="宋体"/>
        </w:rPr>
      </w:pPr>
      <w:r>
        <w:rPr>
          <w:rStyle w:val="13"/>
          <w:rFonts w:eastAsia="宋体"/>
        </w:rPr>
        <w:footnoteRef/>
      </w:r>
      <w:r>
        <w:rPr>
          <w:rFonts w:eastAsia="宋体"/>
        </w:rPr>
        <w:t xml:space="preserve"> </w:t>
      </w:r>
      <w:r>
        <w:rPr>
          <w:rFonts w:eastAsia="宋体"/>
          <w:color w:val="000000"/>
        </w:rPr>
        <w:t>制造商还可以考虑将本指南用于临床试验用器械豁免（IDE）递交资料、新药临床试验申请（IND）递交资料和免于上市前审评的器械（视情况而定）。对于IDE研究的主要目的包括两个或多个器械的交互的研究，申办者可能希望考虑本指导文件中的建议。</w:t>
      </w:r>
    </w:p>
  </w:footnote>
  <w:footnote w:id="2">
    <w:p w14:paraId="6DDC6ABF">
      <w:pPr>
        <w:shd w:val="clear" w:color="auto" w:fill="FFFFFF"/>
        <w:snapToGrid w:val="0"/>
        <w:rPr>
          <w:rFonts w:eastAsia="宋体"/>
          <w:sz w:val="18"/>
          <w:szCs w:val="18"/>
        </w:rPr>
      </w:pPr>
      <w:r>
        <w:rPr>
          <w:rStyle w:val="13"/>
          <w:rFonts w:eastAsia="宋体"/>
          <w:sz w:val="18"/>
          <w:szCs w:val="18"/>
        </w:rPr>
        <w:footnoteRef/>
      </w:r>
      <w:r>
        <w:rPr>
          <w:rFonts w:eastAsia="宋体"/>
          <w:sz w:val="18"/>
          <w:szCs w:val="18"/>
        </w:rPr>
        <w:t xml:space="preserve"> </w:t>
      </w:r>
      <w:r>
        <w:rPr>
          <w:rFonts w:eastAsia="宋体"/>
          <w:color w:val="000000"/>
          <w:sz w:val="18"/>
          <w:szCs w:val="18"/>
        </w:rPr>
        <w:t>作为参考，其他人将“互操作性级别”的概念描述如下：</w:t>
      </w:r>
    </w:p>
    <w:p w14:paraId="3BF8226A">
      <w:pPr>
        <w:shd w:val="clear" w:color="auto" w:fill="FFFFFF"/>
        <w:snapToGrid w:val="0"/>
        <w:ind w:left="270" w:hanging="270" w:hangingChars="150"/>
        <w:rPr>
          <w:rFonts w:eastAsia="宋体"/>
          <w:sz w:val="18"/>
          <w:szCs w:val="18"/>
        </w:rPr>
      </w:pPr>
      <w:r>
        <w:rPr>
          <w:rFonts w:eastAsia="宋体"/>
          <w:color w:val="000000"/>
          <w:sz w:val="18"/>
          <w:szCs w:val="18"/>
        </w:rPr>
        <w:t>•</w:t>
      </w:r>
      <w:r>
        <w:rPr>
          <w:rFonts w:eastAsia="宋体"/>
          <w:color w:val="000000"/>
          <w:sz w:val="18"/>
          <w:szCs w:val="18"/>
        </w:rPr>
        <w:tab/>
      </w:r>
      <w:r>
        <w:rPr>
          <w:rFonts w:eastAsia="宋体"/>
          <w:color w:val="000000"/>
          <w:sz w:val="18"/>
          <w:szCs w:val="18"/>
        </w:rPr>
        <w:t>Turnitsa，C.D.（2005年）。“概念互操作性模型的级别扩展”。IEEE夏季计算机模拟会议会议录，IEEE CS出版社。</w:t>
      </w:r>
    </w:p>
    <w:p w14:paraId="394D0E41">
      <w:pPr>
        <w:shd w:val="clear" w:color="auto" w:fill="FFFFFF"/>
        <w:snapToGrid w:val="0"/>
        <w:ind w:left="270" w:hanging="270" w:hangingChars="150"/>
        <w:rPr>
          <w:rFonts w:eastAsia="宋体"/>
          <w:sz w:val="18"/>
          <w:szCs w:val="18"/>
        </w:rPr>
      </w:pPr>
      <w:r>
        <w:rPr>
          <w:rFonts w:eastAsia="宋体"/>
          <w:color w:val="000000"/>
          <w:sz w:val="18"/>
          <w:szCs w:val="18"/>
        </w:rPr>
        <w:t>•</w:t>
      </w:r>
      <w:r>
        <w:rPr>
          <w:rFonts w:eastAsia="宋体"/>
          <w:color w:val="000000"/>
          <w:sz w:val="18"/>
          <w:szCs w:val="18"/>
        </w:rPr>
        <w:tab/>
      </w:r>
      <w:r>
        <w:rPr>
          <w:rFonts w:eastAsia="宋体"/>
          <w:color w:val="000000"/>
          <w:sz w:val="18"/>
          <w:szCs w:val="18"/>
        </w:rPr>
        <w:t>美国医疗信息和管理系统协会（HiMMS）医疗信息技术术语、首字母缩略词和组织词典，第2版，2010年，附录B，第190页，原始来源：HIMSS电子健康记录协会。</w:t>
      </w:r>
    </w:p>
    <w:p w14:paraId="5C28B3F8">
      <w:pPr>
        <w:shd w:val="clear" w:color="auto" w:fill="FFFFFF"/>
        <w:snapToGrid w:val="0"/>
        <w:ind w:left="270" w:hanging="270" w:hangingChars="150"/>
        <w:rPr>
          <w:rFonts w:eastAsia="宋体"/>
          <w:sz w:val="18"/>
          <w:szCs w:val="18"/>
        </w:rPr>
      </w:pPr>
      <w:r>
        <w:rPr>
          <w:rFonts w:eastAsia="宋体"/>
          <w:color w:val="000000"/>
          <w:sz w:val="18"/>
          <w:szCs w:val="18"/>
        </w:rPr>
        <w:t>•</w:t>
      </w:r>
      <w:r>
        <w:rPr>
          <w:rFonts w:eastAsia="宋体"/>
          <w:color w:val="000000"/>
          <w:sz w:val="18"/>
          <w:szCs w:val="18"/>
        </w:rPr>
        <w:tab/>
      </w:r>
      <w:r>
        <w:rPr>
          <w:rFonts w:eastAsia="宋体"/>
          <w:color w:val="000000"/>
          <w:sz w:val="18"/>
          <w:szCs w:val="18"/>
        </w:rPr>
        <w:t>M. Robkin，S. Weininger，B. Preciado和J. Goldman，“用于安全医疗器械互操作性的医疗框架的概念互操作性模型的级别”，“产品合规性工程（ISPCE）”，2015年IEEE专题讨论会，芝加哥，伊利诺伊州，2015年，第1-8页。</w:t>
      </w:r>
    </w:p>
  </w:footnote>
  <w:footnote w:id="3">
    <w:p w14:paraId="208D2190">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ascii="Arial" w:hAnsi="Arial" w:eastAsia="宋体" w:cs="Arial"/>
          <w:color w:val="000000"/>
        </w:rPr>
        <w:t>对于时间同步，应考虑使用（RFC 1305）网络时间方案版本3或（RFC 5905）网络时间方案版本4，或其他适当的方案。</w:t>
      </w:r>
    </w:p>
  </w:footnote>
  <w:footnote w:id="4">
    <w:p w14:paraId="614D5D70">
      <w:pPr>
        <w:pStyle w:val="8"/>
        <w:rPr>
          <w:rFonts w:eastAsia="宋体"/>
          <w:color w:val="000000"/>
        </w:rPr>
      </w:pPr>
      <w:r>
        <w:rPr>
          <w:rStyle w:val="13"/>
          <w:rFonts w:eastAsia="宋体"/>
        </w:rPr>
        <w:footnoteRef/>
      </w:r>
      <w:r>
        <w:rPr>
          <w:rFonts w:eastAsia="宋体"/>
        </w:rPr>
        <w:t xml:space="preserve"> </w:t>
      </w:r>
      <w:r>
        <w:rPr>
          <w:rFonts w:eastAsia="宋体"/>
          <w:color w:val="000000"/>
        </w:rPr>
        <w:t>若要了解有关网络安全的更多信息，请参见我们的指南《医疗器械网络安全管理上市前递交资料内容》，网站：</w:t>
      </w:r>
    </w:p>
    <w:p w14:paraId="70068081">
      <w:pPr>
        <w:shd w:val="clear" w:color="auto" w:fill="FFFFFF"/>
        <w:snapToGrid w:val="0"/>
        <w:rPr>
          <w:rFonts w:eastAsia="宋体"/>
          <w:sz w:val="18"/>
          <w:szCs w:val="18"/>
          <w:lang w:val="de-DE"/>
        </w:rPr>
      </w:pPr>
      <w:r>
        <w:rPr>
          <w:rFonts w:eastAsia="宋体"/>
          <w:color w:val="0000FF"/>
          <w:sz w:val="18"/>
          <w:szCs w:val="18"/>
          <w:u w:val="single"/>
          <w:lang w:val="de-DE"/>
        </w:rPr>
        <w:t>http://www.fda.gov/downloads/MedicalDevices/DeviceRegulationandGuidance/GuidanceDocuments/UCM356 190.pdf</w:t>
      </w:r>
    </w:p>
  </w:footnote>
  <w:footnote w:id="5">
    <w:p w14:paraId="447CC781">
      <w:pPr>
        <w:pStyle w:val="8"/>
        <w:rPr>
          <w:rFonts w:eastAsia="宋体"/>
        </w:rPr>
      </w:pPr>
      <w:r>
        <w:rPr>
          <w:rStyle w:val="13"/>
          <w:rFonts w:eastAsia="宋体"/>
        </w:rPr>
        <w:footnoteRef/>
      </w:r>
      <w:r>
        <w:rPr>
          <w:rFonts w:eastAsia="宋体"/>
        </w:rPr>
        <w:t xml:space="preserve"> </w:t>
      </w:r>
      <w:r>
        <w:rPr>
          <w:rFonts w:eastAsia="宋体"/>
          <w:color w:val="000000"/>
        </w:rPr>
        <w:t>见ASTM 2761-09（2013），“医疗器械和医疗系统-以患者为中心综合医疗环境（ICE）组成设备的基本安全要求-第1部分：一般要求和概念模型”的第5.4部分。</w:t>
      </w:r>
    </w:p>
  </w:footnote>
  <w:footnote w:id="6">
    <w:p w14:paraId="01FE7669">
      <w:pPr>
        <w:shd w:val="clear" w:color="auto" w:fill="FFFFFF"/>
        <w:snapToGrid w:val="0"/>
        <w:rPr>
          <w:rFonts w:eastAsia="宋体"/>
          <w:sz w:val="18"/>
          <w:szCs w:val="18"/>
        </w:rPr>
      </w:pPr>
      <w:r>
        <w:rPr>
          <w:rStyle w:val="13"/>
          <w:rFonts w:eastAsia="宋体"/>
          <w:sz w:val="18"/>
          <w:szCs w:val="18"/>
        </w:rPr>
        <w:footnoteRef/>
      </w:r>
      <w:r>
        <w:rPr>
          <w:rFonts w:eastAsia="宋体"/>
          <w:sz w:val="18"/>
          <w:szCs w:val="18"/>
        </w:rPr>
        <w:t xml:space="preserve"> </w:t>
      </w:r>
      <w:r>
        <w:rPr>
          <w:rFonts w:eastAsia="宋体"/>
          <w:color w:val="000000"/>
          <w:sz w:val="18"/>
          <w:szCs w:val="18"/>
        </w:rPr>
        <w:t>《联邦食品、药品和化妆品法案》第201（k）条将“标签”定义为：</w:t>
      </w:r>
    </w:p>
    <w:p w14:paraId="1A1145C1">
      <w:pPr>
        <w:shd w:val="clear" w:color="auto" w:fill="FFFFFF"/>
        <w:snapToGrid w:val="0"/>
        <w:ind w:left="570" w:leftChars="150" w:hanging="270" w:hangingChars="150"/>
        <w:rPr>
          <w:rFonts w:eastAsia="宋体"/>
          <w:color w:val="000000"/>
          <w:sz w:val="18"/>
          <w:szCs w:val="18"/>
        </w:rPr>
      </w:pPr>
      <w:r>
        <w:rPr>
          <w:rFonts w:eastAsia="宋体"/>
          <w:color w:val="000000"/>
          <w:sz w:val="18"/>
          <w:szCs w:val="18"/>
        </w:rPr>
        <w:t>•</w:t>
      </w:r>
      <w:r>
        <w:rPr>
          <w:rFonts w:eastAsia="宋体"/>
          <w:color w:val="000000"/>
          <w:sz w:val="18"/>
          <w:szCs w:val="18"/>
        </w:rPr>
        <w:tab/>
      </w:r>
      <w:r>
        <w:rPr>
          <w:rFonts w:eastAsia="宋体"/>
          <w:color w:val="000000"/>
          <w:sz w:val="18"/>
          <w:szCs w:val="18"/>
        </w:rPr>
        <w:t>“在任何物品的直接包装上的书写、印刷或图形信息展示……”</w:t>
      </w:r>
    </w:p>
    <w:p w14:paraId="23ADCC04">
      <w:pPr>
        <w:shd w:val="clear" w:color="auto" w:fill="FFFFFF"/>
        <w:tabs>
          <w:tab w:val="left" w:pos="720"/>
        </w:tabs>
        <w:snapToGrid w:val="0"/>
        <w:rPr>
          <w:rFonts w:eastAsia="宋体"/>
          <w:sz w:val="18"/>
          <w:szCs w:val="18"/>
        </w:rPr>
      </w:pPr>
      <w:r>
        <w:rPr>
          <w:rFonts w:eastAsia="宋体"/>
          <w:color w:val="000000"/>
          <w:sz w:val="18"/>
          <w:szCs w:val="18"/>
        </w:rPr>
        <w:t>“直接包装”不包括包装内衬。出现在直接包装上的任何单词、语句或其他信息也必须出现在“此类物品的外部容器或包装（如果有的话）或零售包装上，或者通过包装的外部容器容易辨认。”第201（m）条将“标记”定义为：</w:t>
      </w:r>
    </w:p>
    <w:p w14:paraId="5D788A32">
      <w:pPr>
        <w:shd w:val="clear" w:color="auto" w:fill="FFFFFF"/>
        <w:snapToGrid w:val="0"/>
        <w:ind w:left="570" w:leftChars="150" w:hanging="270" w:hangingChars="150"/>
        <w:rPr>
          <w:rFonts w:eastAsia="宋体"/>
          <w:sz w:val="18"/>
          <w:szCs w:val="18"/>
        </w:rPr>
      </w:pPr>
      <w:r>
        <w:rPr>
          <w:rFonts w:eastAsia="宋体"/>
          <w:color w:val="000000"/>
          <w:sz w:val="18"/>
          <w:szCs w:val="18"/>
        </w:rPr>
        <w:t>•</w:t>
      </w:r>
      <w:r>
        <w:rPr>
          <w:rFonts w:eastAsia="宋体"/>
          <w:color w:val="000000"/>
          <w:sz w:val="18"/>
          <w:szCs w:val="18"/>
        </w:rPr>
        <w:tab/>
      </w:r>
      <w:r>
        <w:rPr>
          <w:rFonts w:eastAsia="宋体"/>
          <w:color w:val="000000"/>
          <w:sz w:val="18"/>
          <w:szCs w:val="18"/>
        </w:rPr>
        <w:t>“所有标签和其他书写、印刷或图形信息</w:t>
      </w:r>
    </w:p>
    <w:p w14:paraId="745A8AB6">
      <w:pPr>
        <w:shd w:val="clear" w:color="auto" w:fill="FFFFFF"/>
        <w:tabs>
          <w:tab w:val="left" w:pos="1003"/>
        </w:tabs>
        <w:snapToGrid w:val="0"/>
        <w:ind w:left="614" w:leftChars="307"/>
        <w:rPr>
          <w:rFonts w:eastAsia="宋体"/>
          <w:color w:val="000000"/>
          <w:sz w:val="18"/>
          <w:szCs w:val="18"/>
        </w:rPr>
      </w:pPr>
      <w:r>
        <w:rPr>
          <w:rFonts w:eastAsia="宋体"/>
          <w:color w:val="000000"/>
          <w:sz w:val="18"/>
          <w:szCs w:val="18"/>
        </w:rPr>
        <w:t>（1）</w:t>
      </w:r>
      <w:r>
        <w:rPr>
          <w:rFonts w:eastAsia="宋体"/>
          <w:color w:val="000000"/>
          <w:sz w:val="18"/>
          <w:szCs w:val="18"/>
        </w:rPr>
        <w:tab/>
      </w:r>
      <w:r>
        <w:rPr>
          <w:rFonts w:eastAsia="宋体"/>
          <w:color w:val="000000"/>
          <w:sz w:val="18"/>
          <w:szCs w:val="18"/>
        </w:rPr>
        <w:t>在任何物品或其任何容器或包装上，或</w:t>
      </w:r>
    </w:p>
    <w:p w14:paraId="50884D32">
      <w:pPr>
        <w:shd w:val="clear" w:color="auto" w:fill="FFFFFF"/>
        <w:tabs>
          <w:tab w:val="left" w:pos="1003"/>
        </w:tabs>
        <w:snapToGrid w:val="0"/>
        <w:ind w:left="614" w:leftChars="307"/>
        <w:rPr>
          <w:rFonts w:eastAsia="宋体"/>
          <w:color w:val="000000"/>
          <w:sz w:val="18"/>
          <w:szCs w:val="18"/>
        </w:rPr>
      </w:pPr>
      <w:r>
        <w:rPr>
          <w:rFonts w:eastAsia="宋体"/>
          <w:color w:val="000000"/>
          <w:sz w:val="18"/>
          <w:szCs w:val="18"/>
        </w:rPr>
        <w:t>（2）</w:t>
      </w:r>
      <w:r>
        <w:rPr>
          <w:rFonts w:eastAsia="宋体"/>
          <w:color w:val="000000"/>
          <w:sz w:val="18"/>
          <w:szCs w:val="18"/>
        </w:rPr>
        <w:tab/>
      </w:r>
      <w:r>
        <w:rPr>
          <w:rFonts w:eastAsia="宋体"/>
          <w:color w:val="000000"/>
          <w:sz w:val="18"/>
          <w:szCs w:val="18"/>
        </w:rPr>
        <w:t>在州际贸易中运输或交付待运输后器械留待销售时随时附在此类物品上。</w:t>
      </w:r>
    </w:p>
    <w:p w14:paraId="1806525B">
      <w:pPr>
        <w:shd w:val="clear" w:color="auto" w:fill="FFFFFF"/>
        <w:snapToGrid w:val="0"/>
        <w:rPr>
          <w:rFonts w:eastAsia="宋体"/>
          <w:sz w:val="18"/>
          <w:szCs w:val="18"/>
        </w:rPr>
      </w:pPr>
      <w:r>
        <w:rPr>
          <w:rFonts w:eastAsia="宋体"/>
          <w:color w:val="000000"/>
          <w:sz w:val="18"/>
          <w:szCs w:val="18"/>
        </w:rPr>
        <w:t>“随附”一词被宽泛地解释为不仅仅指与产品的物理联系。其还延伸到宣传海报、标记、小型宣传册、宣传单、广告小册子、手册、说明书、说明表、填充物等。'“随附”还包括在州际贸易中运输或交付待运输后随器械一起运送的标记。</w:t>
      </w:r>
    </w:p>
  </w:footnote>
  <w:footnote w:id="7">
    <w:p w14:paraId="459222B5">
      <w:pPr>
        <w:pStyle w:val="8"/>
        <w:rPr>
          <w:rFonts w:eastAsia="宋体"/>
        </w:rPr>
      </w:pPr>
      <w:r>
        <w:rPr>
          <w:rStyle w:val="13"/>
          <w:rFonts w:eastAsia="宋体"/>
        </w:rPr>
        <w:footnoteRef/>
      </w:r>
      <w:r>
        <w:rPr>
          <w:rFonts w:eastAsia="宋体"/>
        </w:rPr>
        <w:t xml:space="preserve"> </w:t>
      </w:r>
      <w:r>
        <w:rPr>
          <w:rFonts w:eastAsia="宋体"/>
          <w:color w:val="000000"/>
        </w:rPr>
        <w:t>ISO 14971:2007，“医疗器械-风险管理对医疗器械的应用”。</w:t>
      </w:r>
    </w:p>
  </w:footnote>
  <w:footnote w:id="8">
    <w:p w14:paraId="124A55B2">
      <w:pPr>
        <w:pStyle w:val="8"/>
        <w:rPr>
          <w:rFonts w:eastAsia="宋体"/>
          <w:color w:val="000000"/>
        </w:rPr>
      </w:pPr>
      <w:r>
        <w:rPr>
          <w:rStyle w:val="13"/>
          <w:rFonts w:eastAsia="宋体"/>
        </w:rPr>
        <w:footnoteRef/>
      </w:r>
      <w:r>
        <w:rPr>
          <w:rFonts w:eastAsia="宋体"/>
        </w:rPr>
        <w:t xml:space="preserve"> </w:t>
      </w:r>
      <w:r>
        <w:rPr>
          <w:rFonts w:eastAsia="宋体"/>
          <w:color w:val="000000"/>
        </w:rPr>
        <w:t>若要了解有关医疗器械中网络安全的额外信息，请参见我们的指导文件《医疗器械网络安全管理上市前递交资料内容》，网站：</w:t>
      </w:r>
    </w:p>
    <w:p w14:paraId="48C63C45">
      <w:pPr>
        <w:shd w:val="clear" w:color="auto" w:fill="FFFFFF"/>
        <w:snapToGrid w:val="0"/>
        <w:rPr>
          <w:rFonts w:eastAsia="宋体"/>
          <w:sz w:val="18"/>
          <w:szCs w:val="18"/>
        </w:rPr>
      </w:pPr>
      <w:r>
        <w:rPr>
          <w:rFonts w:eastAsia="宋体"/>
          <w:color w:val="0000FF"/>
          <w:sz w:val="18"/>
          <w:szCs w:val="18"/>
          <w:u w:val="single"/>
        </w:rPr>
        <w:t>http://www.fda.gov/downloads/MedicalDevices/DeviceRegulationandGuidance/GuidanceDocuments/UCM356190.pdf and</w:t>
      </w:r>
    </w:p>
    <w:p w14:paraId="7802FC27">
      <w:pPr>
        <w:shd w:val="clear" w:color="auto" w:fill="FFFFFF"/>
        <w:snapToGrid w:val="0"/>
        <w:rPr>
          <w:rFonts w:eastAsia="宋体"/>
          <w:sz w:val="18"/>
          <w:szCs w:val="18"/>
        </w:rPr>
      </w:pPr>
      <w:r>
        <w:rPr>
          <w:rFonts w:eastAsia="宋体"/>
          <w:color w:val="000000"/>
          <w:sz w:val="18"/>
          <w:szCs w:val="18"/>
        </w:rPr>
        <w:t>“行业指南-包含现成（OTS）软件的网络化医疗器械的网络安全”</w:t>
      </w:r>
    </w:p>
    <w:p w14:paraId="25906340">
      <w:pPr>
        <w:shd w:val="clear" w:color="auto" w:fill="FFFFFF"/>
        <w:snapToGrid w:val="0"/>
        <w:rPr>
          <w:rFonts w:eastAsia="宋体"/>
          <w:sz w:val="18"/>
          <w:szCs w:val="18"/>
        </w:rPr>
      </w:pPr>
      <w:r>
        <w:rPr>
          <w:rFonts w:eastAsia="宋体"/>
          <w:color w:val="000000"/>
          <w:sz w:val="18"/>
          <w:szCs w:val="18"/>
        </w:rPr>
        <w:t>可登录以下网站获取：</w:t>
      </w:r>
    </w:p>
    <w:p w14:paraId="2F3C4420">
      <w:pPr>
        <w:shd w:val="clear" w:color="auto" w:fill="FFFFFF"/>
        <w:snapToGrid w:val="0"/>
        <w:rPr>
          <w:rFonts w:eastAsia="宋体"/>
          <w:sz w:val="18"/>
          <w:szCs w:val="18"/>
        </w:rPr>
      </w:pPr>
      <w:r>
        <w:rPr>
          <w:rFonts w:eastAsia="宋体"/>
          <w:color w:val="0000FF"/>
          <w:sz w:val="18"/>
          <w:szCs w:val="18"/>
          <w:u w:val="single"/>
        </w:rPr>
        <w:t>http://www.fda.gov/medicaldevices/deviceregulationandguidance/guidancedocuments/ucm077812.htm</w:t>
      </w:r>
      <w:r>
        <w:rPr>
          <w:rFonts w:eastAsia="宋体"/>
          <w:color w:val="000000"/>
          <w:sz w:val="18"/>
          <w:szCs w:val="18"/>
        </w:rPr>
        <w:t>.</w:t>
      </w:r>
    </w:p>
  </w:footnote>
  <w:footnote w:id="9">
    <w:p w14:paraId="360E4A1B">
      <w:pPr>
        <w:pStyle w:val="8"/>
        <w:rPr>
          <w:rFonts w:eastAsia="宋体"/>
        </w:rPr>
      </w:pPr>
      <w:r>
        <w:rPr>
          <w:rStyle w:val="13"/>
          <w:rFonts w:eastAsia="宋体"/>
        </w:rPr>
        <w:footnoteRef/>
      </w:r>
      <w:r>
        <w:rPr>
          <w:rFonts w:eastAsia="宋体"/>
        </w:rPr>
        <w:t xml:space="preserve"> </w:t>
      </w:r>
      <w:r>
        <w:rPr>
          <w:rFonts w:eastAsia="宋体"/>
          <w:color w:val="000000"/>
        </w:rPr>
        <w:t>若要确定支持符合标准的适当文件化程度，请参考指导文件，“</w:t>
      </w:r>
      <w:r>
        <w:rPr>
          <w:rFonts w:eastAsia="宋体"/>
          <w:color w:val="0000FF"/>
          <w:u w:val="single"/>
        </w:rPr>
        <w:t>行业及FDA工作人员指南-共识标准的认可和使用</w:t>
      </w:r>
      <w:r>
        <w:rPr>
          <w:rFonts w:eastAsia="宋体"/>
          <w:color w:val="000000"/>
        </w:rPr>
        <w:t xml:space="preserve">，” </w:t>
      </w:r>
      <w:r>
        <w:rPr>
          <w:rFonts w:eastAsia="宋体"/>
          <w:color w:val="0000FF"/>
          <w:u w:val="single"/>
        </w:rPr>
        <w:t>http://www.fda.gov/medicaldevices/deviceregulationandguidance/guidancedocuments/ucm077274.htm</w:t>
      </w:r>
      <w:r>
        <w:rPr>
          <w:rFonts w:eastAsia="宋体"/>
          <w:color w:val="000000"/>
        </w:rPr>
        <w:t>。</w:t>
      </w:r>
    </w:p>
  </w:footnote>
  <w:footnote w:id="10">
    <w:p w14:paraId="5D3DB66A">
      <w:pPr>
        <w:pStyle w:val="8"/>
        <w:rPr>
          <w:rFonts w:eastAsia="宋体"/>
        </w:rPr>
      </w:pPr>
      <w:r>
        <w:rPr>
          <w:rStyle w:val="13"/>
          <w:rFonts w:eastAsia="宋体"/>
        </w:rPr>
        <w:footnoteRef/>
      </w:r>
      <w:r>
        <w:rPr>
          <w:rFonts w:eastAsia="宋体"/>
        </w:rPr>
        <w:t xml:space="preserve"> </w:t>
      </w:r>
      <w:r>
        <w:rPr>
          <w:rFonts w:eastAsia="宋体"/>
          <w:color w:val="000000"/>
        </w:rPr>
        <w:t>具有批准的BLA的器械也可能受到21 CFR第610和660部分中的某些标记要求的约束。</w:t>
      </w:r>
    </w:p>
  </w:footnote>
  <w:footnote w:id="11">
    <w:p w14:paraId="238BDAB9">
      <w:pPr>
        <w:shd w:val="clear" w:color="auto" w:fill="FFFFFF"/>
        <w:snapToGrid w:val="0"/>
        <w:rPr>
          <w:rFonts w:eastAsia="宋体"/>
          <w:color w:val="000000" w:themeColor="text1"/>
          <w:sz w:val="18"/>
          <w:szCs w:val="18"/>
        </w:rPr>
      </w:pPr>
      <w:r>
        <w:rPr>
          <w:rStyle w:val="13"/>
          <w:rFonts w:eastAsia="宋体"/>
          <w:color w:val="000000" w:themeColor="text1"/>
          <w:sz w:val="18"/>
          <w:szCs w:val="18"/>
        </w:rPr>
        <w:footnoteRef/>
      </w:r>
      <w:r>
        <w:rPr>
          <w:rFonts w:eastAsia="宋体"/>
          <w:color w:val="000000" w:themeColor="text1"/>
          <w:sz w:val="18"/>
          <w:szCs w:val="18"/>
        </w:rPr>
        <w:t xml:space="preserve"> 有关更多信息，请参考FDA指南，</w:t>
      </w:r>
      <w:r>
        <w:rPr>
          <w:rFonts w:ascii="宋体" w:hAnsi="宋体" w:eastAsia="宋体"/>
          <w:color w:val="000000" w:themeColor="text1"/>
          <w:sz w:val="18"/>
          <w:szCs w:val="18"/>
        </w:rPr>
        <w:t>“人为因素和可用性工程对医疗器械的应用”</w:t>
      </w:r>
      <w:r>
        <w:rPr>
          <w:rFonts w:eastAsia="宋体"/>
          <w:color w:val="000000" w:themeColor="text1"/>
          <w:sz w:val="18"/>
          <w:szCs w:val="18"/>
        </w:rPr>
        <w:t xml:space="preserve">，网站： </w:t>
      </w:r>
      <w:r>
        <w:rPr>
          <w:rFonts w:eastAsia="宋体"/>
          <w:color w:val="000000" w:themeColor="text1"/>
          <w:sz w:val="18"/>
          <w:szCs w:val="18"/>
          <w:u w:val="single"/>
        </w:rPr>
        <w:t>http://www.fda.gov/downloads/MedicalDevices/.../UCM259760.pdf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0B12">
    <w:pPr>
      <w:shd w:val="clear" w:color="auto" w:fill="FFFFFF"/>
      <w:snapToGrid w:val="0"/>
      <w:jc w:val="center"/>
      <w:rPr>
        <w:rFonts w:eastAsia="宋体"/>
        <w:sz w:val="21"/>
        <w:szCs w:val="21"/>
      </w:rPr>
    </w:pPr>
    <w:r>
      <w:rPr>
        <w:rFonts w:hint="eastAsia" w:eastAsia="宋体"/>
        <w:b/>
        <w:bCs/>
        <w:i/>
        <w:iCs/>
        <w:color w:val="000000"/>
        <w:sz w:val="21"/>
        <w:szCs w:val="21"/>
      </w:rPr>
      <w:t>所含建议</w:t>
    </w:r>
    <w:r>
      <w:rPr>
        <w:rFonts w:eastAsia="宋体"/>
        <w:b/>
        <w:bCs/>
        <w:i/>
        <w:iCs/>
        <w:color w:val="000000"/>
        <w:sz w:val="21"/>
        <w:szCs w:val="21"/>
      </w:rPr>
      <w:t>不具约束力</w:t>
    </w:r>
  </w:p>
  <w:p w14:paraId="0A9692C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CD1"/>
    <w:rsid w:val="00011AEF"/>
    <w:rsid w:val="00065907"/>
    <w:rsid w:val="00071D0C"/>
    <w:rsid w:val="00080DCD"/>
    <w:rsid w:val="0009027A"/>
    <w:rsid w:val="00115AC0"/>
    <w:rsid w:val="001A1842"/>
    <w:rsid w:val="001D7A01"/>
    <w:rsid w:val="001E3026"/>
    <w:rsid w:val="001F1D49"/>
    <w:rsid w:val="001F432F"/>
    <w:rsid w:val="00227339"/>
    <w:rsid w:val="00235BDE"/>
    <w:rsid w:val="00277127"/>
    <w:rsid w:val="00292998"/>
    <w:rsid w:val="002A34BF"/>
    <w:rsid w:val="00342289"/>
    <w:rsid w:val="00365AA0"/>
    <w:rsid w:val="00390EA1"/>
    <w:rsid w:val="003A03B2"/>
    <w:rsid w:val="003B77DB"/>
    <w:rsid w:val="003C7B7C"/>
    <w:rsid w:val="003E1C97"/>
    <w:rsid w:val="003E3184"/>
    <w:rsid w:val="004826CF"/>
    <w:rsid w:val="004A5F27"/>
    <w:rsid w:val="004A6F22"/>
    <w:rsid w:val="00567306"/>
    <w:rsid w:val="005A5510"/>
    <w:rsid w:val="005D7B45"/>
    <w:rsid w:val="005E576D"/>
    <w:rsid w:val="00630112"/>
    <w:rsid w:val="0067688D"/>
    <w:rsid w:val="006A5500"/>
    <w:rsid w:val="006E19D0"/>
    <w:rsid w:val="00700A8D"/>
    <w:rsid w:val="0079774A"/>
    <w:rsid w:val="00797844"/>
    <w:rsid w:val="007B46B6"/>
    <w:rsid w:val="00800F20"/>
    <w:rsid w:val="00A40308"/>
    <w:rsid w:val="00A649DA"/>
    <w:rsid w:val="00A81FB6"/>
    <w:rsid w:val="00AA4636"/>
    <w:rsid w:val="00AB1C1E"/>
    <w:rsid w:val="00B050EC"/>
    <w:rsid w:val="00B23B3D"/>
    <w:rsid w:val="00B32A80"/>
    <w:rsid w:val="00B60225"/>
    <w:rsid w:val="00BE3F06"/>
    <w:rsid w:val="00BF27E7"/>
    <w:rsid w:val="00C11BF9"/>
    <w:rsid w:val="00CC5685"/>
    <w:rsid w:val="00CE6F56"/>
    <w:rsid w:val="00D346C2"/>
    <w:rsid w:val="00D46F9A"/>
    <w:rsid w:val="00DA4F6F"/>
    <w:rsid w:val="00DD0657"/>
    <w:rsid w:val="00DD07DC"/>
    <w:rsid w:val="00E30B1B"/>
    <w:rsid w:val="00E60057"/>
    <w:rsid w:val="00EB6DE3"/>
    <w:rsid w:val="00EC316A"/>
    <w:rsid w:val="00F77677"/>
    <w:rsid w:val="00FE4CD1"/>
    <w:rsid w:val="00FF2D89"/>
    <w:rsid w:val="33A23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8"/>
    <w:qFormat/>
    <w:uiPriority w:val="9"/>
    <w:pPr>
      <w:tabs>
        <w:tab w:val="left" w:pos="630"/>
        <w:tab w:val="left" w:pos="1274"/>
      </w:tabs>
      <w:snapToGrid w:val="0"/>
      <w:spacing w:beforeLines="100" w:afterLines="100"/>
      <w:ind w:left="630" w:hanging="630" w:hangingChars="175"/>
      <w:jc w:val="both"/>
      <w:outlineLvl w:val="0"/>
    </w:pPr>
    <w:rPr>
      <w:b/>
      <w:bCs/>
      <w:sz w:val="36"/>
      <w:szCs w:val="36"/>
    </w:rPr>
  </w:style>
  <w:style w:type="paragraph" w:styleId="3">
    <w:name w:val="heading 2"/>
    <w:basedOn w:val="1"/>
    <w:next w:val="1"/>
    <w:link w:val="19"/>
    <w:unhideWhenUsed/>
    <w:qFormat/>
    <w:uiPriority w:val="9"/>
    <w:pPr>
      <w:tabs>
        <w:tab w:val="left" w:pos="1288"/>
      </w:tabs>
      <w:snapToGrid w:val="0"/>
      <w:spacing w:beforeLines="100" w:afterLines="100"/>
      <w:ind w:left="566" w:leftChars="283"/>
      <w:jc w:val="both"/>
      <w:outlineLvl w:val="1"/>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left" w:pos="709"/>
        <w:tab w:val="right" w:leader="dot" w:pos="9062"/>
      </w:tabs>
    </w:pPr>
    <w:rPr>
      <w:rFonts w:eastAsia="宋体"/>
      <w:sz w:val="24"/>
    </w:rPr>
  </w:style>
  <w:style w:type="paragraph" w:styleId="8">
    <w:name w:val="footnote text"/>
    <w:basedOn w:val="1"/>
    <w:link w:val="16"/>
    <w:semiHidden/>
    <w:unhideWhenUsed/>
    <w:uiPriority w:val="99"/>
    <w:pPr>
      <w:snapToGrid w:val="0"/>
    </w:pPr>
    <w:rPr>
      <w:sz w:val="18"/>
      <w:szCs w:val="18"/>
    </w:rPr>
  </w:style>
  <w:style w:type="paragraph" w:styleId="9">
    <w:name w:val="toc 2"/>
    <w:basedOn w:val="1"/>
    <w:next w:val="1"/>
    <w:autoRedefine/>
    <w:unhideWhenUsed/>
    <w:uiPriority w:val="39"/>
    <w:pPr>
      <w:tabs>
        <w:tab w:val="left" w:pos="709"/>
        <w:tab w:val="right" w:leader="dot" w:pos="9062"/>
      </w:tabs>
      <w:ind w:left="284" w:leftChars="142"/>
    </w:pPr>
    <w:rPr>
      <w:rFonts w:eastAsia="宋体"/>
      <w:sz w:val="21"/>
    </w:rPr>
  </w:style>
  <w:style w:type="character" w:styleId="12">
    <w:name w:val="Hyperlink"/>
    <w:basedOn w:val="11"/>
    <w:unhideWhenUsed/>
    <w:uiPriority w:val="99"/>
    <w:rPr>
      <w:color w:val="0563C1" w:themeColor="hyperlink"/>
      <w:u w:val="single"/>
    </w:rPr>
  </w:style>
  <w:style w:type="character" w:styleId="13">
    <w:name w:val="footnote reference"/>
    <w:basedOn w:val="11"/>
    <w:semiHidden/>
    <w:unhideWhenUsed/>
    <w:qFormat/>
    <w:uiPriority w:val="99"/>
    <w:rPr>
      <w:vertAlign w:val="superscript"/>
    </w:rPr>
  </w:style>
  <w:style w:type="character" w:customStyle="1" w:styleId="14">
    <w:name w:val="页眉 字符"/>
    <w:basedOn w:val="11"/>
    <w:link w:val="6"/>
    <w:qFormat/>
    <w:uiPriority w:val="99"/>
    <w:rPr>
      <w:rFonts w:ascii="Times New Roman" w:hAnsi="Times New Roman" w:cs="Times New Roman"/>
      <w:kern w:val="0"/>
      <w:sz w:val="18"/>
      <w:szCs w:val="18"/>
    </w:rPr>
  </w:style>
  <w:style w:type="character" w:customStyle="1" w:styleId="15">
    <w:name w:val="页脚 字符"/>
    <w:basedOn w:val="11"/>
    <w:link w:val="5"/>
    <w:qFormat/>
    <w:uiPriority w:val="99"/>
    <w:rPr>
      <w:rFonts w:ascii="Times New Roman" w:hAnsi="Times New Roman" w:cs="Times New Roman"/>
      <w:kern w:val="0"/>
      <w:sz w:val="18"/>
      <w:szCs w:val="18"/>
    </w:rPr>
  </w:style>
  <w:style w:type="character" w:customStyle="1" w:styleId="16">
    <w:name w:val="脚注文本 字符"/>
    <w:basedOn w:val="11"/>
    <w:link w:val="8"/>
    <w:semiHidden/>
    <w:qFormat/>
    <w:uiPriority w:val="99"/>
    <w:rPr>
      <w:rFonts w:ascii="Times New Roman" w:hAnsi="Times New Roman" w:cs="Times New Roman"/>
      <w:kern w:val="0"/>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标题 1 字符"/>
    <w:basedOn w:val="11"/>
    <w:link w:val="2"/>
    <w:qFormat/>
    <w:uiPriority w:val="9"/>
    <w:rPr>
      <w:rFonts w:ascii="Times New Roman" w:hAnsi="Times New Roman" w:cs="Times New Roman"/>
      <w:b/>
      <w:bCs/>
      <w:kern w:val="0"/>
      <w:sz w:val="36"/>
      <w:szCs w:val="36"/>
    </w:rPr>
  </w:style>
  <w:style w:type="character" w:customStyle="1" w:styleId="19">
    <w:name w:val="标题 2 字符"/>
    <w:basedOn w:val="11"/>
    <w:link w:val="3"/>
    <w:qFormat/>
    <w:uiPriority w:val="9"/>
    <w:rPr>
      <w:rFonts w:ascii="Times New Roman" w:hAnsi="Times New Roman" w:cs="Times New Roman"/>
      <w:b/>
      <w:bCs/>
      <w:kern w:val="0"/>
      <w:sz w:val="32"/>
      <w:szCs w:val="32"/>
    </w:rPr>
  </w:style>
  <w:style w:type="character" w:customStyle="1" w:styleId="20">
    <w:name w:val="Unresolved Mention1"/>
    <w:basedOn w:val="11"/>
    <w:semiHidden/>
    <w:unhideWhenUsed/>
    <w:uiPriority w:val="99"/>
    <w:rPr>
      <w:color w:val="605E5C"/>
      <w:shd w:val="clear" w:color="auto" w:fill="E1DFDD"/>
    </w:rPr>
  </w:style>
  <w:style w:type="character" w:customStyle="1" w:styleId="21">
    <w:name w:val="批注框文本 字符"/>
    <w:basedOn w:val="11"/>
    <w:link w:val="4"/>
    <w:semiHidden/>
    <w:qFormat/>
    <w:uiPriority w:val="99"/>
    <w:rPr>
      <w:rFonts w:ascii="Times New Roman" w:hAnsi="Times New Roman" w:cs="Times New Roman"/>
      <w:kern w:val="0"/>
      <w:sz w:val="18"/>
      <w:szCs w:val="18"/>
    </w:rPr>
  </w:style>
  <w:style w:type="paragraph" w:customStyle="1" w:styleId="22">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21BF-C604-4B79-B5ED-6D913E76896E}">
  <ds:schemaRefs/>
</ds:datastoreItem>
</file>

<file path=docProps/app.xml><?xml version="1.0" encoding="utf-8"?>
<Properties xmlns="http://schemas.openxmlformats.org/officeDocument/2006/extended-properties" xmlns:vt="http://schemas.openxmlformats.org/officeDocument/2006/docPropsVTypes">
  <Template>Normal</Template>
  <Pages>21</Pages>
  <Words>10937</Words>
  <Characters>11911</Characters>
  <Lines>95</Lines>
  <Paragraphs>26</Paragraphs>
  <TotalTime>619</TotalTime>
  <ScaleCrop>false</ScaleCrop>
  <LinksUpToDate>false</LinksUpToDate>
  <CharactersWithSpaces>12088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2021-11-14T01:48:00Z</dcterms:created>
  <dc:creator>CDRH CBER</dc:creator>
  <cp:lastModifiedBy>太极箫客</cp:lastModifiedBy>
  <dcterms:modified xsi:type="dcterms:W3CDTF">2025-08-14T06:29:49Z</dcterms:modified>
  <dc:title>Design Considerations and Pre-market Submission Recommendations for Interoperable Medical Devices - Guidance for Industry and Food and Drug Administration Staff</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1D862F2594C24D63B3BEDC853CE7B7F7_12</vt:lpwstr>
  </property>
</Properties>
</file>