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83487">
      <w:pPr>
        <w:ind w:firstLine="2650" w:firstLineChars="600"/>
        <w:rPr>
          <w:b/>
          <w:sz w:val="44"/>
          <w:szCs w:val="44"/>
        </w:rPr>
      </w:pPr>
      <w:bookmarkStart w:id="5" w:name="_GoBack"/>
      <w:bookmarkEnd w:id="5"/>
      <w:r>
        <w:rPr>
          <w:rFonts w:hint="eastAsia" w:cs="宋体"/>
          <w:b/>
          <w:sz w:val="44"/>
          <w:szCs w:val="44"/>
        </w:rPr>
        <w:t>临床评价报告模板</w:t>
      </w:r>
    </w:p>
    <w:p w14:paraId="2E16AE41">
      <w:pPr>
        <w:spacing w:line="360" w:lineRule="auto"/>
        <w:rPr>
          <w:rFonts w:ascii="宋体" w:hAnsi="宋体" w:cs="宋体"/>
          <w:sz w:val="28"/>
          <w:szCs w:val="28"/>
        </w:rPr>
      </w:pPr>
    </w:p>
    <w:p w14:paraId="6E03AB4A">
      <w:pPr>
        <w:spacing w:line="360" w:lineRule="auto"/>
        <w:rPr>
          <w:rFonts w:ascii="宋体" w:hAnsi="宋体"/>
          <w:sz w:val="28"/>
          <w:szCs w:val="28"/>
        </w:rPr>
      </w:pPr>
      <w:r>
        <w:rPr>
          <w:rFonts w:hint="eastAsia" w:ascii="宋体" w:hAnsi="宋体" w:cs="宋体"/>
          <w:sz w:val="28"/>
          <w:szCs w:val="28"/>
        </w:rPr>
        <w:t>一</w:t>
      </w:r>
      <w:r>
        <w:rPr>
          <w:rFonts w:ascii="宋体" w:hAnsi="宋体"/>
          <w:sz w:val="28"/>
          <w:szCs w:val="28"/>
        </w:rPr>
        <w:t xml:space="preserve"> </w:t>
      </w:r>
      <w:r>
        <w:rPr>
          <w:rFonts w:hint="eastAsia" w:ascii="宋体" w:hAnsi="宋体" w:cs="宋体"/>
          <w:sz w:val="28"/>
          <w:szCs w:val="28"/>
        </w:rPr>
        <w:t>同品种医疗器械判定</w:t>
      </w:r>
    </w:p>
    <w:p w14:paraId="2F8D1687">
      <w:pPr>
        <w:spacing w:line="360" w:lineRule="auto"/>
        <w:rPr>
          <w:rFonts w:ascii="宋体" w:hAnsi="宋体" w:cs="宋体"/>
          <w:sz w:val="28"/>
          <w:szCs w:val="28"/>
        </w:rPr>
      </w:pPr>
      <w:r>
        <w:rPr>
          <w:rFonts w:ascii="宋体" w:hAnsi="宋体"/>
          <w:sz w:val="28"/>
          <w:szCs w:val="28"/>
        </w:rPr>
        <w:t xml:space="preserve">   </w:t>
      </w:r>
      <w:r>
        <w:rPr>
          <w:rFonts w:hint="eastAsia" w:ascii="宋体" w:hAnsi="宋体" w:cs="宋体"/>
          <w:sz w:val="28"/>
          <w:szCs w:val="28"/>
        </w:rPr>
        <w:t>申报产品与某产品（注册证号：）基本原理、结构组成、与患者接触材料、生产工艺、安全性评价、符合的国家</w:t>
      </w:r>
      <w:r>
        <w:rPr>
          <w:rFonts w:ascii="宋体" w:hAnsi="宋体"/>
          <w:sz w:val="28"/>
          <w:szCs w:val="28"/>
        </w:rPr>
        <w:t>/</w:t>
      </w:r>
      <w:r>
        <w:rPr>
          <w:rFonts w:hint="eastAsia" w:ascii="宋体" w:hAnsi="宋体" w:cs="宋体"/>
          <w:sz w:val="28"/>
          <w:szCs w:val="28"/>
        </w:rPr>
        <w:t>行业标准、预期用途等方面完全相同，仅在</w:t>
      </w:r>
      <w:r>
        <w:rPr>
          <w:rFonts w:ascii="宋体" w:hAnsi="宋体"/>
          <w:sz w:val="28"/>
          <w:szCs w:val="28"/>
        </w:rPr>
        <w:t>a,b</w:t>
      </w:r>
      <w:r>
        <w:rPr>
          <w:rFonts w:hint="eastAsia" w:ascii="宋体" w:hAnsi="宋体" w:cs="宋体"/>
          <w:sz w:val="28"/>
          <w:szCs w:val="28"/>
        </w:rPr>
        <w:t>和</w:t>
      </w:r>
      <w:r>
        <w:rPr>
          <w:rFonts w:ascii="宋体" w:hAnsi="宋体"/>
          <w:sz w:val="28"/>
          <w:szCs w:val="28"/>
        </w:rPr>
        <w:t>c</w:t>
      </w:r>
      <w:r>
        <w:rPr>
          <w:rFonts w:hint="eastAsia" w:ascii="宋体" w:hAnsi="宋体" w:cs="宋体"/>
          <w:sz w:val="28"/>
          <w:szCs w:val="28"/>
        </w:rPr>
        <w:t>三项上略项有区别，但这些区别更有利于操作者的操作，不对产品的安全有效性产生不利影响，属于同品种医疗器械。对比信息见附件</w:t>
      </w:r>
    </w:p>
    <w:p w14:paraId="636EFFA2">
      <w:pPr>
        <w:spacing w:line="360" w:lineRule="auto"/>
        <w:rPr>
          <w:rFonts w:ascii="宋体" w:hAnsi="宋体"/>
          <w:sz w:val="28"/>
          <w:szCs w:val="28"/>
        </w:rPr>
      </w:pPr>
      <w:r>
        <w:rPr>
          <w:rFonts w:ascii="宋体" w:hAnsi="宋体"/>
          <w:sz w:val="28"/>
          <w:szCs w:val="28"/>
        </w:rPr>
        <w:t xml:space="preserve">附件1 </w:t>
      </w:r>
      <w:r>
        <w:rPr>
          <w:rFonts w:hint="eastAsia" w:ascii="宋体" w:hAnsi="宋体" w:cs="宋体"/>
          <w:sz w:val="28"/>
          <w:szCs w:val="28"/>
        </w:rPr>
        <w:t>同品种医疗器械对比表</w:t>
      </w:r>
    </w:p>
    <w:p w14:paraId="238CC21E">
      <w:pPr>
        <w:spacing w:line="360" w:lineRule="auto"/>
        <w:rPr>
          <w:rFonts w:ascii="宋体" w:hAnsi="宋体"/>
          <w:sz w:val="28"/>
          <w:szCs w:val="28"/>
        </w:rPr>
      </w:pPr>
    </w:p>
    <w:p w14:paraId="08E8F6CC"/>
    <w:p w14:paraId="50A6D40D"/>
    <w:p w14:paraId="779C53B2"/>
    <w:p w14:paraId="3AB2723D"/>
    <w:p w14:paraId="618BDD55"/>
    <w:p w14:paraId="278B3C61"/>
    <w:p w14:paraId="0662CA8A"/>
    <w:p w14:paraId="78D6C3B5"/>
    <w:p w14:paraId="169BAE72"/>
    <w:p w14:paraId="35D98A2C"/>
    <w:p w14:paraId="1C6411C4"/>
    <w:p w14:paraId="4950BD74"/>
    <w:p w14:paraId="13DC65DA"/>
    <w:p w14:paraId="47C3DD42"/>
    <w:p w14:paraId="04BEFBBC"/>
    <w:p w14:paraId="755366D7"/>
    <w:p w14:paraId="35AEFC60"/>
    <w:p w14:paraId="73B8075F"/>
    <w:p w14:paraId="2C1B0B5D"/>
    <w:p w14:paraId="5F9491AB"/>
    <w:p w14:paraId="7D834B2D"/>
    <w:p w14:paraId="01C64DE4"/>
    <w:p w14:paraId="7967B774"/>
    <w:p w14:paraId="3E446845"/>
    <w:p w14:paraId="1081A3B3"/>
    <w:p w14:paraId="6BAC9FE9"/>
    <w:p w14:paraId="794A531A"/>
    <w:p w14:paraId="214584BE"/>
    <w:p w14:paraId="044E527E"/>
    <w:p w14:paraId="7160AFA1"/>
    <w:p w14:paraId="60DF7770"/>
    <w:p w14:paraId="5DE51844"/>
    <w:p w14:paraId="245D3E3F"/>
    <w:p w14:paraId="26A290AA"/>
    <w:p w14:paraId="56A68108"/>
    <w:p w14:paraId="4A663636"/>
    <w:p w14:paraId="6CBC2494">
      <w:pPr>
        <w:rPr>
          <w:sz w:val="28"/>
          <w:szCs w:val="28"/>
        </w:rPr>
      </w:pPr>
      <w:r>
        <w:rPr>
          <w:rFonts w:hint="eastAsia" w:cs="宋体"/>
          <w:sz w:val="28"/>
          <w:szCs w:val="28"/>
        </w:rPr>
        <w:t>二</w:t>
      </w:r>
      <w:r>
        <w:rPr>
          <w:sz w:val="28"/>
          <w:szCs w:val="28"/>
        </w:rPr>
        <w:t xml:space="preserve"> </w:t>
      </w:r>
      <w:r>
        <w:rPr>
          <w:rFonts w:hint="eastAsia" w:cs="宋体"/>
          <w:sz w:val="28"/>
          <w:szCs w:val="28"/>
        </w:rPr>
        <w:t>评价路径</w:t>
      </w:r>
    </w:p>
    <w:p w14:paraId="65E393A1"/>
    <w:p w14:paraId="1F7F6FBC">
      <w:pPr>
        <w:spacing w:line="200" w:lineRule="exact"/>
        <w:jc w:val="center"/>
        <w:rPr>
          <w:rFonts w:ascii="方正小标宋简体" w:hAnsi="宋体" w:eastAsia="方正小标宋简体"/>
          <w:sz w:val="44"/>
          <w:szCs w:val="44"/>
        </w:rPr>
      </w:pPr>
    </w:p>
    <w:p w14:paraId="146B76D6">
      <w:pPr>
        <w:spacing w:line="360" w:lineRule="auto"/>
        <w:jc w:val="left"/>
      </w:pPr>
      <w:bookmarkStart w:id="0" w:name="YinFaRiQiΩ1"/>
      <w:bookmarkEnd w:id="0"/>
      <w:r>
        <w:pict>
          <v:group id="画布 50" o:spid="_x0000_s1026" o:spt="203" style="height:593.25pt;width:459.5pt;" coordsize="58356,75342" editas="canvas">
            <o:lock v:ext="edit"/>
            <v:shape id="画布 50" o:spid="_x0000_s1027" o:spt="75" type="#_x0000_t75" style="position:absolute;left:0;top:0;height:75342;width:58356;" filled="f" o:preferrelative="t" stroked="f" coordsize="21600,21600">
              <v:fill on="f" focussize="0,0"/>
              <v:stroke on="f" joinstyle="miter"/>
              <v:imagedata o:title=""/>
              <o:lock v:ext="edit" aspectratio="t"/>
            </v:shape>
            <v:shape id="Oval 35" o:spid="_x0000_s1028" o:spt="3" type="#_x0000_t3" style="position:absolute;left:20948;top:0;height:4572;width:13615;" coordsize="21600,21600">
              <v:path/>
              <v:fill focussize="0,0"/>
              <v:stroke/>
              <v:imagedata o:title=""/>
              <o:lock v:ext="edit"/>
              <v:textbox>
                <w:txbxContent>
                  <w:p w14:paraId="00DF5C9B">
                    <w:pPr>
                      <w:jc w:val="center"/>
                    </w:pPr>
                    <w:r>
                      <w:rPr>
                        <w:rFonts w:hint="eastAsia" w:cs="宋体"/>
                      </w:rPr>
                      <w:t>医疗器械</w:t>
                    </w:r>
                  </w:p>
                </w:txbxContent>
              </v:textbox>
            </v:shape>
            <v:shape id="AutoShape 36" o:spid="_x0000_s1029" o:spt="110" type="#_x0000_t110" style="position:absolute;left:17043;top:7918;height:12668;width:21444;" coordsize="21600,21600">
              <v:path/>
              <v:fill focussize="0,0"/>
              <v:stroke joinstyle="miter"/>
              <v:imagedata o:title=""/>
              <o:lock v:ext="edit"/>
              <v:textbox>
                <w:txbxContent>
                  <w:p w14:paraId="7A81E2C4">
                    <w:r>
                      <w:rPr>
                        <w:rFonts w:hint="eastAsia" w:cs="宋体"/>
                      </w:rPr>
                      <w:t>与同品种医疗器械是否存在差异性？</w:t>
                    </w:r>
                  </w:p>
                </w:txbxContent>
              </v:textbox>
            </v:shape>
            <v:shape id="AutoShape 38" o:spid="_x0000_s1030" o:spt="110" type="#_x0000_t110" style="position:absolute;left:23329;top:27241;height:30385;width:30315;" coordsize="21600,21600">
              <v:path/>
              <v:fill focussize="0,0"/>
              <v:stroke joinstyle="miter"/>
              <v:imagedata o:title=""/>
              <o:lock v:ext="edit"/>
              <v:textbox>
                <w:txbxContent>
                  <w:p w14:paraId="25EA4897">
                    <w:r>
                      <w:rPr>
                        <w:rFonts w:hint="eastAsia" w:cs="宋体"/>
                      </w:rPr>
                      <w:t>是否可通过申报产品的非临床研究资料、和／或临床文献数据、和／或临床经验数据、和／或针对差异性在中国境内开展的临床试验资料证明差异性对产品的安全有效性未产生不利影响</w:t>
                    </w:r>
                  </w:p>
                  <w:p w14:paraId="088C3148"/>
                </w:txbxContent>
              </v:textbox>
            </v:shape>
            <v:shape id="AutoShape 39" o:spid="_x0000_s1031" o:spt="176" type="#_x0000_t176" style="position:absolute;left:1778;top:37140;height:10624;width:13052;" coordsize="21600,21600">
              <v:path/>
              <v:fill focussize="0,0"/>
              <v:stroke joinstyle="miter"/>
              <v:imagedata o:title=""/>
              <o:lock v:ext="edit"/>
              <v:textbox>
                <w:txbxContent>
                  <w:p w14:paraId="11663793">
                    <w:r>
                      <w:rPr>
                        <w:rFonts w:hint="eastAsia" w:cs="宋体"/>
                      </w:rPr>
                      <w:t>对同品种医疗器械临床文献和</w:t>
                    </w:r>
                    <w:r>
                      <w:t>/</w:t>
                    </w:r>
                    <w:r>
                      <w:rPr>
                        <w:rFonts w:hint="eastAsia" w:cs="宋体"/>
                      </w:rPr>
                      <w:t>或临床经验数据进行收集、分析</w:t>
                    </w:r>
                  </w:p>
                </w:txbxContent>
              </v:textbox>
            </v:shape>
            <v:shape id="AutoShape 40" o:spid="_x0000_s1032" o:spt="32" type="#_x0000_t32" style="position:absolute;left:27755;top:4572;height:3346;width:13;" o:connectortype="straight" filled="f" coordsize="21600,21600">
              <v:path arrowok="t"/>
              <v:fill on="f" focussize="0,0"/>
              <v:stroke endarrow="block"/>
              <v:imagedata o:title=""/>
              <o:lock v:ext="edit"/>
            </v:shape>
            <v:shape id="AutoShape 44" o:spid="_x0000_s1033" o:spt="176" type="#_x0000_t176" style="position:absolute;left:28943;top:65100;height:10242;width:23793;" coordsize="21600,21600">
              <v:path/>
              <v:fill focussize="0,0"/>
              <v:stroke joinstyle="miter"/>
              <v:imagedata o:title=""/>
              <o:lock v:ext="edit"/>
              <v:textbox>
                <w:txbxContent>
                  <w:p w14:paraId="16501218">
                    <w:r>
                      <w:rPr>
                        <w:rFonts w:hint="eastAsia" w:cs="宋体"/>
                      </w:rPr>
                      <w:t>不能通过同品种医疗器械临床试验或临床使用获得的数据进行分析评价。注册申请人需按照规定提交相应临床试验资料。</w:t>
                    </w:r>
                  </w:p>
                </w:txbxContent>
              </v:textbox>
            </v:shape>
            <v:shape id="Text Box 46" o:spid="_x0000_s1034" o:spt="202" type="#_x0000_t202" style="position:absolute;left:38112;top:11797;height:4045;width:4426;" filled="f" stroked="f" coordsize="21600,21600">
              <v:path/>
              <v:fill on="f" focussize="0,0"/>
              <v:stroke on="f" joinstyle="miter"/>
              <v:imagedata o:title=""/>
              <o:lock v:ext="edit"/>
              <v:textbox>
                <w:txbxContent>
                  <w:p w14:paraId="3BD5E8CC">
                    <w:r>
                      <w:rPr>
                        <w:rFonts w:hint="eastAsia" w:cs="宋体"/>
                      </w:rPr>
                      <w:t>是</w:t>
                    </w:r>
                  </w:p>
                </w:txbxContent>
              </v:textbox>
            </v:shape>
            <v:shape id="Text Box 47" o:spid="_x0000_s1035" o:spt="202" type="#_x0000_t202" style="position:absolute;left:11778;top:11892;height:4045;width:4426;" filled="f" stroked="f" coordsize="21600,21600">
              <v:path/>
              <v:fill on="f" focussize="0,0"/>
              <v:stroke on="f" color="#FFFFFF" joinstyle="miter"/>
              <v:imagedata o:title=""/>
              <o:lock v:ext="edit"/>
              <v:textbox>
                <w:txbxContent>
                  <w:p w14:paraId="4A4CD6D3">
                    <w:r>
                      <w:rPr>
                        <w:rFonts w:hint="eastAsia" w:cs="宋体"/>
                      </w:rPr>
                      <w:t>否</w:t>
                    </w:r>
                  </w:p>
                </w:txbxContent>
              </v:textbox>
            </v:shape>
            <v:shape id="Text Box 48" o:spid="_x0000_s1036" o:spt="202" type="#_x0000_t202" style="position:absolute;left:40363;top:59765;height:4045;width:4426;" filled="f" stroked="f" coordsize="21600,21600">
              <v:path/>
              <v:fill on="f" focussize="0,0"/>
              <v:stroke on="f" color="#FFFFFF" joinstyle="miter"/>
              <v:imagedata o:title=""/>
              <o:lock v:ext="edit"/>
              <v:textbox>
                <w:txbxContent>
                  <w:p w14:paraId="3C4403A0">
                    <w:r>
                      <w:rPr>
                        <w:rFonts w:hint="eastAsia" w:cs="宋体"/>
                      </w:rPr>
                      <w:t>否</w:t>
                    </w:r>
                  </w:p>
                  <w:p w14:paraId="14AFE19C"/>
                </w:txbxContent>
              </v:textbox>
            </v:shape>
            <v:shape id="Text Box 49" o:spid="_x0000_s1037" o:spt="202" type="#_x0000_t202" style="position:absolute;left:17709;top:42291;height:2902;width:4426;" filled="f" stroked="f" coordsize="21600,21600">
              <v:path/>
              <v:fill on="f" focussize="0,0"/>
              <v:stroke on="f" joinstyle="miter"/>
              <v:imagedata o:title=""/>
              <o:lock v:ext="edit"/>
              <v:textbox>
                <w:txbxContent>
                  <w:p w14:paraId="0B0B4645">
                    <w:r>
                      <w:rPr>
                        <w:rFonts w:hint="eastAsia" w:cs="宋体"/>
                      </w:rPr>
                      <w:t>是</w:t>
                    </w:r>
                  </w:p>
                </w:txbxContent>
              </v:textbox>
            </v:shape>
            <v:roundrect id="圆角矩形 48" o:spid="_x0000_s1038" o:spt="2" style="position:absolute;left:2253;top:65817;height:6953;width:12100;v-text-anchor:middle;" filled="f" coordsize="21600,21600" arcsize="0.166666666666667">
              <v:path/>
              <v:fill on="f" focussize="0,0"/>
              <v:stroke weight="0pt"/>
              <v:imagedata o:title=""/>
              <o:lock v:ext="edit"/>
              <v:textbox>
                <w:txbxContent>
                  <w:p w14:paraId="77023C63">
                    <w:pPr>
                      <w:jc w:val="center"/>
                    </w:pPr>
                    <w:r>
                      <w:rPr>
                        <w:rFonts w:hint="eastAsia" w:cs="宋体"/>
                      </w:rPr>
                      <w:t>形成临床评价报告，完成临床评价</w:t>
                    </w:r>
                  </w:p>
                </w:txbxContent>
              </v:textbox>
            </v:roundrect>
            <v:shape id="肘形连接符 7" o:spid="_x0000_s1039" o:spt="33" type="#_x0000_t33" style="position:absolute;left:38487;top:14255;height:12986;width:6;" o:connectortype="elbow" filled="f" stroked="t" coordsize="21600,21600">
              <v:path arrowok="t"/>
              <v:fill on="f" focussize="0,0"/>
              <v:stroke color="#4A7EBB" endarrow="open"/>
              <v:imagedata o:title=""/>
              <o:lock v:ext="edit"/>
            </v:shape>
            <v:shape id="肘形连接符 8" o:spid="_x0000_s1040" o:spt="33" type="#_x0000_t33" style="position:absolute;left:8305;top:14255;flip:y;height:22886;width:8738;rotation:11796480f;" o:connectortype="elbow" filled="f" stroked="t" coordsize="21600,21600">
              <v:path arrowok="t"/>
              <v:fill on="f" focussize="0,0"/>
              <v:stroke color="#4A7EBB" endarrow="open"/>
              <v:imagedata o:title=""/>
              <o:lock v:ext="edit"/>
            </v:shape>
            <v:shape id="肘形连接符 9" o:spid="_x0000_s1041" o:spt="34" type="#_x0000_t34" style="position:absolute;left:14827;top:42437;flip:y;height:19;width:8502;rotation:11796480f;" o:connectortype="elbow" filled="f" stroked="t" coordsize="21600,21600" adj="10808">
              <v:path arrowok="t"/>
              <v:fill on="f" focussize="0,0"/>
              <v:stroke color="#4A7EBB" endarrow="open"/>
              <v:imagedata o:title=""/>
              <o:lock v:ext="edit"/>
            </v:shape>
            <v:shape id="肘形连接符 11" o:spid="_x0000_s1042" o:spt="32" type="#_x0000_t32" style="position:absolute;left:-723;top:56790;height:1;width:18053;rotation:5898240f;" o:connectortype="straight" filled="f" stroked="t" coordsize="21600,21600">
              <v:path arrowok="t"/>
              <v:fill on="f" focussize="0,0"/>
              <v:stroke color="#4A7EBB" endarrow="open"/>
              <v:imagedata o:title=""/>
              <o:lock v:ext="edit"/>
            </v:shape>
            <v:shape id="肘形连接符 12" o:spid="_x0000_s1043" o:spt="34" type="#_x0000_t34" style="position:absolute;left:35928;top:60185;flip:x;height:2356;width:7474;rotation:5898240f;" o:connectortype="elbow" filled="f" stroked="t" coordsize="21600,21600" adj="10791">
              <v:path arrowok="t"/>
              <v:fill on="f" focussize="0,0"/>
              <v:stroke color="#4A7EBB" endarrow="open"/>
              <v:imagedata o:title=""/>
              <o:lock v:ext="edit"/>
            </v:shape>
            <w10:wrap type="none"/>
            <w10:anchorlock/>
          </v:group>
        </w:pict>
      </w:r>
    </w:p>
    <w:p w14:paraId="4C716BB6">
      <w:pPr>
        <w:widowControl/>
        <w:spacing w:line="360" w:lineRule="auto"/>
        <w:jc w:val="left"/>
        <w:rPr>
          <w:kern w:val="0"/>
        </w:rPr>
        <w:sectPr>
          <w:pgSz w:w="11906" w:h="16838"/>
          <w:pgMar w:top="1440" w:right="1797" w:bottom="1440" w:left="1797" w:header="851" w:footer="992" w:gutter="0"/>
          <w:cols w:space="720" w:num="1"/>
        </w:sectPr>
      </w:pPr>
    </w:p>
    <w:p w14:paraId="122E0496">
      <w:pPr>
        <w:spacing w:line="360" w:lineRule="auto"/>
        <w:ind w:firstLine="420" w:firstLineChars="150"/>
        <w:rPr>
          <w:sz w:val="28"/>
          <w:szCs w:val="28"/>
        </w:rPr>
      </w:pPr>
      <w:r>
        <w:rPr>
          <w:rFonts w:hint="eastAsia" w:cs="宋体"/>
          <w:sz w:val="28"/>
          <w:szCs w:val="28"/>
        </w:rPr>
        <w:t>申报产品与对比产品在基本原理、结构组成、与患者接触材料、生产工艺、安全性评价、符合的国家</w:t>
      </w:r>
      <w:r>
        <w:rPr>
          <w:sz w:val="28"/>
          <w:szCs w:val="28"/>
        </w:rPr>
        <w:t>/</w:t>
      </w:r>
      <w:r>
        <w:rPr>
          <w:rFonts w:hint="eastAsia" w:cs="宋体"/>
          <w:sz w:val="28"/>
          <w:szCs w:val="28"/>
        </w:rPr>
        <w:t>行业标准、预期用途等方面完全相同，二者属于同品种医疗器械，二者的差异（</w:t>
      </w:r>
      <w:r>
        <w:rPr>
          <w:sz w:val="28"/>
          <w:szCs w:val="28"/>
        </w:rPr>
        <w:t>a,b</w:t>
      </w:r>
      <w:r>
        <w:rPr>
          <w:rFonts w:hint="eastAsia" w:cs="宋体"/>
          <w:sz w:val="28"/>
          <w:szCs w:val="28"/>
        </w:rPr>
        <w:t>和</w:t>
      </w:r>
      <w:r>
        <w:rPr>
          <w:sz w:val="28"/>
          <w:szCs w:val="28"/>
        </w:rPr>
        <w:t>c</w:t>
      </w:r>
      <w:r>
        <w:rPr>
          <w:rFonts w:hint="eastAsia" w:cs="宋体"/>
          <w:sz w:val="28"/>
          <w:szCs w:val="28"/>
        </w:rPr>
        <w:t>三项）以非临床研究资料证明不对产品的安全有效性产生不利影响，并收集到足够的对比产品</w:t>
      </w:r>
      <w:r>
        <w:rPr>
          <w:sz w:val="28"/>
          <w:szCs w:val="28"/>
        </w:rPr>
        <w:t>**</w:t>
      </w:r>
      <w:r>
        <w:rPr>
          <w:rFonts w:hint="eastAsia" w:cs="宋体"/>
          <w:sz w:val="28"/>
          <w:szCs w:val="28"/>
        </w:rPr>
        <w:t>临床文献、投诉和不良事件数据、临床风险相关的纠正措施数据和中国人群数据，以证明同品种产品的临床性能和安全性；最后根据《医疗器械临床评价技术指导原则》的要求形成《</w:t>
      </w:r>
      <w:r>
        <w:rPr>
          <w:sz w:val="28"/>
          <w:szCs w:val="28"/>
        </w:rPr>
        <w:t>**</w:t>
      </w:r>
      <w:r>
        <w:rPr>
          <w:rFonts w:hint="eastAsia" w:cs="宋体"/>
          <w:sz w:val="28"/>
          <w:szCs w:val="28"/>
        </w:rPr>
        <w:t>临床评价报告》，完成临床评价。</w:t>
      </w:r>
    </w:p>
    <w:p w14:paraId="704549E7">
      <w:pPr>
        <w:spacing w:line="360" w:lineRule="auto"/>
        <w:rPr>
          <w:rFonts w:ascii="宋体" w:hAnsi="宋体"/>
          <w:sz w:val="28"/>
          <w:szCs w:val="28"/>
        </w:rPr>
      </w:pPr>
      <w:r>
        <w:rPr>
          <w:rFonts w:hint="eastAsia" w:ascii="宋体" w:hAnsi="宋体" w:cs="宋体"/>
          <w:sz w:val="28"/>
          <w:szCs w:val="28"/>
        </w:rPr>
        <w:t>三</w:t>
      </w:r>
      <w:r>
        <w:rPr>
          <w:rFonts w:ascii="宋体" w:hAnsi="宋体"/>
          <w:sz w:val="28"/>
          <w:szCs w:val="28"/>
        </w:rPr>
        <w:t xml:space="preserve"> </w:t>
      </w:r>
      <w:r>
        <w:rPr>
          <w:rFonts w:hint="eastAsia" w:ascii="宋体" w:hAnsi="宋体" w:cs="宋体"/>
          <w:sz w:val="28"/>
          <w:szCs w:val="28"/>
        </w:rPr>
        <w:t>分析评价</w:t>
      </w:r>
    </w:p>
    <w:p w14:paraId="52268E97">
      <w:pPr>
        <w:spacing w:line="360" w:lineRule="auto"/>
        <w:rPr>
          <w:rFonts w:ascii="宋体" w:hAnsi="宋体"/>
          <w:sz w:val="28"/>
          <w:szCs w:val="28"/>
        </w:rPr>
      </w:pPr>
      <w:r>
        <w:rPr>
          <w:rFonts w:ascii="宋体" w:hAnsi="宋体"/>
          <w:sz w:val="28"/>
          <w:szCs w:val="28"/>
        </w:rPr>
        <w:t xml:space="preserve">3.1 </w:t>
      </w:r>
      <w:r>
        <w:rPr>
          <w:rFonts w:hint="eastAsia" w:ascii="宋体" w:hAnsi="宋体" w:cs="宋体"/>
          <w:sz w:val="28"/>
          <w:szCs w:val="28"/>
        </w:rPr>
        <w:t>申报产品与同品种医疗器械相同</w:t>
      </w:r>
    </w:p>
    <w:p w14:paraId="767580E0">
      <w:pPr>
        <w:spacing w:line="360" w:lineRule="auto"/>
        <w:ind w:firstLine="435"/>
        <w:rPr>
          <w:rFonts w:ascii="宋体" w:hAnsi="宋体"/>
          <w:sz w:val="28"/>
          <w:szCs w:val="28"/>
        </w:rPr>
      </w:pPr>
      <w:r>
        <w:rPr>
          <w:rFonts w:hint="eastAsia" w:ascii="宋体" w:hAnsi="宋体" w:cs="宋体"/>
          <w:sz w:val="28"/>
          <w:szCs w:val="28"/>
        </w:rPr>
        <w:t>如表</w:t>
      </w:r>
      <w:r>
        <w:rPr>
          <w:rFonts w:ascii="宋体" w:hAnsi="宋体"/>
          <w:sz w:val="28"/>
          <w:szCs w:val="28"/>
        </w:rPr>
        <w:t>1</w:t>
      </w:r>
      <w:r>
        <w:rPr>
          <w:rFonts w:hint="eastAsia" w:ascii="宋体" w:hAnsi="宋体" w:cs="宋体"/>
          <w:sz w:val="28"/>
          <w:szCs w:val="28"/>
        </w:rPr>
        <w:t>、表</w:t>
      </w:r>
      <w:r>
        <w:rPr>
          <w:rFonts w:ascii="宋体" w:hAnsi="宋体"/>
          <w:sz w:val="28"/>
          <w:szCs w:val="28"/>
        </w:rPr>
        <w:t>2</w:t>
      </w:r>
      <w:r>
        <w:rPr>
          <w:rFonts w:hint="eastAsia" w:ascii="宋体" w:hAnsi="宋体" w:cs="宋体"/>
          <w:sz w:val="28"/>
          <w:szCs w:val="28"/>
        </w:rPr>
        <w:t>所述，两产品在基本原理、结构组成、生产工艺、与人体接触部分的制造材料、安全性评价、产品符合国家</w:t>
      </w:r>
      <w:r>
        <w:rPr>
          <w:rFonts w:ascii="宋体" w:hAnsi="宋体"/>
          <w:sz w:val="28"/>
          <w:szCs w:val="28"/>
        </w:rPr>
        <w:t>/</w:t>
      </w:r>
      <w:r>
        <w:rPr>
          <w:rFonts w:hint="eastAsia" w:ascii="宋体" w:hAnsi="宋体" w:cs="宋体"/>
          <w:sz w:val="28"/>
          <w:szCs w:val="28"/>
        </w:rPr>
        <w:t>行业标准、使用范围、使用方法、禁忌症、消毒方式、包装、标签、产品说明书方面相同。</w:t>
      </w:r>
    </w:p>
    <w:p w14:paraId="78664D01">
      <w:pPr>
        <w:spacing w:line="360" w:lineRule="auto"/>
        <w:ind w:firstLine="425"/>
        <w:rPr>
          <w:rFonts w:ascii="宋体" w:hAnsi="宋体" w:cs="宋体"/>
          <w:color w:val="FF0000"/>
          <w:sz w:val="28"/>
          <w:szCs w:val="28"/>
        </w:rPr>
      </w:pPr>
      <w:r>
        <w:rPr>
          <w:rFonts w:hint="eastAsia" w:ascii="宋体" w:hAnsi="宋体" w:cs="宋体"/>
          <w:sz w:val="28"/>
          <w:szCs w:val="28"/>
        </w:rPr>
        <w:t>随着法规的更新，国家</w:t>
      </w:r>
      <w:r>
        <w:rPr>
          <w:rFonts w:ascii="宋体" w:hAnsi="宋体"/>
          <w:sz w:val="28"/>
          <w:szCs w:val="28"/>
        </w:rPr>
        <w:t>/</w:t>
      </w:r>
      <w:r>
        <w:rPr>
          <w:rFonts w:hint="eastAsia" w:ascii="宋体" w:hAnsi="宋体" w:cs="宋体"/>
          <w:sz w:val="28"/>
          <w:szCs w:val="28"/>
        </w:rPr>
        <w:t>行业标准的发布，其他同类产品注册申请中审评指导意见，申报产品</w:t>
      </w:r>
      <w:r>
        <w:rPr>
          <w:rFonts w:ascii="宋体" w:hAnsi="宋体"/>
          <w:sz w:val="28"/>
          <w:szCs w:val="28"/>
        </w:rPr>
        <w:t>**</w:t>
      </w:r>
      <w:r>
        <w:rPr>
          <w:rFonts w:hint="eastAsia" w:ascii="宋体" w:hAnsi="宋体" w:cs="宋体"/>
          <w:sz w:val="28"/>
          <w:szCs w:val="28"/>
        </w:rPr>
        <w:t>符合的国家</w:t>
      </w:r>
      <w:r>
        <w:rPr>
          <w:rFonts w:ascii="宋体" w:hAnsi="宋体"/>
          <w:sz w:val="28"/>
          <w:szCs w:val="28"/>
        </w:rPr>
        <w:t>/</w:t>
      </w:r>
      <w:r>
        <w:rPr>
          <w:rFonts w:hint="eastAsia" w:ascii="宋体" w:hAnsi="宋体" w:cs="宋体"/>
          <w:sz w:val="28"/>
          <w:szCs w:val="28"/>
        </w:rPr>
        <w:t>行业标准更多，如电磁兼容标准</w:t>
      </w:r>
      <w:r>
        <w:rPr>
          <w:rFonts w:hint="eastAsia" w:ascii="宋体" w:hAnsi="宋体" w:cs="宋体"/>
          <w:color w:val="000000"/>
          <w:sz w:val="28"/>
          <w:szCs w:val="28"/>
        </w:rPr>
        <w:t>《</w:t>
      </w:r>
      <w:r>
        <w:rPr>
          <w:rFonts w:ascii="宋体" w:hAnsi="宋体" w:cs="宋体"/>
          <w:color w:val="000000"/>
          <w:sz w:val="28"/>
          <w:szCs w:val="28"/>
        </w:rPr>
        <w:t>GB</w:t>
      </w:r>
      <w:r>
        <w:rPr>
          <w:rFonts w:ascii="宋体" w:hAnsi="宋体" w:cs="宋体"/>
          <w:color w:val="000000"/>
          <w:spacing w:val="8"/>
          <w:sz w:val="28"/>
          <w:szCs w:val="28"/>
        </w:rPr>
        <w:t>/</w:t>
      </w:r>
      <w:r>
        <w:rPr>
          <w:rFonts w:ascii="宋体" w:hAnsi="宋体" w:cs="宋体"/>
          <w:color w:val="000000"/>
          <w:sz w:val="28"/>
          <w:szCs w:val="28"/>
        </w:rPr>
        <w:t xml:space="preserve">T 18268.1-2010 </w:t>
      </w:r>
      <w:r>
        <w:rPr>
          <w:rFonts w:hint="eastAsia" w:ascii="宋体" w:hAnsi="宋体" w:cs="宋体"/>
          <w:color w:val="000000"/>
          <w:sz w:val="28"/>
          <w:szCs w:val="28"/>
        </w:rPr>
        <w:t>测量、控制和实验室用的电设备</w:t>
      </w:r>
      <w:r>
        <w:rPr>
          <w:rFonts w:ascii="宋体" w:hAnsi="宋体" w:cs="宋体"/>
          <w:color w:val="000000"/>
          <w:sz w:val="28"/>
          <w:szCs w:val="28"/>
        </w:rPr>
        <w:t xml:space="preserve"> </w:t>
      </w:r>
      <w:r>
        <w:rPr>
          <w:rFonts w:hint="eastAsia" w:ascii="宋体" w:hAnsi="宋体" w:cs="宋体"/>
          <w:color w:val="000000"/>
          <w:sz w:val="28"/>
          <w:szCs w:val="28"/>
        </w:rPr>
        <w:t>电磁兼容性要求</w:t>
      </w:r>
      <w:r>
        <w:rPr>
          <w:rFonts w:ascii="宋体" w:hAnsi="宋体" w:cs="宋体"/>
          <w:color w:val="000000"/>
          <w:sz w:val="28"/>
          <w:szCs w:val="28"/>
        </w:rPr>
        <w:t xml:space="preserve"> </w:t>
      </w:r>
      <w:r>
        <w:rPr>
          <w:rFonts w:hint="eastAsia" w:ascii="宋体" w:hAnsi="宋体" w:cs="宋体"/>
          <w:color w:val="000000"/>
          <w:sz w:val="28"/>
          <w:szCs w:val="28"/>
        </w:rPr>
        <w:t>第</w:t>
      </w:r>
      <w:r>
        <w:rPr>
          <w:rFonts w:ascii="宋体" w:hAnsi="宋体" w:cs="宋体"/>
          <w:color w:val="000000"/>
          <w:sz w:val="28"/>
          <w:szCs w:val="28"/>
        </w:rPr>
        <w:t>1</w:t>
      </w:r>
      <w:r>
        <w:rPr>
          <w:rFonts w:hint="eastAsia" w:ascii="宋体" w:hAnsi="宋体" w:cs="宋体"/>
          <w:color w:val="000000"/>
          <w:sz w:val="28"/>
          <w:szCs w:val="28"/>
        </w:rPr>
        <w:t>部分：通用要求》、《</w:t>
      </w:r>
      <w:r>
        <w:rPr>
          <w:rFonts w:ascii="宋体" w:hAnsi="宋体" w:cs="宋体"/>
          <w:color w:val="000000"/>
          <w:sz w:val="28"/>
          <w:szCs w:val="28"/>
        </w:rPr>
        <w:t xml:space="preserve">GB/T 18268.26-2010 </w:t>
      </w:r>
      <w:r>
        <w:rPr>
          <w:rFonts w:hint="eastAsia" w:ascii="宋体" w:hAnsi="宋体" w:cs="宋体"/>
          <w:color w:val="000000"/>
          <w:sz w:val="28"/>
          <w:szCs w:val="28"/>
        </w:rPr>
        <w:t>测量、控制和实验室用的电设备</w:t>
      </w:r>
      <w:r>
        <w:rPr>
          <w:rFonts w:ascii="宋体" w:hAnsi="宋体" w:cs="宋体"/>
          <w:color w:val="000000"/>
          <w:sz w:val="28"/>
          <w:szCs w:val="28"/>
        </w:rPr>
        <w:t xml:space="preserve"> </w:t>
      </w:r>
      <w:r>
        <w:rPr>
          <w:rFonts w:hint="eastAsia" w:ascii="宋体" w:hAnsi="宋体" w:cs="宋体"/>
          <w:color w:val="000000"/>
          <w:sz w:val="28"/>
          <w:szCs w:val="28"/>
        </w:rPr>
        <w:t>电磁兼容性要求</w:t>
      </w:r>
      <w:r>
        <w:rPr>
          <w:rFonts w:ascii="宋体" w:hAnsi="宋体" w:cs="宋体"/>
          <w:color w:val="000000"/>
          <w:sz w:val="28"/>
          <w:szCs w:val="28"/>
        </w:rPr>
        <w:t xml:space="preserve"> </w:t>
      </w:r>
      <w:r>
        <w:rPr>
          <w:rFonts w:hint="eastAsia" w:ascii="宋体" w:hAnsi="宋体" w:cs="宋体"/>
          <w:color w:val="000000"/>
          <w:sz w:val="28"/>
          <w:szCs w:val="28"/>
        </w:rPr>
        <w:t>第</w:t>
      </w:r>
      <w:r>
        <w:rPr>
          <w:rFonts w:ascii="宋体" w:hAnsi="宋体" w:cs="宋体"/>
          <w:color w:val="000000"/>
          <w:sz w:val="28"/>
          <w:szCs w:val="28"/>
        </w:rPr>
        <w:t>26</w:t>
      </w:r>
      <w:r>
        <w:rPr>
          <w:rFonts w:hint="eastAsia" w:ascii="宋体" w:hAnsi="宋体" w:cs="宋体"/>
          <w:color w:val="000000"/>
          <w:sz w:val="28"/>
          <w:szCs w:val="28"/>
        </w:rPr>
        <w:t>部分：特殊要求</w:t>
      </w:r>
      <w:r>
        <w:rPr>
          <w:rFonts w:ascii="宋体" w:hAnsi="宋体" w:cs="宋体"/>
          <w:color w:val="000000"/>
          <w:sz w:val="28"/>
          <w:szCs w:val="28"/>
        </w:rPr>
        <w:t xml:space="preserve"> </w:t>
      </w:r>
      <w:r>
        <w:rPr>
          <w:rFonts w:hint="eastAsia" w:ascii="宋体" w:hAnsi="宋体" w:cs="宋体"/>
          <w:color w:val="000000"/>
          <w:sz w:val="28"/>
          <w:szCs w:val="28"/>
        </w:rPr>
        <w:t>体外诊断（</w:t>
      </w:r>
      <w:r>
        <w:rPr>
          <w:rFonts w:ascii="宋体" w:hAnsi="宋体" w:cs="宋体"/>
          <w:color w:val="000000"/>
          <w:sz w:val="28"/>
          <w:szCs w:val="28"/>
        </w:rPr>
        <w:t>IVD</w:t>
      </w:r>
      <w:r>
        <w:rPr>
          <w:rFonts w:hint="eastAsia" w:ascii="宋体" w:hAnsi="宋体" w:cs="宋体"/>
          <w:color w:val="000000"/>
          <w:sz w:val="28"/>
          <w:szCs w:val="28"/>
        </w:rPr>
        <w:t>）医疗设备》，在禁忌症、标签和说明书中都有补充。</w:t>
      </w:r>
    </w:p>
    <w:p w14:paraId="3BBC5349">
      <w:pPr>
        <w:spacing w:line="360" w:lineRule="auto"/>
        <w:rPr>
          <w:rFonts w:ascii="宋体" w:hAnsi="宋体"/>
          <w:sz w:val="28"/>
          <w:szCs w:val="28"/>
        </w:rPr>
      </w:pPr>
      <w:r>
        <w:rPr>
          <w:rFonts w:ascii="宋体" w:hAnsi="宋体"/>
          <w:sz w:val="28"/>
          <w:szCs w:val="28"/>
        </w:rPr>
        <w:t xml:space="preserve">3.2 </w:t>
      </w:r>
      <w:r>
        <w:rPr>
          <w:rFonts w:hint="eastAsia" w:ascii="宋体" w:hAnsi="宋体" w:cs="宋体"/>
          <w:sz w:val="28"/>
          <w:szCs w:val="28"/>
        </w:rPr>
        <w:t>证明申报产品与同品种医疗器械的差异不对产品的安全有效性生产不利影响的支持性资料（自身非临床研究、临床文献数据、临床经验数据等）</w:t>
      </w:r>
    </w:p>
    <w:p w14:paraId="09D5770E">
      <w:pPr>
        <w:spacing w:line="360" w:lineRule="auto"/>
        <w:rPr>
          <w:rFonts w:ascii="宋体" w:hAnsi="宋体"/>
          <w:sz w:val="28"/>
          <w:szCs w:val="28"/>
        </w:rPr>
      </w:pPr>
      <w:r>
        <w:rPr>
          <w:rFonts w:hint="eastAsia" w:ascii="宋体" w:hAnsi="宋体" w:cs="宋体"/>
          <w:sz w:val="28"/>
          <w:szCs w:val="28"/>
        </w:rPr>
        <w:t>如表</w:t>
      </w:r>
      <w:r>
        <w:rPr>
          <w:rFonts w:ascii="宋体" w:hAnsi="宋体"/>
          <w:sz w:val="28"/>
          <w:szCs w:val="28"/>
        </w:rPr>
        <w:t>1</w:t>
      </w:r>
      <w:r>
        <w:rPr>
          <w:rFonts w:hint="eastAsia" w:ascii="宋体" w:hAnsi="宋体" w:cs="宋体"/>
          <w:sz w:val="28"/>
          <w:szCs w:val="28"/>
        </w:rPr>
        <w:t>、表</w:t>
      </w:r>
      <w:r>
        <w:rPr>
          <w:rFonts w:ascii="宋体" w:hAnsi="宋体"/>
          <w:sz w:val="28"/>
          <w:szCs w:val="28"/>
        </w:rPr>
        <w:t>2</w:t>
      </w:r>
      <w:r>
        <w:rPr>
          <w:rFonts w:hint="eastAsia" w:ascii="宋体" w:hAnsi="宋体" w:cs="宋体"/>
          <w:sz w:val="28"/>
          <w:szCs w:val="28"/>
        </w:rPr>
        <w:t>所述，申报产品在</w:t>
      </w:r>
      <w:r>
        <w:rPr>
          <w:rFonts w:ascii="宋体" w:hAnsi="宋体"/>
          <w:sz w:val="28"/>
          <w:szCs w:val="28"/>
        </w:rPr>
        <w:t>**</w:t>
      </w:r>
      <w:r>
        <w:rPr>
          <w:rFonts w:hint="eastAsia" w:ascii="宋体" w:hAnsi="宋体" w:cs="宋体"/>
          <w:sz w:val="28"/>
          <w:szCs w:val="28"/>
        </w:rPr>
        <w:t>性能要求、软件核心功能、防范措施和警告方面，与同品种医疗器械略有差异，具体为：</w:t>
      </w:r>
      <w:r>
        <w:rPr>
          <w:rFonts w:ascii="宋体" w:hAnsi="宋体"/>
          <w:sz w:val="28"/>
          <w:szCs w:val="28"/>
        </w:rPr>
        <w:t>a,b,c.</w:t>
      </w:r>
    </w:p>
    <w:p w14:paraId="0853EBDC">
      <w:pPr>
        <w:spacing w:line="360" w:lineRule="auto"/>
        <w:rPr>
          <w:rFonts w:ascii="宋体" w:hAnsi="宋体"/>
          <w:sz w:val="28"/>
          <w:szCs w:val="28"/>
        </w:rPr>
      </w:pPr>
      <w:r>
        <w:rPr>
          <w:rFonts w:ascii="宋体" w:hAnsi="宋体"/>
          <w:sz w:val="28"/>
          <w:szCs w:val="28"/>
        </w:rPr>
        <w:t xml:space="preserve"> 3.2.1 </w:t>
      </w:r>
      <w:r>
        <w:rPr>
          <w:rFonts w:hint="eastAsia" w:ascii="宋体" w:hAnsi="宋体" w:cs="宋体"/>
          <w:sz w:val="28"/>
          <w:szCs w:val="28"/>
        </w:rPr>
        <w:t>非临床研究资料</w:t>
      </w:r>
    </w:p>
    <w:p w14:paraId="534D5BED">
      <w:pPr>
        <w:spacing w:line="360" w:lineRule="auto"/>
        <w:rPr>
          <w:rFonts w:ascii="宋体" w:hAnsi="宋体"/>
          <w:sz w:val="28"/>
          <w:szCs w:val="28"/>
        </w:rPr>
      </w:pPr>
      <w:r>
        <w:rPr>
          <w:rFonts w:ascii="宋体" w:hAnsi="宋体"/>
          <w:sz w:val="28"/>
          <w:szCs w:val="28"/>
        </w:rPr>
        <w:t xml:space="preserve">   (1)a</w:t>
      </w:r>
      <w:r>
        <w:rPr>
          <w:rFonts w:hint="eastAsia" w:ascii="宋体" w:hAnsi="宋体" w:cs="宋体"/>
          <w:sz w:val="28"/>
          <w:szCs w:val="28"/>
        </w:rPr>
        <w:t>项差异</w:t>
      </w:r>
    </w:p>
    <w:p w14:paraId="4D9153BC">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（通过测试手段）</w:t>
      </w:r>
    </w:p>
    <w:p w14:paraId="23B8B418">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结果的数据统计如下，详见《</w:t>
      </w:r>
      <w:r>
        <w:rPr>
          <w:rFonts w:ascii="宋体" w:hAnsi="宋体"/>
          <w:sz w:val="28"/>
          <w:szCs w:val="28"/>
        </w:rPr>
        <w:t>**</w:t>
      </w:r>
      <w:r>
        <w:rPr>
          <w:rFonts w:hint="eastAsia" w:ascii="宋体" w:hAnsi="宋体" w:cs="宋体"/>
          <w:sz w:val="28"/>
          <w:szCs w:val="28"/>
        </w:rPr>
        <w:t>报告》，（附件</w:t>
      </w:r>
      <w:r>
        <w:rPr>
          <w:rFonts w:ascii="宋体" w:hAnsi="宋体"/>
          <w:sz w:val="28"/>
          <w:szCs w:val="28"/>
        </w:rPr>
        <w:t>5</w:t>
      </w:r>
      <w:r>
        <w:rPr>
          <w:rFonts w:hint="eastAsia" w:ascii="宋体" w:hAnsi="宋体" w:cs="宋体"/>
          <w:sz w:val="28"/>
          <w:szCs w:val="28"/>
        </w:rPr>
        <w:t>）</w:t>
      </w:r>
    </w:p>
    <w:p w14:paraId="35050D09">
      <w:pPr>
        <w:spacing w:line="360" w:lineRule="auto"/>
        <w:ind w:firstLine="280" w:firstLineChars="100"/>
        <w:rPr>
          <w:rFonts w:ascii="宋体" w:hAnsi="宋体"/>
          <w:sz w:val="28"/>
          <w:szCs w:val="28"/>
        </w:rPr>
      </w:pPr>
      <w:r>
        <w:rPr>
          <w:rFonts w:ascii="宋体" w:hAnsi="宋体"/>
          <w:sz w:val="28"/>
          <w:szCs w:val="28"/>
        </w:rPr>
        <w:t>(2)b</w:t>
      </w:r>
      <w:r>
        <w:rPr>
          <w:rFonts w:hint="eastAsia" w:ascii="宋体" w:hAnsi="宋体" w:cs="宋体"/>
          <w:sz w:val="28"/>
          <w:szCs w:val="28"/>
        </w:rPr>
        <w:t>项差异</w:t>
      </w:r>
    </w:p>
    <w:p w14:paraId="230B9FD3">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（通过测试手段）</w:t>
      </w:r>
    </w:p>
    <w:p w14:paraId="57F7FF01">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结果的数据统计如下，详见《</w:t>
      </w:r>
      <w:r>
        <w:rPr>
          <w:rFonts w:ascii="宋体" w:hAnsi="宋体"/>
          <w:sz w:val="28"/>
          <w:szCs w:val="28"/>
        </w:rPr>
        <w:t>**</w:t>
      </w:r>
      <w:r>
        <w:rPr>
          <w:rFonts w:hint="eastAsia" w:ascii="宋体" w:hAnsi="宋体" w:cs="宋体"/>
          <w:sz w:val="28"/>
          <w:szCs w:val="28"/>
        </w:rPr>
        <w:t>符合性测试》，（附件</w:t>
      </w:r>
      <w:r>
        <w:rPr>
          <w:rFonts w:ascii="宋体" w:hAnsi="宋体"/>
          <w:sz w:val="28"/>
          <w:szCs w:val="28"/>
        </w:rPr>
        <w:t>6</w:t>
      </w:r>
      <w:r>
        <w:rPr>
          <w:rFonts w:hint="eastAsia" w:ascii="宋体" w:hAnsi="宋体" w:cs="宋体"/>
          <w:sz w:val="28"/>
          <w:szCs w:val="28"/>
        </w:rPr>
        <w:t>）</w:t>
      </w:r>
    </w:p>
    <w:p w14:paraId="53FA8DAE">
      <w:pPr>
        <w:spacing w:line="360" w:lineRule="auto"/>
        <w:ind w:firstLine="280" w:firstLineChars="100"/>
        <w:rPr>
          <w:rFonts w:ascii="宋体" w:hAnsi="宋体"/>
          <w:sz w:val="28"/>
          <w:szCs w:val="28"/>
        </w:rPr>
      </w:pPr>
      <w:r>
        <w:rPr>
          <w:rFonts w:ascii="宋体" w:hAnsi="宋体"/>
          <w:sz w:val="28"/>
          <w:szCs w:val="28"/>
        </w:rPr>
        <w:t>(3)c</w:t>
      </w:r>
      <w:r>
        <w:rPr>
          <w:rFonts w:hint="eastAsia" w:ascii="宋体" w:hAnsi="宋体" w:cs="宋体"/>
          <w:sz w:val="28"/>
          <w:szCs w:val="28"/>
        </w:rPr>
        <w:t>项差异</w:t>
      </w:r>
    </w:p>
    <w:p w14:paraId="66D5F957">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（通过文献说明</w:t>
      </w:r>
      <w:r>
        <w:rPr>
          <w:rFonts w:ascii="宋体" w:hAnsi="宋体"/>
          <w:sz w:val="28"/>
          <w:szCs w:val="28"/>
        </w:rPr>
        <w:t>c</w:t>
      </w:r>
      <w:r>
        <w:rPr>
          <w:rFonts w:hint="eastAsia" w:ascii="宋体" w:hAnsi="宋体" w:cs="宋体"/>
          <w:sz w:val="28"/>
          <w:szCs w:val="28"/>
        </w:rPr>
        <w:t>项功能的临床意义在于提供舒适性，不影响产品的安全性）</w:t>
      </w:r>
    </w:p>
    <w:p w14:paraId="2DBF904E">
      <w:pPr>
        <w:spacing w:line="360" w:lineRule="auto"/>
        <w:rPr>
          <w:rFonts w:ascii="宋体" w:hAnsi="宋体"/>
          <w:sz w:val="28"/>
          <w:szCs w:val="28"/>
        </w:rPr>
      </w:pPr>
      <w:r>
        <w:rPr>
          <w:rFonts w:ascii="宋体" w:hAnsi="宋体"/>
          <w:sz w:val="28"/>
          <w:szCs w:val="28"/>
        </w:rPr>
        <w:t xml:space="preserve">3.2.2 </w:t>
      </w:r>
      <w:r>
        <w:rPr>
          <w:rFonts w:hint="eastAsia" w:ascii="宋体" w:hAnsi="宋体" w:cs="宋体"/>
          <w:sz w:val="28"/>
          <w:szCs w:val="28"/>
        </w:rPr>
        <w:t>结论</w:t>
      </w:r>
    </w:p>
    <w:p w14:paraId="204CA63E">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申报产品与同品种医疗器械在</w:t>
      </w:r>
      <w:r>
        <w:rPr>
          <w:rFonts w:ascii="宋体" w:hAnsi="宋体"/>
          <w:sz w:val="28"/>
          <w:szCs w:val="28"/>
        </w:rPr>
        <w:t>a,b,c</w:t>
      </w:r>
      <w:r>
        <w:rPr>
          <w:rFonts w:hint="eastAsia" w:ascii="宋体" w:hAnsi="宋体" w:cs="宋体"/>
          <w:sz w:val="28"/>
          <w:szCs w:val="28"/>
        </w:rPr>
        <w:t>方面的差异，不对产品的安全有效性产生不利影响。</w:t>
      </w:r>
    </w:p>
    <w:p w14:paraId="3FB8E975">
      <w:pPr>
        <w:spacing w:line="360" w:lineRule="auto"/>
        <w:rPr>
          <w:rFonts w:ascii="宋体" w:hAnsi="宋体"/>
          <w:sz w:val="28"/>
          <w:szCs w:val="28"/>
        </w:rPr>
      </w:pPr>
      <w:r>
        <w:rPr>
          <w:rFonts w:hint="eastAsia" w:ascii="宋体" w:hAnsi="宋体" w:cs="宋体"/>
          <w:sz w:val="28"/>
          <w:szCs w:val="28"/>
        </w:rPr>
        <w:t>四</w:t>
      </w:r>
      <w:r>
        <w:rPr>
          <w:rFonts w:ascii="宋体" w:hAnsi="宋体"/>
          <w:sz w:val="28"/>
          <w:szCs w:val="28"/>
        </w:rPr>
        <w:t xml:space="preserve"> </w:t>
      </w:r>
      <w:r>
        <w:rPr>
          <w:rFonts w:hint="eastAsia" w:ascii="宋体" w:hAnsi="宋体" w:cs="宋体"/>
          <w:sz w:val="28"/>
          <w:szCs w:val="28"/>
        </w:rPr>
        <w:t>同品种医疗器械临床试验或临床使用数据分析</w:t>
      </w:r>
    </w:p>
    <w:p w14:paraId="250A9FFE">
      <w:pPr>
        <w:spacing w:line="360" w:lineRule="auto"/>
        <w:rPr>
          <w:rFonts w:ascii="宋体" w:hAnsi="宋体"/>
          <w:sz w:val="28"/>
          <w:szCs w:val="28"/>
        </w:rPr>
      </w:pPr>
      <w:r>
        <w:rPr>
          <w:rFonts w:ascii="宋体" w:hAnsi="宋体"/>
          <w:sz w:val="28"/>
          <w:szCs w:val="28"/>
        </w:rPr>
        <w:t xml:space="preserve">4.1 </w:t>
      </w:r>
      <w:r>
        <w:rPr>
          <w:rFonts w:hint="eastAsia" w:ascii="宋体" w:hAnsi="宋体" w:cs="宋体"/>
          <w:sz w:val="28"/>
          <w:szCs w:val="28"/>
        </w:rPr>
        <w:t>临床研究数据集</w:t>
      </w:r>
    </w:p>
    <w:p w14:paraId="5F8BE95D">
      <w:pPr>
        <w:spacing w:line="360" w:lineRule="auto"/>
        <w:rPr>
          <w:rFonts w:ascii="宋体" w:hAnsi="宋体"/>
          <w:sz w:val="28"/>
          <w:szCs w:val="28"/>
        </w:rPr>
      </w:pPr>
      <w:r>
        <w:rPr>
          <w:rFonts w:ascii="宋体" w:hAnsi="宋体"/>
          <w:sz w:val="28"/>
          <w:szCs w:val="28"/>
        </w:rPr>
        <w:t xml:space="preserve">  4.1.1 </w:t>
      </w:r>
      <w:r>
        <w:rPr>
          <w:rFonts w:hint="eastAsia" w:ascii="宋体" w:hAnsi="宋体" w:cs="宋体"/>
          <w:sz w:val="28"/>
          <w:szCs w:val="28"/>
        </w:rPr>
        <w:t>数据概述</w:t>
      </w:r>
    </w:p>
    <w:p w14:paraId="42F16716">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w:t>
      </w:r>
      <w:r>
        <w:rPr>
          <w:rFonts w:ascii="宋体" w:hAnsi="宋体"/>
          <w:sz w:val="28"/>
          <w:szCs w:val="28"/>
        </w:rPr>
        <w:t>1</w:t>
      </w:r>
      <w:r>
        <w:rPr>
          <w:rFonts w:hint="eastAsia" w:ascii="宋体" w:hAnsi="宋体" w:cs="宋体"/>
          <w:sz w:val="28"/>
          <w:szCs w:val="28"/>
        </w:rPr>
        <w:t>）数据来源</w:t>
      </w:r>
    </w:p>
    <w:p w14:paraId="64E795E8">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临床文献数据</w:t>
      </w:r>
    </w:p>
    <w:p w14:paraId="545DD3DC">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w:t>
      </w:r>
      <w:r>
        <w:rPr>
          <w:rFonts w:ascii="宋体" w:hAnsi="宋体"/>
          <w:sz w:val="28"/>
          <w:szCs w:val="28"/>
        </w:rPr>
        <w:t>2</w:t>
      </w:r>
      <w:r>
        <w:rPr>
          <w:rFonts w:hint="eastAsia" w:ascii="宋体" w:hAnsi="宋体" w:cs="宋体"/>
          <w:sz w:val="28"/>
          <w:szCs w:val="28"/>
        </w:rPr>
        <w:t>）数据类型</w:t>
      </w:r>
    </w:p>
    <w:p w14:paraId="1351B8EC">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有效性数据，（如</w:t>
      </w:r>
      <w:r>
        <w:rPr>
          <w:rFonts w:ascii="宋体" w:hAnsi="宋体"/>
          <w:sz w:val="28"/>
          <w:szCs w:val="28"/>
        </w:rPr>
        <w:t>****</w:t>
      </w:r>
      <w:r>
        <w:rPr>
          <w:rFonts w:hint="eastAsia" w:ascii="宋体" w:hAnsi="宋体" w:cs="宋体"/>
          <w:sz w:val="28"/>
          <w:szCs w:val="28"/>
        </w:rPr>
        <w:t>等）、依从性数据（如</w:t>
      </w:r>
      <w:r>
        <w:rPr>
          <w:rFonts w:ascii="宋体" w:hAnsi="宋体"/>
          <w:sz w:val="28"/>
          <w:szCs w:val="28"/>
        </w:rPr>
        <w:t>****</w:t>
      </w:r>
      <w:r>
        <w:rPr>
          <w:rFonts w:hint="eastAsia" w:ascii="宋体" w:hAnsi="宋体" w:cs="宋体"/>
          <w:sz w:val="28"/>
          <w:szCs w:val="28"/>
        </w:rPr>
        <w:t>等）、安全性数据（如</w:t>
      </w:r>
      <w:r>
        <w:rPr>
          <w:rFonts w:ascii="宋体" w:hAnsi="宋体"/>
          <w:sz w:val="28"/>
          <w:szCs w:val="28"/>
        </w:rPr>
        <w:t>****</w:t>
      </w:r>
      <w:r>
        <w:rPr>
          <w:rFonts w:hint="eastAsia" w:ascii="宋体" w:hAnsi="宋体" w:cs="宋体"/>
          <w:sz w:val="28"/>
          <w:szCs w:val="28"/>
        </w:rPr>
        <w:t>等）</w:t>
      </w:r>
    </w:p>
    <w:p w14:paraId="3EF23F5B">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w:t>
      </w:r>
      <w:r>
        <w:rPr>
          <w:rFonts w:ascii="宋体" w:hAnsi="宋体"/>
          <w:sz w:val="28"/>
          <w:szCs w:val="28"/>
        </w:rPr>
        <w:t>3</w:t>
      </w:r>
      <w:r>
        <w:rPr>
          <w:rFonts w:hint="eastAsia" w:ascii="宋体" w:hAnsi="宋体" w:cs="宋体"/>
          <w:sz w:val="28"/>
          <w:szCs w:val="28"/>
        </w:rPr>
        <w:t>）数据质量</w:t>
      </w:r>
    </w:p>
    <w:p w14:paraId="15DCB46C">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（根据牛津评价标准稍作修正）</w:t>
      </w:r>
    </w:p>
    <w:p w14:paraId="1A66B6C4">
      <w:pPr>
        <w:rPr>
          <w:rFonts w:hint="eastAsia" w:cs="宋体"/>
        </w:rPr>
      </w:pPr>
      <w:r>
        <w:t xml:space="preserve">                         </w:t>
      </w:r>
      <w:bookmarkStart w:id="1" w:name="OLE_LINK1"/>
      <w:bookmarkStart w:id="2" w:name="OLE_LINK2"/>
      <w:r>
        <w:t xml:space="preserve">   </w:t>
      </w:r>
      <w:r>
        <w:rPr>
          <w:rFonts w:hint="eastAsia" w:cs="宋体"/>
        </w:rPr>
        <w:t>表</w:t>
      </w:r>
      <w:r>
        <w:t xml:space="preserve">4 </w:t>
      </w:r>
      <w:r>
        <w:rPr>
          <w:rFonts w:hint="eastAsia" w:cs="宋体"/>
        </w:rPr>
        <w:t>修改后的</w:t>
      </w:r>
      <w:r>
        <w:t>Jadad</w:t>
      </w:r>
      <w:r>
        <w:rPr>
          <w:rFonts w:hint="eastAsia" w:cs="宋体"/>
        </w:rPr>
        <w:t>评分量表</w:t>
      </w:r>
    </w:p>
    <w:p w14:paraId="22BC184E"/>
    <w:bookmarkEnd w:id="1"/>
    <w:bookmarkEnd w:id="2"/>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485"/>
        <w:gridCol w:w="4197"/>
      </w:tblGrid>
      <w:tr w14:paraId="71D5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tcPr>
          <w:p w14:paraId="6242DDF7">
            <w:pPr>
              <w:ind w:firstLine="1080" w:firstLineChars="600"/>
              <w:rPr>
                <w:rFonts w:ascii="宋体" w:hAnsi="宋体"/>
                <w:sz w:val="18"/>
                <w:szCs w:val="18"/>
              </w:rPr>
            </w:pPr>
            <w:r>
              <w:rPr>
                <w:rFonts w:hint="eastAsia" w:ascii="宋体" w:hAnsi="宋体" w:cs="宋体"/>
                <w:sz w:val="18"/>
                <w:szCs w:val="18"/>
              </w:rPr>
              <w:t>项目</w:t>
            </w:r>
          </w:p>
        </w:tc>
        <w:tc>
          <w:tcPr>
            <w:tcW w:w="1485" w:type="dxa"/>
            <w:shd w:val="clear" w:color="auto" w:fill="auto"/>
          </w:tcPr>
          <w:p w14:paraId="58D879FB">
            <w:pPr>
              <w:rPr>
                <w:rFonts w:ascii="宋体" w:hAnsi="宋体"/>
                <w:sz w:val="18"/>
                <w:szCs w:val="18"/>
              </w:rPr>
            </w:pPr>
            <w:r>
              <w:rPr>
                <w:rFonts w:hint="eastAsia" w:ascii="宋体" w:hAnsi="宋体"/>
                <w:sz w:val="18"/>
                <w:szCs w:val="18"/>
              </w:rPr>
              <w:t xml:space="preserve">         评分</w:t>
            </w:r>
          </w:p>
        </w:tc>
        <w:tc>
          <w:tcPr>
            <w:tcW w:w="4197" w:type="dxa"/>
            <w:shd w:val="clear" w:color="auto" w:fill="auto"/>
          </w:tcPr>
          <w:p w14:paraId="55BA9790">
            <w:pPr>
              <w:ind w:firstLine="900" w:firstLineChars="500"/>
              <w:rPr>
                <w:rFonts w:ascii="宋体" w:hAnsi="宋体"/>
                <w:sz w:val="18"/>
                <w:szCs w:val="18"/>
              </w:rPr>
            </w:pPr>
            <w:r>
              <w:rPr>
                <w:rFonts w:ascii="宋体" w:hAnsi="宋体"/>
                <w:sz w:val="18"/>
                <w:szCs w:val="18"/>
              </w:rPr>
              <w:t>依据</w:t>
            </w:r>
          </w:p>
        </w:tc>
      </w:tr>
      <w:tr w14:paraId="0472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522" w:type="dxa"/>
            <w:gridSpan w:val="3"/>
            <w:shd w:val="clear" w:color="auto" w:fill="auto"/>
          </w:tcPr>
          <w:p w14:paraId="665D1FE6">
            <w:pPr>
              <w:rPr>
                <w:rFonts w:ascii="宋体" w:hAnsi="宋体"/>
                <w:sz w:val="18"/>
                <w:szCs w:val="18"/>
              </w:rPr>
            </w:pPr>
            <w:r>
              <w:rPr>
                <w:rFonts w:ascii="宋体" w:hAnsi="宋体"/>
                <w:b/>
                <w:sz w:val="18"/>
                <w:szCs w:val="18"/>
              </w:rPr>
              <w:t>随机序列产生</w:t>
            </w:r>
          </w:p>
        </w:tc>
      </w:tr>
      <w:tr w14:paraId="5C21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40" w:type="dxa"/>
            <w:shd w:val="clear" w:color="auto" w:fill="auto"/>
          </w:tcPr>
          <w:p w14:paraId="462BEEC1">
            <w:pPr>
              <w:rPr>
                <w:rFonts w:ascii="宋体" w:hAnsi="宋体"/>
                <w:sz w:val="18"/>
                <w:szCs w:val="18"/>
              </w:rPr>
            </w:pPr>
            <w:r>
              <w:rPr>
                <w:rFonts w:ascii="宋体" w:hAnsi="宋体"/>
                <w:sz w:val="18"/>
                <w:szCs w:val="18"/>
              </w:rPr>
              <w:t>恰当</w:t>
            </w:r>
          </w:p>
        </w:tc>
        <w:tc>
          <w:tcPr>
            <w:tcW w:w="1485" w:type="dxa"/>
            <w:shd w:val="clear" w:color="auto" w:fill="auto"/>
          </w:tcPr>
          <w:p w14:paraId="399F54CA">
            <w:pPr>
              <w:rPr>
                <w:rFonts w:ascii="宋体" w:hAnsi="宋体"/>
                <w:sz w:val="18"/>
                <w:szCs w:val="18"/>
              </w:rPr>
            </w:pPr>
            <w:r>
              <w:rPr>
                <w:rFonts w:hint="eastAsia" w:ascii="宋体" w:hAnsi="宋体"/>
                <w:sz w:val="18"/>
                <w:szCs w:val="18"/>
              </w:rPr>
              <w:t xml:space="preserve">          2</w:t>
            </w:r>
          </w:p>
        </w:tc>
        <w:tc>
          <w:tcPr>
            <w:tcW w:w="4197" w:type="dxa"/>
            <w:shd w:val="clear" w:color="auto" w:fill="auto"/>
          </w:tcPr>
          <w:p w14:paraId="158E4C84">
            <w:pPr>
              <w:rPr>
                <w:rFonts w:ascii="宋体" w:hAnsi="宋体"/>
                <w:sz w:val="18"/>
                <w:szCs w:val="18"/>
              </w:rPr>
            </w:pPr>
            <w:r>
              <w:rPr>
                <w:rFonts w:ascii="宋体" w:hAnsi="宋体"/>
                <w:sz w:val="18"/>
                <w:szCs w:val="18"/>
              </w:rPr>
              <w:t>计算机产生随机数字或类似方法</w:t>
            </w:r>
          </w:p>
        </w:tc>
      </w:tr>
      <w:tr w14:paraId="13B0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840" w:type="dxa"/>
            <w:shd w:val="clear" w:color="auto" w:fill="auto"/>
          </w:tcPr>
          <w:p w14:paraId="26C803A9">
            <w:pPr>
              <w:rPr>
                <w:rFonts w:ascii="宋体" w:hAnsi="宋体"/>
                <w:sz w:val="18"/>
                <w:szCs w:val="18"/>
              </w:rPr>
            </w:pPr>
            <w:r>
              <w:rPr>
                <w:rFonts w:ascii="宋体" w:hAnsi="宋体"/>
                <w:sz w:val="18"/>
                <w:szCs w:val="18"/>
              </w:rPr>
              <w:t>不清楚</w:t>
            </w:r>
          </w:p>
        </w:tc>
        <w:tc>
          <w:tcPr>
            <w:tcW w:w="1485" w:type="dxa"/>
            <w:shd w:val="clear" w:color="auto" w:fill="auto"/>
          </w:tcPr>
          <w:p w14:paraId="2B79E81E">
            <w:pPr>
              <w:rPr>
                <w:rFonts w:ascii="宋体" w:hAnsi="宋体"/>
                <w:sz w:val="18"/>
                <w:szCs w:val="18"/>
              </w:rPr>
            </w:pPr>
            <w:r>
              <w:rPr>
                <w:rFonts w:hint="eastAsia" w:ascii="宋体" w:hAnsi="宋体"/>
                <w:sz w:val="18"/>
                <w:szCs w:val="18"/>
              </w:rPr>
              <w:t xml:space="preserve">          1</w:t>
            </w:r>
          </w:p>
        </w:tc>
        <w:tc>
          <w:tcPr>
            <w:tcW w:w="4197" w:type="dxa"/>
            <w:shd w:val="clear" w:color="auto" w:fill="auto"/>
          </w:tcPr>
          <w:p w14:paraId="0E9A015D">
            <w:pPr>
              <w:rPr>
                <w:rFonts w:ascii="宋体" w:hAnsi="宋体"/>
                <w:sz w:val="18"/>
                <w:szCs w:val="18"/>
              </w:rPr>
            </w:pPr>
            <w:r>
              <w:rPr>
                <w:rFonts w:ascii="宋体" w:hAnsi="宋体"/>
                <w:sz w:val="18"/>
                <w:szCs w:val="18"/>
              </w:rPr>
              <w:t>随机试验但未描述随机分配方法</w:t>
            </w:r>
          </w:p>
        </w:tc>
      </w:tr>
      <w:tr w14:paraId="10C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40" w:type="dxa"/>
            <w:shd w:val="clear" w:color="auto" w:fill="auto"/>
          </w:tcPr>
          <w:p w14:paraId="05F53548">
            <w:pPr>
              <w:rPr>
                <w:rFonts w:ascii="宋体" w:hAnsi="宋体"/>
                <w:sz w:val="18"/>
                <w:szCs w:val="18"/>
              </w:rPr>
            </w:pPr>
            <w:r>
              <w:rPr>
                <w:rFonts w:ascii="宋体" w:hAnsi="宋体"/>
                <w:sz w:val="18"/>
                <w:szCs w:val="18"/>
              </w:rPr>
              <w:t>不恰</w:t>
            </w:r>
            <w:r>
              <w:rPr>
                <w:rFonts w:hint="eastAsia" w:ascii="宋体" w:hAnsi="宋体"/>
                <w:sz w:val="18"/>
                <w:szCs w:val="18"/>
              </w:rPr>
              <w:t>当</w:t>
            </w:r>
          </w:p>
        </w:tc>
        <w:tc>
          <w:tcPr>
            <w:tcW w:w="1485" w:type="dxa"/>
            <w:shd w:val="clear" w:color="auto" w:fill="auto"/>
          </w:tcPr>
          <w:p w14:paraId="4A2D9DC8">
            <w:pPr>
              <w:rPr>
                <w:rFonts w:ascii="宋体" w:hAnsi="宋体"/>
                <w:sz w:val="18"/>
                <w:szCs w:val="18"/>
              </w:rPr>
            </w:pPr>
            <w:r>
              <w:rPr>
                <w:rFonts w:hint="eastAsia" w:ascii="宋体" w:hAnsi="宋体"/>
                <w:sz w:val="18"/>
                <w:szCs w:val="18"/>
              </w:rPr>
              <w:t xml:space="preserve">          0</w:t>
            </w:r>
          </w:p>
        </w:tc>
        <w:tc>
          <w:tcPr>
            <w:tcW w:w="4197" w:type="dxa"/>
            <w:shd w:val="clear" w:color="auto" w:fill="auto"/>
          </w:tcPr>
          <w:p w14:paraId="79458511">
            <w:pPr>
              <w:rPr>
                <w:rFonts w:ascii="宋体" w:hAnsi="宋体"/>
                <w:sz w:val="18"/>
                <w:szCs w:val="18"/>
              </w:rPr>
            </w:pPr>
            <w:r>
              <w:rPr>
                <w:rFonts w:ascii="宋体" w:hAnsi="宋体"/>
                <w:sz w:val="18"/>
                <w:szCs w:val="18"/>
              </w:rPr>
              <w:t>采用交替分配的方法</w:t>
            </w:r>
          </w:p>
        </w:tc>
      </w:tr>
      <w:tr w14:paraId="2213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522" w:type="dxa"/>
            <w:gridSpan w:val="3"/>
            <w:shd w:val="clear" w:color="auto" w:fill="auto"/>
          </w:tcPr>
          <w:p w14:paraId="1729900E">
            <w:pPr>
              <w:rPr>
                <w:rFonts w:ascii="宋体" w:hAnsi="宋体"/>
                <w:sz w:val="18"/>
                <w:szCs w:val="18"/>
              </w:rPr>
            </w:pPr>
            <w:r>
              <w:rPr>
                <w:rFonts w:ascii="宋体" w:hAnsi="宋体"/>
                <w:b/>
                <w:sz w:val="18"/>
                <w:szCs w:val="18"/>
              </w:rPr>
              <w:t>盲法</w:t>
            </w:r>
          </w:p>
        </w:tc>
      </w:tr>
      <w:tr w14:paraId="57C7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40" w:type="dxa"/>
            <w:shd w:val="clear" w:color="auto" w:fill="auto"/>
          </w:tcPr>
          <w:p w14:paraId="58DCA317">
            <w:pPr>
              <w:rPr>
                <w:rFonts w:ascii="宋体" w:hAnsi="宋体"/>
                <w:sz w:val="18"/>
                <w:szCs w:val="18"/>
              </w:rPr>
            </w:pPr>
            <w:r>
              <w:rPr>
                <w:rFonts w:ascii="宋体" w:hAnsi="宋体"/>
                <w:sz w:val="18"/>
                <w:szCs w:val="18"/>
              </w:rPr>
              <w:t>恰当</w:t>
            </w:r>
          </w:p>
        </w:tc>
        <w:tc>
          <w:tcPr>
            <w:tcW w:w="1485" w:type="dxa"/>
            <w:shd w:val="clear" w:color="auto" w:fill="auto"/>
          </w:tcPr>
          <w:p w14:paraId="2536F19F">
            <w:pPr>
              <w:rPr>
                <w:rFonts w:ascii="宋体" w:hAnsi="宋体"/>
                <w:sz w:val="18"/>
                <w:szCs w:val="18"/>
              </w:rPr>
            </w:pPr>
            <w:r>
              <w:rPr>
                <w:rFonts w:hint="eastAsia" w:ascii="宋体" w:hAnsi="宋体"/>
                <w:sz w:val="18"/>
                <w:szCs w:val="18"/>
              </w:rPr>
              <w:t xml:space="preserve">          2</w:t>
            </w:r>
          </w:p>
        </w:tc>
        <w:tc>
          <w:tcPr>
            <w:tcW w:w="4197" w:type="dxa"/>
            <w:shd w:val="clear" w:color="auto" w:fill="auto"/>
          </w:tcPr>
          <w:p w14:paraId="71559E42">
            <w:pPr>
              <w:rPr>
                <w:rFonts w:ascii="宋体" w:hAnsi="宋体"/>
                <w:sz w:val="18"/>
                <w:szCs w:val="18"/>
              </w:rPr>
            </w:pPr>
            <w:r>
              <w:rPr>
                <w:rFonts w:ascii="宋体" w:hAnsi="宋体"/>
                <w:sz w:val="18"/>
                <w:szCs w:val="18"/>
              </w:rPr>
              <w:t>采用完全一致的安慰剂或类似方法</w:t>
            </w:r>
          </w:p>
        </w:tc>
      </w:tr>
      <w:tr w14:paraId="42BE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40" w:type="dxa"/>
            <w:shd w:val="clear" w:color="auto" w:fill="auto"/>
          </w:tcPr>
          <w:p w14:paraId="3F30A0BB">
            <w:pPr>
              <w:rPr>
                <w:rFonts w:ascii="宋体" w:hAnsi="宋体"/>
                <w:sz w:val="18"/>
                <w:szCs w:val="18"/>
              </w:rPr>
            </w:pPr>
            <w:r>
              <w:rPr>
                <w:rFonts w:ascii="宋体" w:hAnsi="宋体"/>
                <w:sz w:val="18"/>
                <w:szCs w:val="18"/>
              </w:rPr>
              <w:t>不清楚</w:t>
            </w:r>
          </w:p>
        </w:tc>
        <w:tc>
          <w:tcPr>
            <w:tcW w:w="1485" w:type="dxa"/>
            <w:shd w:val="clear" w:color="auto" w:fill="auto"/>
          </w:tcPr>
          <w:p w14:paraId="002206CB">
            <w:pPr>
              <w:rPr>
                <w:rFonts w:ascii="宋体" w:hAnsi="宋体"/>
                <w:sz w:val="18"/>
                <w:szCs w:val="18"/>
              </w:rPr>
            </w:pPr>
            <w:r>
              <w:rPr>
                <w:rFonts w:hint="eastAsia" w:ascii="宋体" w:hAnsi="宋体"/>
                <w:sz w:val="18"/>
                <w:szCs w:val="18"/>
              </w:rPr>
              <w:t xml:space="preserve">          1      </w:t>
            </w:r>
          </w:p>
        </w:tc>
        <w:tc>
          <w:tcPr>
            <w:tcW w:w="4197" w:type="dxa"/>
            <w:shd w:val="clear" w:color="auto" w:fill="auto"/>
          </w:tcPr>
          <w:p w14:paraId="5441E2C4">
            <w:pPr>
              <w:rPr>
                <w:rFonts w:ascii="宋体" w:hAnsi="宋体"/>
                <w:sz w:val="18"/>
                <w:szCs w:val="18"/>
              </w:rPr>
            </w:pPr>
            <w:r>
              <w:rPr>
                <w:rFonts w:ascii="宋体" w:hAnsi="宋体"/>
                <w:sz w:val="18"/>
                <w:szCs w:val="18"/>
              </w:rPr>
              <w:t>试验陈述为盲法，但未描述方法</w:t>
            </w:r>
          </w:p>
        </w:tc>
      </w:tr>
      <w:tr w14:paraId="331B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40" w:type="dxa"/>
            <w:shd w:val="clear" w:color="auto" w:fill="auto"/>
          </w:tcPr>
          <w:p w14:paraId="154158B0">
            <w:pPr>
              <w:rPr>
                <w:rFonts w:ascii="宋体" w:hAnsi="宋体"/>
                <w:sz w:val="18"/>
                <w:szCs w:val="18"/>
              </w:rPr>
            </w:pPr>
            <w:r>
              <w:rPr>
                <w:rFonts w:ascii="宋体" w:hAnsi="宋体"/>
                <w:sz w:val="18"/>
                <w:szCs w:val="18"/>
              </w:rPr>
              <w:t>不恰</w:t>
            </w:r>
            <w:r>
              <w:rPr>
                <w:rFonts w:hint="eastAsia" w:ascii="宋体" w:hAnsi="宋体"/>
                <w:sz w:val="18"/>
                <w:szCs w:val="18"/>
              </w:rPr>
              <w:t>当</w:t>
            </w:r>
          </w:p>
        </w:tc>
        <w:tc>
          <w:tcPr>
            <w:tcW w:w="1485" w:type="dxa"/>
            <w:shd w:val="clear" w:color="auto" w:fill="auto"/>
          </w:tcPr>
          <w:p w14:paraId="20DC9E54">
            <w:pPr>
              <w:rPr>
                <w:rFonts w:ascii="宋体" w:hAnsi="宋体"/>
                <w:sz w:val="18"/>
                <w:szCs w:val="18"/>
              </w:rPr>
            </w:pPr>
            <w:r>
              <w:rPr>
                <w:rFonts w:hint="eastAsia" w:ascii="宋体" w:hAnsi="宋体"/>
                <w:sz w:val="18"/>
                <w:szCs w:val="18"/>
              </w:rPr>
              <w:t xml:space="preserve">          0</w:t>
            </w:r>
          </w:p>
        </w:tc>
        <w:tc>
          <w:tcPr>
            <w:tcW w:w="4197" w:type="dxa"/>
            <w:shd w:val="clear" w:color="auto" w:fill="auto"/>
          </w:tcPr>
          <w:p w14:paraId="4CA0B1D0">
            <w:pPr>
              <w:rPr>
                <w:rFonts w:ascii="宋体" w:hAnsi="宋体"/>
                <w:sz w:val="18"/>
                <w:szCs w:val="18"/>
              </w:rPr>
            </w:pPr>
            <w:r>
              <w:rPr>
                <w:rFonts w:ascii="宋体" w:hAnsi="宋体"/>
                <w:sz w:val="18"/>
                <w:szCs w:val="18"/>
              </w:rPr>
              <w:t>未采用双盲或设盲的方法不当</w:t>
            </w:r>
          </w:p>
        </w:tc>
      </w:tr>
      <w:tr w14:paraId="4EBD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522" w:type="dxa"/>
            <w:gridSpan w:val="3"/>
            <w:shd w:val="clear" w:color="auto" w:fill="auto"/>
          </w:tcPr>
          <w:p w14:paraId="7306607D">
            <w:pPr>
              <w:rPr>
                <w:rFonts w:ascii="宋体" w:hAnsi="宋体"/>
                <w:sz w:val="18"/>
                <w:szCs w:val="18"/>
              </w:rPr>
            </w:pPr>
            <w:r>
              <w:rPr>
                <w:rFonts w:ascii="宋体" w:hAnsi="宋体"/>
                <w:b/>
                <w:sz w:val="18"/>
                <w:szCs w:val="18"/>
              </w:rPr>
              <w:t>撤出或退出</w:t>
            </w:r>
          </w:p>
        </w:tc>
      </w:tr>
      <w:tr w14:paraId="3AB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40" w:type="dxa"/>
            <w:shd w:val="clear" w:color="auto" w:fill="auto"/>
          </w:tcPr>
          <w:p w14:paraId="7C1DC093">
            <w:pPr>
              <w:rPr>
                <w:rFonts w:ascii="宋体" w:hAnsi="宋体"/>
                <w:sz w:val="18"/>
                <w:szCs w:val="18"/>
              </w:rPr>
            </w:pPr>
            <w:r>
              <w:rPr>
                <w:rFonts w:ascii="宋体" w:hAnsi="宋体"/>
                <w:sz w:val="18"/>
                <w:szCs w:val="18"/>
              </w:rPr>
              <w:t>描述了</w:t>
            </w:r>
          </w:p>
        </w:tc>
        <w:tc>
          <w:tcPr>
            <w:tcW w:w="1485" w:type="dxa"/>
            <w:shd w:val="clear" w:color="auto" w:fill="auto"/>
          </w:tcPr>
          <w:p w14:paraId="5BA81633">
            <w:pPr>
              <w:ind w:firstLine="900" w:firstLineChars="500"/>
              <w:rPr>
                <w:rFonts w:ascii="宋体" w:hAnsi="宋体"/>
                <w:sz w:val="18"/>
                <w:szCs w:val="18"/>
              </w:rPr>
            </w:pPr>
            <w:r>
              <w:rPr>
                <w:rFonts w:ascii="宋体" w:hAnsi="宋体"/>
                <w:sz w:val="18"/>
                <w:szCs w:val="18"/>
              </w:rPr>
              <w:t>1</w:t>
            </w:r>
          </w:p>
        </w:tc>
        <w:tc>
          <w:tcPr>
            <w:tcW w:w="4197" w:type="dxa"/>
            <w:shd w:val="clear" w:color="auto" w:fill="auto"/>
          </w:tcPr>
          <w:p w14:paraId="194476D0">
            <w:pPr>
              <w:rPr>
                <w:rFonts w:ascii="宋体" w:hAnsi="宋体"/>
                <w:sz w:val="18"/>
                <w:szCs w:val="18"/>
              </w:rPr>
            </w:pPr>
            <w:r>
              <w:rPr>
                <w:rFonts w:ascii="宋体" w:hAnsi="宋体"/>
                <w:sz w:val="18"/>
                <w:szCs w:val="18"/>
              </w:rPr>
              <w:t>描述撤出或退出的数目和理由</w:t>
            </w:r>
          </w:p>
        </w:tc>
      </w:tr>
      <w:tr w14:paraId="12FE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40" w:type="dxa"/>
            <w:shd w:val="clear" w:color="auto" w:fill="auto"/>
          </w:tcPr>
          <w:p w14:paraId="306F940D">
            <w:pPr>
              <w:rPr>
                <w:rFonts w:ascii="宋体" w:hAnsi="宋体"/>
                <w:sz w:val="18"/>
                <w:szCs w:val="18"/>
              </w:rPr>
            </w:pPr>
            <w:r>
              <w:rPr>
                <w:rFonts w:ascii="宋体" w:hAnsi="宋体"/>
                <w:sz w:val="18"/>
                <w:szCs w:val="18"/>
              </w:rPr>
              <w:t>未描述</w:t>
            </w:r>
          </w:p>
        </w:tc>
        <w:tc>
          <w:tcPr>
            <w:tcW w:w="1485" w:type="dxa"/>
            <w:shd w:val="clear" w:color="auto" w:fill="auto"/>
          </w:tcPr>
          <w:p w14:paraId="30AEA79E">
            <w:pPr>
              <w:ind w:firstLine="900" w:firstLineChars="500"/>
              <w:rPr>
                <w:rFonts w:ascii="宋体" w:hAnsi="宋体"/>
                <w:sz w:val="18"/>
                <w:szCs w:val="18"/>
              </w:rPr>
            </w:pPr>
            <w:r>
              <w:rPr>
                <w:rFonts w:ascii="宋体" w:hAnsi="宋体"/>
                <w:sz w:val="18"/>
                <w:szCs w:val="18"/>
              </w:rPr>
              <w:t>0</w:t>
            </w:r>
          </w:p>
        </w:tc>
        <w:tc>
          <w:tcPr>
            <w:tcW w:w="4197" w:type="dxa"/>
            <w:shd w:val="clear" w:color="auto" w:fill="auto"/>
          </w:tcPr>
          <w:p w14:paraId="5205513B">
            <w:pPr>
              <w:rPr>
                <w:rFonts w:ascii="宋体" w:hAnsi="宋体"/>
                <w:sz w:val="18"/>
                <w:szCs w:val="18"/>
              </w:rPr>
            </w:pPr>
            <w:r>
              <w:rPr>
                <w:rFonts w:ascii="宋体" w:hAnsi="宋体"/>
                <w:sz w:val="18"/>
                <w:szCs w:val="18"/>
              </w:rPr>
              <w:t>描述撤出或退出的数目和理由</w:t>
            </w:r>
          </w:p>
        </w:tc>
      </w:tr>
    </w:tbl>
    <w:p w14:paraId="410817D4"/>
    <w:p w14:paraId="01717704">
      <w:r>
        <w:t xml:space="preserve">                          </w:t>
      </w:r>
      <w:r>
        <w:rPr>
          <w:rFonts w:hint="eastAsia" w:cs="宋体"/>
        </w:rPr>
        <w:t>表</w:t>
      </w:r>
      <w:r>
        <w:t xml:space="preserve">5 </w:t>
      </w:r>
      <w:r>
        <w:rPr>
          <w:rFonts w:hint="eastAsia" w:cs="宋体"/>
        </w:rPr>
        <w:t>临床文献数据质量评分结果</w:t>
      </w:r>
    </w:p>
    <w:tbl>
      <w:tblPr>
        <w:tblStyle w:val="4"/>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012"/>
        <w:gridCol w:w="1420"/>
        <w:gridCol w:w="1248"/>
        <w:gridCol w:w="1980"/>
        <w:gridCol w:w="1260"/>
      </w:tblGrid>
      <w:tr w14:paraId="0385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6B168AEF">
            <w:r>
              <w:rPr>
                <w:rFonts w:hint="eastAsia" w:cs="宋体"/>
              </w:rPr>
              <w:t>序号</w:t>
            </w:r>
          </w:p>
        </w:tc>
        <w:tc>
          <w:tcPr>
            <w:tcW w:w="2012" w:type="dxa"/>
            <w:shd w:val="clear" w:color="auto" w:fill="auto"/>
          </w:tcPr>
          <w:p w14:paraId="1E426A81">
            <w:r>
              <w:rPr>
                <w:rFonts w:hint="eastAsia" w:cs="宋体"/>
              </w:rPr>
              <w:t>文章标题</w:t>
            </w:r>
          </w:p>
        </w:tc>
        <w:tc>
          <w:tcPr>
            <w:tcW w:w="1420" w:type="dxa"/>
            <w:shd w:val="clear" w:color="auto" w:fill="auto"/>
          </w:tcPr>
          <w:p w14:paraId="29978C65">
            <w:r>
              <w:rPr>
                <w:rFonts w:hint="eastAsia" w:cs="宋体"/>
              </w:rPr>
              <w:t>文章作者</w:t>
            </w:r>
          </w:p>
        </w:tc>
        <w:tc>
          <w:tcPr>
            <w:tcW w:w="1248" w:type="dxa"/>
            <w:shd w:val="clear" w:color="auto" w:fill="auto"/>
          </w:tcPr>
          <w:p w14:paraId="1F18C74E">
            <w:r>
              <w:rPr>
                <w:rFonts w:hint="eastAsia" w:cs="宋体"/>
              </w:rPr>
              <w:t>发表期刊</w:t>
            </w:r>
          </w:p>
        </w:tc>
        <w:tc>
          <w:tcPr>
            <w:tcW w:w="1980" w:type="dxa"/>
            <w:shd w:val="clear" w:color="auto" w:fill="auto"/>
          </w:tcPr>
          <w:p w14:paraId="4E291A3A">
            <w:r>
              <w:rPr>
                <w:rFonts w:hint="eastAsia" w:cs="宋体"/>
              </w:rPr>
              <w:t>年，卷（期）：页码</w:t>
            </w:r>
          </w:p>
        </w:tc>
        <w:tc>
          <w:tcPr>
            <w:tcW w:w="1260" w:type="dxa"/>
            <w:shd w:val="clear" w:color="auto" w:fill="auto"/>
          </w:tcPr>
          <w:p w14:paraId="47B0D0E2">
            <w:r>
              <w:t>Jadad</w:t>
            </w:r>
            <w:r>
              <w:rPr>
                <w:rFonts w:hint="eastAsia" w:cs="宋体"/>
              </w:rPr>
              <w:t>评分</w:t>
            </w:r>
          </w:p>
        </w:tc>
      </w:tr>
      <w:tr w14:paraId="0A6A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6F668959">
            <w:r>
              <w:t>1</w:t>
            </w:r>
          </w:p>
        </w:tc>
        <w:tc>
          <w:tcPr>
            <w:tcW w:w="2012" w:type="dxa"/>
            <w:shd w:val="clear" w:color="auto" w:fill="auto"/>
          </w:tcPr>
          <w:p w14:paraId="5CBF8560"/>
        </w:tc>
        <w:tc>
          <w:tcPr>
            <w:tcW w:w="1420" w:type="dxa"/>
            <w:shd w:val="clear" w:color="auto" w:fill="auto"/>
          </w:tcPr>
          <w:p w14:paraId="580EED14"/>
        </w:tc>
        <w:tc>
          <w:tcPr>
            <w:tcW w:w="1248" w:type="dxa"/>
            <w:shd w:val="clear" w:color="auto" w:fill="auto"/>
          </w:tcPr>
          <w:p w14:paraId="07BA83B5"/>
        </w:tc>
        <w:tc>
          <w:tcPr>
            <w:tcW w:w="1980" w:type="dxa"/>
            <w:shd w:val="clear" w:color="auto" w:fill="auto"/>
          </w:tcPr>
          <w:p w14:paraId="28D484C5"/>
        </w:tc>
        <w:tc>
          <w:tcPr>
            <w:tcW w:w="1260" w:type="dxa"/>
            <w:shd w:val="clear" w:color="auto" w:fill="auto"/>
          </w:tcPr>
          <w:p w14:paraId="47E33561"/>
        </w:tc>
      </w:tr>
      <w:tr w14:paraId="42B6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27FF11A6">
            <w:r>
              <w:t>2</w:t>
            </w:r>
          </w:p>
        </w:tc>
        <w:tc>
          <w:tcPr>
            <w:tcW w:w="2012" w:type="dxa"/>
            <w:shd w:val="clear" w:color="auto" w:fill="auto"/>
          </w:tcPr>
          <w:p w14:paraId="2169FEF4"/>
        </w:tc>
        <w:tc>
          <w:tcPr>
            <w:tcW w:w="1420" w:type="dxa"/>
            <w:shd w:val="clear" w:color="auto" w:fill="auto"/>
          </w:tcPr>
          <w:p w14:paraId="16B66A60"/>
        </w:tc>
        <w:tc>
          <w:tcPr>
            <w:tcW w:w="1248" w:type="dxa"/>
            <w:shd w:val="clear" w:color="auto" w:fill="auto"/>
          </w:tcPr>
          <w:p w14:paraId="6338161E"/>
        </w:tc>
        <w:tc>
          <w:tcPr>
            <w:tcW w:w="1980" w:type="dxa"/>
            <w:shd w:val="clear" w:color="auto" w:fill="auto"/>
          </w:tcPr>
          <w:p w14:paraId="2534F771"/>
        </w:tc>
        <w:tc>
          <w:tcPr>
            <w:tcW w:w="1260" w:type="dxa"/>
            <w:shd w:val="clear" w:color="auto" w:fill="auto"/>
          </w:tcPr>
          <w:p w14:paraId="32FD8566"/>
        </w:tc>
      </w:tr>
      <w:tr w14:paraId="3796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04D4E582">
            <w:r>
              <w:t>3</w:t>
            </w:r>
          </w:p>
        </w:tc>
        <w:tc>
          <w:tcPr>
            <w:tcW w:w="2012" w:type="dxa"/>
            <w:shd w:val="clear" w:color="auto" w:fill="auto"/>
          </w:tcPr>
          <w:p w14:paraId="436E0AEB"/>
        </w:tc>
        <w:tc>
          <w:tcPr>
            <w:tcW w:w="1420" w:type="dxa"/>
            <w:shd w:val="clear" w:color="auto" w:fill="auto"/>
          </w:tcPr>
          <w:p w14:paraId="49CEDE53"/>
        </w:tc>
        <w:tc>
          <w:tcPr>
            <w:tcW w:w="1248" w:type="dxa"/>
            <w:shd w:val="clear" w:color="auto" w:fill="auto"/>
          </w:tcPr>
          <w:p w14:paraId="2FCDC7E6"/>
        </w:tc>
        <w:tc>
          <w:tcPr>
            <w:tcW w:w="1980" w:type="dxa"/>
            <w:shd w:val="clear" w:color="auto" w:fill="auto"/>
          </w:tcPr>
          <w:p w14:paraId="5E6A5B10"/>
        </w:tc>
        <w:tc>
          <w:tcPr>
            <w:tcW w:w="1260" w:type="dxa"/>
            <w:shd w:val="clear" w:color="auto" w:fill="auto"/>
          </w:tcPr>
          <w:p w14:paraId="1DDCEDDE"/>
        </w:tc>
      </w:tr>
      <w:tr w14:paraId="231E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578D9359">
            <w:r>
              <w:t>4</w:t>
            </w:r>
          </w:p>
        </w:tc>
        <w:tc>
          <w:tcPr>
            <w:tcW w:w="2012" w:type="dxa"/>
            <w:shd w:val="clear" w:color="auto" w:fill="auto"/>
          </w:tcPr>
          <w:p w14:paraId="4C847C49"/>
        </w:tc>
        <w:tc>
          <w:tcPr>
            <w:tcW w:w="1420" w:type="dxa"/>
            <w:shd w:val="clear" w:color="auto" w:fill="auto"/>
          </w:tcPr>
          <w:p w14:paraId="1D2D4E3A"/>
        </w:tc>
        <w:tc>
          <w:tcPr>
            <w:tcW w:w="1248" w:type="dxa"/>
            <w:shd w:val="clear" w:color="auto" w:fill="auto"/>
          </w:tcPr>
          <w:p w14:paraId="2D120000"/>
        </w:tc>
        <w:tc>
          <w:tcPr>
            <w:tcW w:w="1980" w:type="dxa"/>
            <w:shd w:val="clear" w:color="auto" w:fill="auto"/>
          </w:tcPr>
          <w:p w14:paraId="308F694D"/>
        </w:tc>
        <w:tc>
          <w:tcPr>
            <w:tcW w:w="1260" w:type="dxa"/>
            <w:shd w:val="clear" w:color="auto" w:fill="auto"/>
          </w:tcPr>
          <w:p w14:paraId="44E6C7B1"/>
        </w:tc>
      </w:tr>
      <w:tr w14:paraId="71F4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3A8C4CA0">
            <w:r>
              <w:t>5</w:t>
            </w:r>
          </w:p>
        </w:tc>
        <w:tc>
          <w:tcPr>
            <w:tcW w:w="2012" w:type="dxa"/>
            <w:shd w:val="clear" w:color="auto" w:fill="auto"/>
          </w:tcPr>
          <w:p w14:paraId="70352C2F"/>
        </w:tc>
        <w:tc>
          <w:tcPr>
            <w:tcW w:w="1420" w:type="dxa"/>
            <w:shd w:val="clear" w:color="auto" w:fill="auto"/>
          </w:tcPr>
          <w:p w14:paraId="62043BCD"/>
        </w:tc>
        <w:tc>
          <w:tcPr>
            <w:tcW w:w="1248" w:type="dxa"/>
            <w:shd w:val="clear" w:color="auto" w:fill="auto"/>
          </w:tcPr>
          <w:p w14:paraId="13B0D5C7"/>
        </w:tc>
        <w:tc>
          <w:tcPr>
            <w:tcW w:w="1980" w:type="dxa"/>
            <w:shd w:val="clear" w:color="auto" w:fill="auto"/>
          </w:tcPr>
          <w:p w14:paraId="3F9E1834"/>
        </w:tc>
        <w:tc>
          <w:tcPr>
            <w:tcW w:w="1260" w:type="dxa"/>
            <w:shd w:val="clear" w:color="auto" w:fill="auto"/>
          </w:tcPr>
          <w:p w14:paraId="2BFB3A4E"/>
        </w:tc>
      </w:tr>
      <w:tr w14:paraId="7378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645E8EEF">
            <w:r>
              <w:t>6</w:t>
            </w:r>
          </w:p>
        </w:tc>
        <w:tc>
          <w:tcPr>
            <w:tcW w:w="2012" w:type="dxa"/>
            <w:shd w:val="clear" w:color="auto" w:fill="auto"/>
          </w:tcPr>
          <w:p w14:paraId="56586F40"/>
        </w:tc>
        <w:tc>
          <w:tcPr>
            <w:tcW w:w="1420" w:type="dxa"/>
            <w:shd w:val="clear" w:color="auto" w:fill="auto"/>
          </w:tcPr>
          <w:p w14:paraId="58F39162"/>
        </w:tc>
        <w:tc>
          <w:tcPr>
            <w:tcW w:w="1248" w:type="dxa"/>
            <w:shd w:val="clear" w:color="auto" w:fill="auto"/>
          </w:tcPr>
          <w:p w14:paraId="09BCF99E"/>
        </w:tc>
        <w:tc>
          <w:tcPr>
            <w:tcW w:w="1980" w:type="dxa"/>
            <w:shd w:val="clear" w:color="auto" w:fill="auto"/>
          </w:tcPr>
          <w:p w14:paraId="2AE2D03B"/>
        </w:tc>
        <w:tc>
          <w:tcPr>
            <w:tcW w:w="1260" w:type="dxa"/>
            <w:shd w:val="clear" w:color="auto" w:fill="auto"/>
          </w:tcPr>
          <w:p w14:paraId="2C7E84A1"/>
        </w:tc>
      </w:tr>
    </w:tbl>
    <w:p w14:paraId="4B00FD66"/>
    <w:p w14:paraId="4145247A">
      <w:r>
        <w:t xml:space="preserve">  4.1.2 </w:t>
      </w:r>
      <w:r>
        <w:rPr>
          <w:rFonts w:hint="eastAsia" w:cs="宋体"/>
        </w:rPr>
        <w:t>分析方法</w:t>
      </w:r>
    </w:p>
    <w:p w14:paraId="7BA586E1">
      <w:r>
        <w:t xml:space="preserve">   </w:t>
      </w:r>
      <w:r>
        <w:rPr>
          <w:rFonts w:hint="eastAsia" w:cs="宋体"/>
        </w:rPr>
        <w:t>（</w:t>
      </w:r>
      <w:r>
        <w:t>1</w:t>
      </w:r>
      <w:r>
        <w:rPr>
          <w:rFonts w:hint="eastAsia" w:cs="宋体"/>
        </w:rPr>
        <w:t>）分析方法</w:t>
      </w:r>
    </w:p>
    <w:p w14:paraId="6C5487C1">
      <w:pPr>
        <w:ind w:firstLine="840" w:firstLineChars="400"/>
      </w:pPr>
      <w:r>
        <w:rPr>
          <w:rFonts w:hint="eastAsia" w:cs="宋体"/>
        </w:rPr>
        <w:t>定性分析</w:t>
      </w:r>
    </w:p>
    <w:p w14:paraId="0B8608C8">
      <w:r>
        <w:t xml:space="preserve">   </w:t>
      </w:r>
      <w:r>
        <w:rPr>
          <w:rFonts w:hint="eastAsia" w:cs="宋体"/>
        </w:rPr>
        <w:t>（</w:t>
      </w:r>
      <w:r>
        <w:t>2</w:t>
      </w:r>
      <w:r>
        <w:rPr>
          <w:rFonts w:hint="eastAsia" w:cs="宋体"/>
        </w:rPr>
        <w:t>）选择理由</w:t>
      </w:r>
    </w:p>
    <w:p w14:paraId="7BC58563">
      <w:r>
        <w:t xml:space="preserve">    </w:t>
      </w:r>
      <w:r>
        <w:rPr>
          <w:rFonts w:hint="eastAsia" w:cs="宋体"/>
        </w:rPr>
        <w:t>对</w:t>
      </w:r>
      <w:r>
        <w:t>***</w:t>
      </w:r>
      <w:r>
        <w:rPr>
          <w:rFonts w:hint="eastAsia" w:cs="宋体"/>
        </w:rPr>
        <w:t>产品是否能改善患者的各项指标，依从性是否良好；所产生的副作用是否可以接受，是否与产品有关，不对程度进行限定。</w:t>
      </w:r>
    </w:p>
    <w:p w14:paraId="7A94AC00">
      <w:r>
        <w:t xml:space="preserve">  4.1.3 </w:t>
      </w:r>
      <w:r>
        <w:rPr>
          <w:rFonts w:hint="eastAsia" w:cs="宋体"/>
        </w:rPr>
        <w:t>数据分析</w:t>
      </w:r>
    </w:p>
    <w:p w14:paraId="6E6E8FE0">
      <w:r>
        <w:t xml:space="preserve">     </w:t>
      </w:r>
      <w:r>
        <w:rPr>
          <w:rFonts w:hint="eastAsia" w:cs="宋体"/>
        </w:rPr>
        <w:t>（</w:t>
      </w:r>
      <w:r>
        <w:t>1</w:t>
      </w:r>
      <w:r>
        <w:rPr>
          <w:rFonts w:hint="eastAsia" w:cs="宋体"/>
        </w:rPr>
        <w:t>）数据汇总</w:t>
      </w:r>
    </w:p>
    <w:p w14:paraId="7E42D653">
      <w:pPr>
        <w:rPr>
          <w:rFonts w:hint="eastAsia"/>
        </w:rPr>
      </w:pPr>
      <w:r>
        <w:t xml:space="preserve">                                 </w:t>
      </w:r>
    </w:p>
    <w:p w14:paraId="2B8C4F8D">
      <w:pPr>
        <w:rPr>
          <w:rFonts w:hint="eastAsia"/>
        </w:rPr>
      </w:pPr>
    </w:p>
    <w:p w14:paraId="2D6DF70C">
      <w:pPr>
        <w:rPr>
          <w:rFonts w:hint="eastAsia"/>
        </w:rPr>
      </w:pPr>
    </w:p>
    <w:p w14:paraId="71F3275E">
      <w:pPr>
        <w:ind w:firstLine="2100" w:firstLineChars="1000"/>
      </w:pPr>
      <w:r>
        <w:t xml:space="preserve">   </w:t>
      </w:r>
      <w:r>
        <w:rPr>
          <w:rFonts w:hint="eastAsia" w:cs="宋体"/>
        </w:rPr>
        <w:t>表</w:t>
      </w:r>
      <w:r>
        <w:t xml:space="preserve">6 </w:t>
      </w:r>
      <w:r>
        <w:rPr>
          <w:rFonts w:hint="eastAsia" w:cs="宋体"/>
        </w:rPr>
        <w:t>临床文献数据汇总</w:t>
      </w:r>
    </w:p>
    <w:p w14:paraId="59DADC19"/>
    <w:tbl>
      <w:tblPr>
        <w:tblStyle w:val="4"/>
        <w:tblpPr w:leftFromText="180" w:rightFromText="180" w:vertAnchor="text" w:horzAnchor="margin" w:tblpY="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266F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tcPr>
          <w:p w14:paraId="184F60F0">
            <w:r>
              <w:rPr>
                <w:rFonts w:hint="eastAsia" w:cs="宋体"/>
              </w:rPr>
              <w:t>序号</w:t>
            </w:r>
          </w:p>
        </w:tc>
        <w:tc>
          <w:tcPr>
            <w:tcW w:w="852" w:type="dxa"/>
            <w:shd w:val="clear" w:color="auto" w:fill="auto"/>
          </w:tcPr>
          <w:p w14:paraId="73CFBAF9">
            <w:r>
              <w:rPr>
                <w:rFonts w:hint="eastAsia" w:cs="宋体"/>
              </w:rPr>
              <w:t>第一作者</w:t>
            </w:r>
          </w:p>
        </w:tc>
        <w:tc>
          <w:tcPr>
            <w:tcW w:w="852" w:type="dxa"/>
            <w:shd w:val="clear" w:color="auto" w:fill="auto"/>
          </w:tcPr>
          <w:p w14:paraId="25386D4D">
            <w:r>
              <w:rPr>
                <w:rFonts w:hint="eastAsia" w:cs="宋体"/>
              </w:rPr>
              <w:t>患者人数</w:t>
            </w:r>
          </w:p>
        </w:tc>
        <w:tc>
          <w:tcPr>
            <w:tcW w:w="852" w:type="dxa"/>
            <w:shd w:val="clear" w:color="auto" w:fill="auto"/>
          </w:tcPr>
          <w:p w14:paraId="21039CEA">
            <w:r>
              <w:rPr>
                <w:rFonts w:hint="eastAsia" w:cs="宋体"/>
              </w:rPr>
              <w:t>实验分组</w:t>
            </w:r>
          </w:p>
        </w:tc>
        <w:tc>
          <w:tcPr>
            <w:tcW w:w="852" w:type="dxa"/>
            <w:shd w:val="clear" w:color="auto" w:fill="auto"/>
          </w:tcPr>
          <w:p w14:paraId="321935EF">
            <w:r>
              <w:rPr>
                <w:rFonts w:hint="eastAsia" w:cs="宋体"/>
              </w:rPr>
              <w:t>持续时间</w:t>
            </w:r>
          </w:p>
        </w:tc>
        <w:tc>
          <w:tcPr>
            <w:tcW w:w="852" w:type="dxa"/>
            <w:shd w:val="clear" w:color="auto" w:fill="auto"/>
          </w:tcPr>
          <w:p w14:paraId="08DB6D9B">
            <w:r>
              <w:rPr>
                <w:rFonts w:hint="eastAsia" w:cs="宋体"/>
              </w:rPr>
              <w:t>数据类型</w:t>
            </w:r>
          </w:p>
        </w:tc>
        <w:tc>
          <w:tcPr>
            <w:tcW w:w="852" w:type="dxa"/>
            <w:shd w:val="clear" w:color="auto" w:fill="auto"/>
          </w:tcPr>
          <w:p w14:paraId="021839CD">
            <w:r>
              <w:rPr>
                <w:rFonts w:hint="eastAsia" w:cs="宋体"/>
              </w:rPr>
              <w:t>指标</w:t>
            </w:r>
          </w:p>
        </w:tc>
        <w:tc>
          <w:tcPr>
            <w:tcW w:w="852" w:type="dxa"/>
            <w:shd w:val="clear" w:color="auto" w:fill="auto"/>
          </w:tcPr>
          <w:p w14:paraId="327CC40C">
            <w:r>
              <w:rPr>
                <w:rFonts w:hint="eastAsia" w:cs="宋体"/>
              </w:rPr>
              <w:t>试验组数据</w:t>
            </w:r>
          </w:p>
        </w:tc>
        <w:tc>
          <w:tcPr>
            <w:tcW w:w="853" w:type="dxa"/>
            <w:shd w:val="clear" w:color="auto" w:fill="auto"/>
          </w:tcPr>
          <w:p w14:paraId="5E1B4C8A">
            <w:r>
              <w:rPr>
                <w:rFonts w:hint="eastAsia" w:cs="宋体"/>
              </w:rPr>
              <w:t>对照组数据</w:t>
            </w:r>
          </w:p>
        </w:tc>
        <w:tc>
          <w:tcPr>
            <w:tcW w:w="853" w:type="dxa"/>
            <w:shd w:val="clear" w:color="auto" w:fill="auto"/>
          </w:tcPr>
          <w:p w14:paraId="29F9D3F1">
            <w:r>
              <w:t>P</w:t>
            </w:r>
            <w:r>
              <w:rPr>
                <w:rFonts w:hint="eastAsia" w:cs="宋体"/>
              </w:rPr>
              <w:t>值</w:t>
            </w:r>
          </w:p>
        </w:tc>
      </w:tr>
      <w:tr w14:paraId="21DF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shd w:val="clear" w:color="auto" w:fill="auto"/>
          </w:tcPr>
          <w:p w14:paraId="250E0E31"/>
        </w:tc>
        <w:tc>
          <w:tcPr>
            <w:tcW w:w="852" w:type="dxa"/>
            <w:vMerge w:val="restart"/>
            <w:shd w:val="clear" w:color="auto" w:fill="auto"/>
          </w:tcPr>
          <w:p w14:paraId="05152899"/>
        </w:tc>
        <w:tc>
          <w:tcPr>
            <w:tcW w:w="852" w:type="dxa"/>
            <w:vMerge w:val="restart"/>
            <w:shd w:val="clear" w:color="auto" w:fill="auto"/>
          </w:tcPr>
          <w:p w14:paraId="70BE58CA"/>
        </w:tc>
        <w:tc>
          <w:tcPr>
            <w:tcW w:w="852" w:type="dxa"/>
            <w:vMerge w:val="restart"/>
            <w:shd w:val="clear" w:color="auto" w:fill="auto"/>
          </w:tcPr>
          <w:p w14:paraId="42902D9D"/>
        </w:tc>
        <w:tc>
          <w:tcPr>
            <w:tcW w:w="852" w:type="dxa"/>
            <w:vMerge w:val="restart"/>
            <w:shd w:val="clear" w:color="auto" w:fill="auto"/>
          </w:tcPr>
          <w:p w14:paraId="2AB535AC"/>
        </w:tc>
        <w:tc>
          <w:tcPr>
            <w:tcW w:w="852" w:type="dxa"/>
            <w:vMerge w:val="restart"/>
            <w:shd w:val="clear" w:color="auto" w:fill="auto"/>
          </w:tcPr>
          <w:p w14:paraId="4AC67D8E"/>
        </w:tc>
        <w:tc>
          <w:tcPr>
            <w:tcW w:w="852" w:type="dxa"/>
            <w:shd w:val="clear" w:color="auto" w:fill="auto"/>
          </w:tcPr>
          <w:p w14:paraId="5AAEBF1E"/>
        </w:tc>
        <w:tc>
          <w:tcPr>
            <w:tcW w:w="852" w:type="dxa"/>
            <w:shd w:val="clear" w:color="auto" w:fill="auto"/>
          </w:tcPr>
          <w:p w14:paraId="42C69C46"/>
        </w:tc>
        <w:tc>
          <w:tcPr>
            <w:tcW w:w="853" w:type="dxa"/>
            <w:shd w:val="clear" w:color="auto" w:fill="auto"/>
          </w:tcPr>
          <w:p w14:paraId="392FEF19"/>
        </w:tc>
        <w:tc>
          <w:tcPr>
            <w:tcW w:w="853" w:type="dxa"/>
            <w:shd w:val="clear" w:color="auto" w:fill="auto"/>
          </w:tcPr>
          <w:p w14:paraId="4A1D2E9F"/>
        </w:tc>
      </w:tr>
      <w:tr w14:paraId="1A83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0FFF541D"/>
        </w:tc>
        <w:tc>
          <w:tcPr>
            <w:tcW w:w="852" w:type="dxa"/>
            <w:vMerge w:val="continue"/>
            <w:shd w:val="clear" w:color="auto" w:fill="auto"/>
          </w:tcPr>
          <w:p w14:paraId="651E735E"/>
        </w:tc>
        <w:tc>
          <w:tcPr>
            <w:tcW w:w="852" w:type="dxa"/>
            <w:vMerge w:val="continue"/>
            <w:shd w:val="clear" w:color="auto" w:fill="auto"/>
          </w:tcPr>
          <w:p w14:paraId="39173F67"/>
        </w:tc>
        <w:tc>
          <w:tcPr>
            <w:tcW w:w="852" w:type="dxa"/>
            <w:vMerge w:val="continue"/>
            <w:shd w:val="clear" w:color="auto" w:fill="auto"/>
          </w:tcPr>
          <w:p w14:paraId="1D5D4DF8"/>
        </w:tc>
        <w:tc>
          <w:tcPr>
            <w:tcW w:w="852" w:type="dxa"/>
            <w:vMerge w:val="continue"/>
            <w:shd w:val="clear" w:color="auto" w:fill="auto"/>
          </w:tcPr>
          <w:p w14:paraId="4FBD187D"/>
        </w:tc>
        <w:tc>
          <w:tcPr>
            <w:tcW w:w="852" w:type="dxa"/>
            <w:vMerge w:val="continue"/>
            <w:shd w:val="clear" w:color="auto" w:fill="auto"/>
          </w:tcPr>
          <w:p w14:paraId="23B01C2E"/>
        </w:tc>
        <w:tc>
          <w:tcPr>
            <w:tcW w:w="852" w:type="dxa"/>
            <w:shd w:val="clear" w:color="auto" w:fill="auto"/>
          </w:tcPr>
          <w:p w14:paraId="14272B98"/>
        </w:tc>
        <w:tc>
          <w:tcPr>
            <w:tcW w:w="852" w:type="dxa"/>
            <w:shd w:val="clear" w:color="auto" w:fill="auto"/>
          </w:tcPr>
          <w:p w14:paraId="64333217"/>
        </w:tc>
        <w:tc>
          <w:tcPr>
            <w:tcW w:w="853" w:type="dxa"/>
            <w:shd w:val="clear" w:color="auto" w:fill="auto"/>
          </w:tcPr>
          <w:p w14:paraId="5F02148F"/>
        </w:tc>
        <w:tc>
          <w:tcPr>
            <w:tcW w:w="853" w:type="dxa"/>
            <w:shd w:val="clear" w:color="auto" w:fill="auto"/>
          </w:tcPr>
          <w:p w14:paraId="5C08CF28"/>
        </w:tc>
      </w:tr>
      <w:tr w14:paraId="16B3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66FFB827"/>
        </w:tc>
        <w:tc>
          <w:tcPr>
            <w:tcW w:w="852" w:type="dxa"/>
            <w:vMerge w:val="continue"/>
            <w:shd w:val="clear" w:color="auto" w:fill="auto"/>
          </w:tcPr>
          <w:p w14:paraId="52DEF813"/>
        </w:tc>
        <w:tc>
          <w:tcPr>
            <w:tcW w:w="852" w:type="dxa"/>
            <w:vMerge w:val="continue"/>
            <w:shd w:val="clear" w:color="auto" w:fill="auto"/>
          </w:tcPr>
          <w:p w14:paraId="50EF56B5"/>
        </w:tc>
        <w:tc>
          <w:tcPr>
            <w:tcW w:w="852" w:type="dxa"/>
            <w:vMerge w:val="continue"/>
            <w:shd w:val="clear" w:color="auto" w:fill="auto"/>
          </w:tcPr>
          <w:p w14:paraId="39D3949D"/>
        </w:tc>
        <w:tc>
          <w:tcPr>
            <w:tcW w:w="852" w:type="dxa"/>
            <w:vMerge w:val="continue"/>
            <w:shd w:val="clear" w:color="auto" w:fill="auto"/>
          </w:tcPr>
          <w:p w14:paraId="19F54B1E"/>
        </w:tc>
        <w:tc>
          <w:tcPr>
            <w:tcW w:w="852" w:type="dxa"/>
            <w:vMerge w:val="continue"/>
            <w:shd w:val="clear" w:color="auto" w:fill="auto"/>
          </w:tcPr>
          <w:p w14:paraId="2E4EDEE9"/>
        </w:tc>
        <w:tc>
          <w:tcPr>
            <w:tcW w:w="852" w:type="dxa"/>
            <w:shd w:val="clear" w:color="auto" w:fill="auto"/>
          </w:tcPr>
          <w:p w14:paraId="74D21031"/>
        </w:tc>
        <w:tc>
          <w:tcPr>
            <w:tcW w:w="852" w:type="dxa"/>
            <w:shd w:val="clear" w:color="auto" w:fill="auto"/>
          </w:tcPr>
          <w:p w14:paraId="715C760D"/>
        </w:tc>
        <w:tc>
          <w:tcPr>
            <w:tcW w:w="853" w:type="dxa"/>
            <w:shd w:val="clear" w:color="auto" w:fill="auto"/>
          </w:tcPr>
          <w:p w14:paraId="1A5444F1"/>
        </w:tc>
        <w:tc>
          <w:tcPr>
            <w:tcW w:w="853" w:type="dxa"/>
            <w:shd w:val="clear" w:color="auto" w:fill="auto"/>
          </w:tcPr>
          <w:p w14:paraId="4C8F9DE8"/>
        </w:tc>
      </w:tr>
      <w:tr w14:paraId="6654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shd w:val="clear" w:color="auto" w:fill="auto"/>
          </w:tcPr>
          <w:p w14:paraId="6A2A4559"/>
        </w:tc>
        <w:tc>
          <w:tcPr>
            <w:tcW w:w="852" w:type="dxa"/>
            <w:vMerge w:val="continue"/>
            <w:shd w:val="clear" w:color="auto" w:fill="auto"/>
          </w:tcPr>
          <w:p w14:paraId="7DBE243D"/>
        </w:tc>
        <w:tc>
          <w:tcPr>
            <w:tcW w:w="852" w:type="dxa"/>
            <w:vMerge w:val="continue"/>
            <w:shd w:val="clear" w:color="auto" w:fill="auto"/>
          </w:tcPr>
          <w:p w14:paraId="1AF234C5"/>
        </w:tc>
        <w:tc>
          <w:tcPr>
            <w:tcW w:w="852" w:type="dxa"/>
            <w:vMerge w:val="continue"/>
            <w:shd w:val="clear" w:color="auto" w:fill="auto"/>
          </w:tcPr>
          <w:p w14:paraId="32C6B1B6"/>
        </w:tc>
        <w:tc>
          <w:tcPr>
            <w:tcW w:w="852" w:type="dxa"/>
            <w:vMerge w:val="continue"/>
            <w:shd w:val="clear" w:color="auto" w:fill="auto"/>
          </w:tcPr>
          <w:p w14:paraId="27480ECA"/>
        </w:tc>
        <w:tc>
          <w:tcPr>
            <w:tcW w:w="852" w:type="dxa"/>
            <w:vMerge w:val="continue"/>
            <w:shd w:val="clear" w:color="auto" w:fill="auto"/>
          </w:tcPr>
          <w:p w14:paraId="25B6E96F"/>
        </w:tc>
        <w:tc>
          <w:tcPr>
            <w:tcW w:w="852" w:type="dxa"/>
            <w:shd w:val="clear" w:color="auto" w:fill="auto"/>
          </w:tcPr>
          <w:p w14:paraId="15F0F3FC"/>
        </w:tc>
        <w:tc>
          <w:tcPr>
            <w:tcW w:w="852" w:type="dxa"/>
            <w:shd w:val="clear" w:color="auto" w:fill="auto"/>
          </w:tcPr>
          <w:p w14:paraId="292C0B7B"/>
        </w:tc>
        <w:tc>
          <w:tcPr>
            <w:tcW w:w="853" w:type="dxa"/>
            <w:shd w:val="clear" w:color="auto" w:fill="auto"/>
          </w:tcPr>
          <w:p w14:paraId="3A975D42"/>
        </w:tc>
        <w:tc>
          <w:tcPr>
            <w:tcW w:w="853" w:type="dxa"/>
            <w:shd w:val="clear" w:color="auto" w:fill="auto"/>
          </w:tcPr>
          <w:p w14:paraId="6226C53E"/>
        </w:tc>
      </w:tr>
    </w:tbl>
    <w:p w14:paraId="4219AE45"/>
    <w:p w14:paraId="2B2D53A9"/>
    <w:p w14:paraId="75725996">
      <w:pPr>
        <w:rPr>
          <w:rFonts w:ascii="宋体" w:hAnsi="宋体" w:cs="宋体"/>
          <w:sz w:val="28"/>
          <w:szCs w:val="28"/>
        </w:rPr>
      </w:pPr>
      <w:r>
        <w:rPr>
          <w:rFonts w:hint="eastAsia" w:ascii="宋体" w:hAnsi="宋体" w:cs="宋体"/>
          <w:sz w:val="28"/>
          <w:szCs w:val="28"/>
        </w:rPr>
        <w:t>（</w:t>
      </w:r>
      <w:r>
        <w:rPr>
          <w:rFonts w:ascii="宋体" w:hAnsi="宋体"/>
          <w:sz w:val="28"/>
          <w:szCs w:val="28"/>
        </w:rPr>
        <w:t>2</w:t>
      </w:r>
      <w:r>
        <w:rPr>
          <w:rFonts w:hint="eastAsia" w:ascii="宋体" w:hAnsi="宋体" w:cs="宋体"/>
          <w:sz w:val="28"/>
          <w:szCs w:val="28"/>
        </w:rPr>
        <w:t>）分析过程</w:t>
      </w:r>
    </w:p>
    <w:p w14:paraId="466CC217">
      <w:pPr>
        <w:rPr>
          <w:rFonts w:ascii="宋体" w:hAnsi="宋体" w:cs="宋体"/>
          <w:sz w:val="28"/>
          <w:szCs w:val="28"/>
        </w:rPr>
      </w:pPr>
      <w:r>
        <w:rPr>
          <w:rFonts w:hint="eastAsia" w:ascii="宋体" w:hAnsi="宋体" w:cs="宋体"/>
          <w:sz w:val="28"/>
          <w:szCs w:val="28"/>
        </w:rPr>
        <w:t>经过meta 分析，合并X个数据，数据合并如下</w:t>
      </w:r>
    </w:p>
    <w:p w14:paraId="7708BA4C">
      <w:pPr>
        <w:rPr>
          <w:rFonts w:cs="宋体"/>
        </w:rPr>
      </w:pPr>
    </w:p>
    <w:p w14:paraId="202372F8">
      <w:pPr>
        <w:widowControl/>
        <w:jc w:val="left"/>
        <w:rPr>
          <w:rFonts w:ascii="宋体" w:hAnsi="宋体" w:cs="宋体"/>
          <w:kern w:val="0"/>
          <w:sz w:val="24"/>
          <w:szCs w:val="24"/>
        </w:rPr>
      </w:pPr>
      <w:r>
        <w:rPr>
          <w:rFonts w:ascii="宋体" w:hAnsi="宋体" w:cs="宋体"/>
          <w:kern w:val="0"/>
          <w:sz w:val="24"/>
          <w:szCs w:val="24"/>
        </w:rPr>
        <w:pict>
          <v:shape id="_x0000_i1025" o:spt="75" alt="说明: C:\Users\sunsine\AppData\Roaming\Tencent\Users\55650207\QQ\WinTemp\RichOle\1]$RGS_82WWPD]S3VZHOOJO.png" type="#_x0000_t75" style="height:195pt;width:498pt;" filled="f" o:preferrelative="t" stroked="f" coordsize="21600,21600">
            <v:path/>
            <v:fill on="f" focussize="0,0"/>
            <v:stroke on="f" joinstyle="miter"/>
            <v:imagedata r:id="rId4" o:title="1]$RGS_82WWPD]S3VZHOOJO"/>
            <o:lock v:ext="edit" aspectratio="t"/>
            <w10:wrap type="none"/>
            <w10:anchorlock/>
          </v:shape>
        </w:pict>
      </w:r>
    </w:p>
    <w:p w14:paraId="06CD7634">
      <w:pPr>
        <w:spacing w:line="360" w:lineRule="auto"/>
        <w:rPr>
          <w:rFonts w:ascii="宋体" w:hAnsi="宋体"/>
          <w:sz w:val="28"/>
          <w:szCs w:val="28"/>
        </w:rPr>
      </w:pPr>
      <w:r>
        <w:rPr>
          <w:rFonts w:hint="eastAsia" w:ascii="宋体" w:hAnsi="宋体" w:cs="宋体"/>
          <w:sz w:val="28"/>
          <w:szCs w:val="28"/>
        </w:rPr>
        <w:t>在治疗中的有效性评价指标主要有：</w:t>
      </w:r>
      <w:r>
        <w:rPr>
          <w:rFonts w:ascii="宋体" w:hAnsi="宋体"/>
          <w:sz w:val="28"/>
          <w:szCs w:val="28"/>
        </w:rPr>
        <w:t>****</w:t>
      </w:r>
      <w:r>
        <w:rPr>
          <w:rFonts w:hint="eastAsia" w:ascii="宋体" w:hAnsi="宋体" w:cs="宋体"/>
          <w:sz w:val="28"/>
          <w:szCs w:val="28"/>
        </w:rPr>
        <w:t>，安全性指标主要有</w:t>
      </w:r>
      <w:r>
        <w:rPr>
          <w:rFonts w:ascii="宋体" w:hAnsi="宋体"/>
          <w:sz w:val="28"/>
          <w:szCs w:val="28"/>
        </w:rPr>
        <w:t>****</w:t>
      </w:r>
      <w:r>
        <w:rPr>
          <w:rFonts w:hint="eastAsia" w:ascii="宋体" w:hAnsi="宋体" w:cs="宋体"/>
          <w:sz w:val="28"/>
          <w:szCs w:val="28"/>
        </w:rPr>
        <w:t>。</w:t>
      </w:r>
    </w:p>
    <w:p w14:paraId="7AF60586">
      <w:pPr>
        <w:spacing w:line="360" w:lineRule="auto"/>
        <w:rPr>
          <w:rFonts w:ascii="宋体" w:hAnsi="宋体"/>
          <w:sz w:val="28"/>
          <w:szCs w:val="28"/>
        </w:rPr>
      </w:pPr>
      <w:r>
        <w:rPr>
          <w:rFonts w:hint="eastAsia" w:ascii="宋体" w:hAnsi="宋体" w:cs="宋体"/>
          <w:sz w:val="28"/>
          <w:szCs w:val="28"/>
        </w:rPr>
        <w:t>在上述临床研究中，经治疗，各有效性指标均较对照组有统计学意义。</w:t>
      </w:r>
      <w:r>
        <w:rPr>
          <w:rFonts w:ascii="宋体" w:hAnsi="宋体"/>
          <w:sz w:val="28"/>
          <w:szCs w:val="28"/>
        </w:rPr>
        <w:t xml:space="preserve">  4.1.4 </w:t>
      </w:r>
      <w:r>
        <w:rPr>
          <w:rFonts w:hint="eastAsia" w:ascii="宋体" w:hAnsi="宋体" w:cs="宋体"/>
          <w:sz w:val="28"/>
          <w:szCs w:val="28"/>
        </w:rPr>
        <w:t>对分析结果的解释和评价</w:t>
      </w:r>
    </w:p>
    <w:p w14:paraId="67250C02">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分析表明</w:t>
      </w:r>
      <w:r>
        <w:rPr>
          <w:rFonts w:ascii="宋体" w:hAnsi="宋体"/>
          <w:sz w:val="28"/>
          <w:szCs w:val="28"/>
        </w:rPr>
        <w:t>***</w:t>
      </w:r>
      <w:r>
        <w:rPr>
          <w:rFonts w:hint="eastAsia" w:ascii="宋体" w:hAnsi="宋体" w:cs="宋体"/>
          <w:sz w:val="28"/>
          <w:szCs w:val="28"/>
        </w:rPr>
        <w:t>在临床结果中与某手段一样有效。</w:t>
      </w:r>
    </w:p>
    <w:p w14:paraId="189982A4">
      <w:pPr>
        <w:spacing w:line="360" w:lineRule="auto"/>
        <w:rPr>
          <w:rFonts w:ascii="宋体" w:hAnsi="宋体"/>
          <w:sz w:val="28"/>
          <w:szCs w:val="28"/>
        </w:rPr>
      </w:pPr>
      <w:r>
        <w:rPr>
          <w:rFonts w:ascii="宋体" w:hAnsi="宋体"/>
          <w:sz w:val="28"/>
          <w:szCs w:val="28"/>
        </w:rPr>
        <w:t xml:space="preserve">4.2 </w:t>
      </w:r>
      <w:r>
        <w:rPr>
          <w:rFonts w:hint="eastAsia" w:ascii="宋体" w:hAnsi="宋体" w:cs="宋体"/>
          <w:sz w:val="28"/>
          <w:szCs w:val="28"/>
        </w:rPr>
        <w:t>投诉和不良事件数据集</w:t>
      </w:r>
    </w:p>
    <w:p w14:paraId="5F96926A">
      <w:pPr>
        <w:spacing w:line="360" w:lineRule="auto"/>
        <w:rPr>
          <w:rFonts w:ascii="宋体" w:hAnsi="宋体"/>
          <w:sz w:val="28"/>
          <w:szCs w:val="28"/>
        </w:rPr>
      </w:pPr>
      <w:r>
        <w:rPr>
          <w:rFonts w:ascii="宋体" w:hAnsi="宋体"/>
          <w:sz w:val="28"/>
          <w:szCs w:val="28"/>
        </w:rPr>
        <w:t xml:space="preserve">  4.2.1 </w:t>
      </w:r>
      <w:r>
        <w:rPr>
          <w:rFonts w:hint="eastAsia" w:ascii="宋体" w:hAnsi="宋体" w:cs="宋体"/>
          <w:sz w:val="28"/>
          <w:szCs w:val="28"/>
        </w:rPr>
        <w:t>数据概述</w:t>
      </w:r>
    </w:p>
    <w:p w14:paraId="2415FE5C">
      <w:pPr>
        <w:spacing w:line="360" w:lineRule="auto"/>
        <w:ind w:firstLine="435"/>
        <w:rPr>
          <w:rFonts w:ascii="宋体" w:hAnsi="宋体"/>
          <w:sz w:val="28"/>
          <w:szCs w:val="28"/>
        </w:rPr>
      </w:pPr>
      <w:r>
        <w:rPr>
          <w:rFonts w:hint="eastAsia" w:ascii="宋体" w:hAnsi="宋体" w:cs="宋体"/>
          <w:sz w:val="28"/>
          <w:szCs w:val="28"/>
        </w:rPr>
        <w:t>查询</w:t>
      </w:r>
      <w:r>
        <w:rPr>
          <w:rFonts w:ascii="宋体" w:hAnsi="宋体"/>
          <w:sz w:val="28"/>
          <w:szCs w:val="28"/>
        </w:rPr>
        <w:t>CFDA</w:t>
      </w:r>
      <w:r>
        <w:rPr>
          <w:rFonts w:hint="eastAsia" w:ascii="宋体" w:hAnsi="宋体" w:cs="宋体"/>
          <w:sz w:val="28"/>
          <w:szCs w:val="28"/>
        </w:rPr>
        <w:t>网站“医疗器械警戒”、“产品召回”专栏，结果为</w:t>
      </w:r>
      <w:r>
        <w:rPr>
          <w:rFonts w:ascii="宋体" w:hAnsi="宋体"/>
          <w:sz w:val="28"/>
          <w:szCs w:val="28"/>
        </w:rPr>
        <w:t>0.</w:t>
      </w:r>
    </w:p>
    <w:p w14:paraId="5DD9BBC8">
      <w:pPr>
        <w:spacing w:line="360" w:lineRule="auto"/>
        <w:ind w:firstLine="435"/>
        <w:rPr>
          <w:rFonts w:ascii="宋体" w:hAnsi="宋体"/>
          <w:sz w:val="28"/>
          <w:szCs w:val="28"/>
        </w:rPr>
      </w:pPr>
      <w:r>
        <w:rPr>
          <w:rFonts w:hint="eastAsia" w:ascii="宋体" w:hAnsi="宋体" w:cs="宋体"/>
          <w:sz w:val="28"/>
          <w:szCs w:val="28"/>
        </w:rPr>
        <w:t>查询美国</w:t>
      </w:r>
      <w:r>
        <w:rPr>
          <w:rFonts w:ascii="宋体" w:hAnsi="宋体"/>
          <w:sz w:val="28"/>
          <w:szCs w:val="28"/>
        </w:rPr>
        <w:t>FDA</w:t>
      </w:r>
      <w:r>
        <w:rPr>
          <w:rFonts w:hint="eastAsia" w:ascii="宋体" w:hAnsi="宋体" w:cs="宋体"/>
          <w:sz w:val="28"/>
          <w:szCs w:val="28"/>
        </w:rPr>
        <w:t>网站</w:t>
      </w:r>
      <w:r>
        <w:rPr>
          <w:rFonts w:ascii="宋体" w:hAnsi="宋体"/>
          <w:sz w:val="28"/>
          <w:szCs w:val="28"/>
        </w:rPr>
        <w:t>MAUDE</w:t>
      </w:r>
      <w:r>
        <w:rPr>
          <w:rFonts w:hint="eastAsia" w:ascii="宋体" w:hAnsi="宋体" w:cs="宋体"/>
          <w:sz w:val="28"/>
          <w:szCs w:val="28"/>
        </w:rPr>
        <w:t>数据库，</w:t>
      </w:r>
      <w:r>
        <w:rPr>
          <w:rFonts w:ascii="宋体" w:hAnsi="宋体"/>
          <w:sz w:val="28"/>
          <w:szCs w:val="28"/>
        </w:rPr>
        <w:t>**</w:t>
      </w:r>
      <w:r>
        <w:rPr>
          <w:rFonts w:hint="eastAsia" w:ascii="宋体" w:hAnsi="宋体" w:cs="宋体"/>
          <w:sz w:val="28"/>
          <w:szCs w:val="28"/>
        </w:rPr>
        <w:t>年至今，品牌名“</w:t>
      </w:r>
      <w:r>
        <w:rPr>
          <w:rFonts w:ascii="宋体" w:hAnsi="宋体"/>
          <w:sz w:val="28"/>
          <w:szCs w:val="28"/>
        </w:rPr>
        <w:t>***</w:t>
      </w:r>
      <w:r>
        <w:rPr>
          <w:rFonts w:hint="eastAsia" w:ascii="宋体" w:hAnsi="宋体" w:cs="宋体"/>
          <w:sz w:val="28"/>
          <w:szCs w:val="28"/>
        </w:rPr>
        <w:t>”，共</w:t>
      </w:r>
      <w:r>
        <w:rPr>
          <w:rFonts w:ascii="宋体" w:hAnsi="宋体"/>
          <w:sz w:val="28"/>
          <w:szCs w:val="28"/>
        </w:rPr>
        <w:t>**</w:t>
      </w:r>
      <w:r>
        <w:rPr>
          <w:rFonts w:hint="eastAsia" w:ascii="宋体" w:hAnsi="宋体" w:cs="宋体"/>
          <w:sz w:val="28"/>
          <w:szCs w:val="28"/>
        </w:rPr>
        <w:t>条结果，详见附件</w:t>
      </w:r>
      <w:r>
        <w:rPr>
          <w:rFonts w:ascii="宋体" w:hAnsi="宋体"/>
          <w:sz w:val="28"/>
          <w:szCs w:val="28"/>
        </w:rPr>
        <w:t>15.</w:t>
      </w:r>
      <w:r>
        <w:rPr>
          <w:rFonts w:hint="eastAsia" w:ascii="宋体" w:hAnsi="宋体" w:cs="宋体"/>
          <w:sz w:val="28"/>
          <w:szCs w:val="28"/>
        </w:rPr>
        <w:t>、</w:t>
      </w:r>
    </w:p>
    <w:p w14:paraId="76B06352">
      <w:pPr>
        <w:spacing w:line="360" w:lineRule="auto"/>
        <w:ind w:firstLine="435"/>
        <w:rPr>
          <w:rFonts w:ascii="宋体" w:hAnsi="宋体"/>
          <w:sz w:val="28"/>
          <w:szCs w:val="28"/>
        </w:rPr>
      </w:pPr>
      <w:r>
        <w:rPr>
          <w:rFonts w:hint="eastAsia" w:ascii="宋体" w:hAnsi="宋体" w:cs="宋体"/>
          <w:sz w:val="28"/>
          <w:szCs w:val="28"/>
        </w:rPr>
        <w:t>查询英国医疗器械警告</w:t>
      </w:r>
      <w:r>
        <w:rPr>
          <w:rFonts w:ascii="宋体" w:hAnsi="宋体"/>
          <w:sz w:val="28"/>
          <w:szCs w:val="28"/>
        </w:rPr>
        <w:t>MDA</w:t>
      </w:r>
      <w:r>
        <w:rPr>
          <w:rFonts w:hint="eastAsia" w:ascii="宋体" w:hAnsi="宋体" w:cs="宋体"/>
          <w:sz w:val="28"/>
          <w:szCs w:val="28"/>
        </w:rPr>
        <w:t>数据库“</w:t>
      </w:r>
      <w:r>
        <w:rPr>
          <w:rFonts w:ascii="宋体" w:hAnsi="宋体"/>
          <w:sz w:val="28"/>
          <w:szCs w:val="28"/>
        </w:rPr>
        <w:t>Alerts and Recalls for Drugs and Medical Deivce</w:t>
      </w:r>
      <w:r>
        <w:rPr>
          <w:rFonts w:hint="eastAsia" w:ascii="宋体" w:hAnsi="宋体" w:cs="宋体"/>
          <w:sz w:val="28"/>
          <w:szCs w:val="28"/>
        </w:rPr>
        <w:t>”</w:t>
      </w:r>
      <w:r>
        <w:rPr>
          <w:rFonts w:ascii="宋体" w:hAnsi="宋体"/>
          <w:sz w:val="28"/>
          <w:szCs w:val="28"/>
        </w:rPr>
        <w:t>,</w:t>
      </w:r>
      <w:r>
        <w:rPr>
          <w:rFonts w:hint="eastAsia" w:ascii="宋体" w:hAnsi="宋体" w:cs="宋体"/>
          <w:sz w:val="28"/>
          <w:szCs w:val="28"/>
        </w:rPr>
        <w:t>结果为</w:t>
      </w:r>
      <w:r>
        <w:rPr>
          <w:rFonts w:ascii="宋体" w:hAnsi="宋体"/>
          <w:sz w:val="28"/>
          <w:szCs w:val="28"/>
        </w:rPr>
        <w:t>0.</w:t>
      </w:r>
    </w:p>
    <w:p w14:paraId="3B1C2131">
      <w:pPr>
        <w:spacing w:line="360" w:lineRule="auto"/>
        <w:rPr>
          <w:rFonts w:ascii="宋体" w:hAnsi="宋体"/>
          <w:sz w:val="28"/>
          <w:szCs w:val="28"/>
        </w:rPr>
      </w:pPr>
      <w:r>
        <w:rPr>
          <w:rFonts w:ascii="宋体" w:hAnsi="宋体"/>
          <w:sz w:val="28"/>
          <w:szCs w:val="28"/>
        </w:rPr>
        <w:t xml:space="preserve">  4.2.2 </w:t>
      </w:r>
      <w:r>
        <w:rPr>
          <w:rFonts w:hint="eastAsia" w:ascii="宋体" w:hAnsi="宋体" w:cs="宋体"/>
          <w:sz w:val="28"/>
          <w:szCs w:val="28"/>
        </w:rPr>
        <w:t>分析方法</w:t>
      </w:r>
    </w:p>
    <w:p w14:paraId="0A3EC8D4">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统计投诉原因种类，是否在成人员伤害。</w:t>
      </w:r>
    </w:p>
    <w:p w14:paraId="34D08541">
      <w:pPr>
        <w:spacing w:line="360" w:lineRule="auto"/>
        <w:rPr>
          <w:rFonts w:ascii="宋体" w:hAnsi="宋体"/>
          <w:sz w:val="28"/>
          <w:szCs w:val="28"/>
        </w:rPr>
      </w:pPr>
      <w:r>
        <w:rPr>
          <w:rFonts w:ascii="宋体" w:hAnsi="宋体"/>
          <w:sz w:val="28"/>
          <w:szCs w:val="28"/>
        </w:rPr>
        <w:t xml:space="preserve">  4.2.3 </w:t>
      </w:r>
      <w:r>
        <w:rPr>
          <w:rFonts w:hint="eastAsia" w:ascii="宋体" w:hAnsi="宋体" w:cs="宋体"/>
          <w:sz w:val="28"/>
          <w:szCs w:val="28"/>
        </w:rPr>
        <w:t>数据分析</w:t>
      </w:r>
    </w:p>
    <w:p w14:paraId="60D13342">
      <w:r>
        <w:t xml:space="preserve">                            </w:t>
      </w:r>
      <w:r>
        <w:rPr>
          <w:rFonts w:hint="eastAsia" w:cs="宋体"/>
        </w:rPr>
        <w:t>表</w:t>
      </w:r>
      <w:r>
        <w:t xml:space="preserve">7 </w:t>
      </w:r>
      <w:r>
        <w:rPr>
          <w:rFonts w:hint="eastAsia" w:cs="宋体"/>
        </w:rPr>
        <w:t>投诉和不良事件数据统计分析</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24CF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14:paraId="0EA99620">
            <w:r>
              <w:rPr>
                <w:rFonts w:hint="eastAsia" w:cs="宋体"/>
              </w:rPr>
              <w:t>序号</w:t>
            </w:r>
          </w:p>
        </w:tc>
        <w:tc>
          <w:tcPr>
            <w:tcW w:w="1420" w:type="dxa"/>
            <w:shd w:val="clear" w:color="auto" w:fill="auto"/>
          </w:tcPr>
          <w:p w14:paraId="3B88C1BB">
            <w:r>
              <w:rPr>
                <w:rFonts w:hint="eastAsia" w:cs="宋体"/>
              </w:rPr>
              <w:t>投诉现象</w:t>
            </w:r>
          </w:p>
        </w:tc>
        <w:tc>
          <w:tcPr>
            <w:tcW w:w="1420" w:type="dxa"/>
            <w:shd w:val="clear" w:color="auto" w:fill="auto"/>
          </w:tcPr>
          <w:p w14:paraId="1FB30EE6">
            <w:r>
              <w:rPr>
                <w:rFonts w:hint="eastAsia" w:cs="宋体"/>
              </w:rPr>
              <w:t>次数</w:t>
            </w:r>
          </w:p>
        </w:tc>
        <w:tc>
          <w:tcPr>
            <w:tcW w:w="1420" w:type="dxa"/>
            <w:shd w:val="clear" w:color="auto" w:fill="auto"/>
          </w:tcPr>
          <w:p w14:paraId="60B76022">
            <w:r>
              <w:rPr>
                <w:rFonts w:hint="eastAsia" w:cs="宋体"/>
              </w:rPr>
              <w:t>是否造成人员伤害</w:t>
            </w:r>
          </w:p>
        </w:tc>
        <w:tc>
          <w:tcPr>
            <w:tcW w:w="1421" w:type="dxa"/>
            <w:shd w:val="clear" w:color="auto" w:fill="auto"/>
          </w:tcPr>
          <w:p w14:paraId="404038F5">
            <w:r>
              <w:rPr>
                <w:rFonts w:hint="eastAsia" w:cs="宋体"/>
              </w:rPr>
              <w:t>根本原因</w:t>
            </w:r>
          </w:p>
        </w:tc>
        <w:tc>
          <w:tcPr>
            <w:tcW w:w="1421" w:type="dxa"/>
            <w:shd w:val="clear" w:color="auto" w:fill="auto"/>
          </w:tcPr>
          <w:p w14:paraId="02C71A37">
            <w:r>
              <w:rPr>
                <w:rFonts w:hint="eastAsia" w:cs="宋体"/>
              </w:rPr>
              <w:t>本产品解决办法</w:t>
            </w:r>
          </w:p>
        </w:tc>
      </w:tr>
      <w:tr w14:paraId="066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14:paraId="3F55E8DA">
            <w:r>
              <w:t>1</w:t>
            </w:r>
          </w:p>
        </w:tc>
        <w:tc>
          <w:tcPr>
            <w:tcW w:w="1420" w:type="dxa"/>
            <w:shd w:val="clear" w:color="auto" w:fill="auto"/>
          </w:tcPr>
          <w:p w14:paraId="45541C26"/>
        </w:tc>
        <w:tc>
          <w:tcPr>
            <w:tcW w:w="1420" w:type="dxa"/>
            <w:shd w:val="clear" w:color="auto" w:fill="auto"/>
          </w:tcPr>
          <w:p w14:paraId="0345412C"/>
        </w:tc>
        <w:tc>
          <w:tcPr>
            <w:tcW w:w="1420" w:type="dxa"/>
            <w:shd w:val="clear" w:color="auto" w:fill="auto"/>
          </w:tcPr>
          <w:p w14:paraId="0E8DBA51"/>
        </w:tc>
        <w:tc>
          <w:tcPr>
            <w:tcW w:w="1421" w:type="dxa"/>
            <w:shd w:val="clear" w:color="auto" w:fill="auto"/>
          </w:tcPr>
          <w:p w14:paraId="5E114596"/>
        </w:tc>
        <w:tc>
          <w:tcPr>
            <w:tcW w:w="1421" w:type="dxa"/>
            <w:shd w:val="clear" w:color="auto" w:fill="auto"/>
          </w:tcPr>
          <w:p w14:paraId="35BBEE44"/>
        </w:tc>
      </w:tr>
      <w:tr w14:paraId="4D18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14:paraId="2383D767">
            <w:r>
              <w:t>2</w:t>
            </w:r>
          </w:p>
        </w:tc>
        <w:tc>
          <w:tcPr>
            <w:tcW w:w="1420" w:type="dxa"/>
            <w:shd w:val="clear" w:color="auto" w:fill="auto"/>
          </w:tcPr>
          <w:p w14:paraId="05C2B88E"/>
        </w:tc>
        <w:tc>
          <w:tcPr>
            <w:tcW w:w="1420" w:type="dxa"/>
            <w:shd w:val="clear" w:color="auto" w:fill="auto"/>
          </w:tcPr>
          <w:p w14:paraId="173C06B8"/>
        </w:tc>
        <w:tc>
          <w:tcPr>
            <w:tcW w:w="1420" w:type="dxa"/>
            <w:shd w:val="clear" w:color="auto" w:fill="auto"/>
          </w:tcPr>
          <w:p w14:paraId="471A0042"/>
        </w:tc>
        <w:tc>
          <w:tcPr>
            <w:tcW w:w="1421" w:type="dxa"/>
            <w:shd w:val="clear" w:color="auto" w:fill="auto"/>
          </w:tcPr>
          <w:p w14:paraId="7E1EE513"/>
        </w:tc>
        <w:tc>
          <w:tcPr>
            <w:tcW w:w="1421" w:type="dxa"/>
            <w:shd w:val="clear" w:color="auto" w:fill="auto"/>
          </w:tcPr>
          <w:p w14:paraId="6EA729ED"/>
        </w:tc>
      </w:tr>
      <w:tr w14:paraId="1CD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14:paraId="636C3316">
            <w:r>
              <w:t>3</w:t>
            </w:r>
          </w:p>
        </w:tc>
        <w:tc>
          <w:tcPr>
            <w:tcW w:w="1420" w:type="dxa"/>
            <w:shd w:val="clear" w:color="auto" w:fill="auto"/>
          </w:tcPr>
          <w:p w14:paraId="51510546"/>
        </w:tc>
        <w:tc>
          <w:tcPr>
            <w:tcW w:w="1420" w:type="dxa"/>
            <w:shd w:val="clear" w:color="auto" w:fill="auto"/>
          </w:tcPr>
          <w:p w14:paraId="494AEFAA"/>
        </w:tc>
        <w:tc>
          <w:tcPr>
            <w:tcW w:w="1420" w:type="dxa"/>
            <w:shd w:val="clear" w:color="auto" w:fill="auto"/>
          </w:tcPr>
          <w:p w14:paraId="63047104"/>
        </w:tc>
        <w:tc>
          <w:tcPr>
            <w:tcW w:w="1421" w:type="dxa"/>
            <w:shd w:val="clear" w:color="auto" w:fill="auto"/>
          </w:tcPr>
          <w:p w14:paraId="366E5A30"/>
        </w:tc>
        <w:tc>
          <w:tcPr>
            <w:tcW w:w="1421" w:type="dxa"/>
            <w:shd w:val="clear" w:color="auto" w:fill="auto"/>
          </w:tcPr>
          <w:p w14:paraId="625943F5"/>
        </w:tc>
      </w:tr>
      <w:tr w14:paraId="5FD6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tcPr>
          <w:p w14:paraId="389CAF12">
            <w:r>
              <w:t>4</w:t>
            </w:r>
          </w:p>
        </w:tc>
        <w:tc>
          <w:tcPr>
            <w:tcW w:w="1420" w:type="dxa"/>
            <w:shd w:val="clear" w:color="auto" w:fill="auto"/>
          </w:tcPr>
          <w:p w14:paraId="34772020"/>
        </w:tc>
        <w:tc>
          <w:tcPr>
            <w:tcW w:w="1420" w:type="dxa"/>
            <w:shd w:val="clear" w:color="auto" w:fill="auto"/>
          </w:tcPr>
          <w:p w14:paraId="4067F4BA"/>
        </w:tc>
        <w:tc>
          <w:tcPr>
            <w:tcW w:w="1420" w:type="dxa"/>
            <w:shd w:val="clear" w:color="auto" w:fill="auto"/>
          </w:tcPr>
          <w:p w14:paraId="3D606798"/>
        </w:tc>
        <w:tc>
          <w:tcPr>
            <w:tcW w:w="1421" w:type="dxa"/>
            <w:shd w:val="clear" w:color="auto" w:fill="auto"/>
          </w:tcPr>
          <w:p w14:paraId="40CC7C27"/>
        </w:tc>
        <w:tc>
          <w:tcPr>
            <w:tcW w:w="1421" w:type="dxa"/>
            <w:shd w:val="clear" w:color="auto" w:fill="auto"/>
          </w:tcPr>
          <w:p w14:paraId="045903FF"/>
        </w:tc>
      </w:tr>
    </w:tbl>
    <w:p w14:paraId="18B07708"/>
    <w:p w14:paraId="6D4C7AE4">
      <w:pPr>
        <w:spacing w:line="360" w:lineRule="auto"/>
        <w:rPr>
          <w:rFonts w:ascii="宋体" w:hAnsi="宋体"/>
          <w:sz w:val="28"/>
          <w:szCs w:val="28"/>
        </w:rPr>
      </w:pPr>
      <w:r>
        <w:t xml:space="preserve">  </w:t>
      </w:r>
      <w:r>
        <w:rPr>
          <w:rFonts w:ascii="宋体" w:hAnsi="宋体"/>
          <w:sz w:val="28"/>
          <w:szCs w:val="28"/>
        </w:rPr>
        <w:t xml:space="preserve">4.2.4 </w:t>
      </w:r>
      <w:r>
        <w:rPr>
          <w:rFonts w:hint="eastAsia" w:ascii="宋体" w:hAnsi="宋体" w:cs="宋体"/>
          <w:sz w:val="28"/>
          <w:szCs w:val="28"/>
        </w:rPr>
        <w:t>对分析结果的解释和评价</w:t>
      </w:r>
    </w:p>
    <w:p w14:paraId="66A21533">
      <w:pPr>
        <w:spacing w:line="360" w:lineRule="auto"/>
        <w:rPr>
          <w:rFonts w:ascii="宋体" w:hAnsi="宋体"/>
          <w:sz w:val="28"/>
          <w:szCs w:val="28"/>
        </w:rPr>
      </w:pPr>
      <w:r>
        <w:rPr>
          <w:rFonts w:ascii="宋体" w:hAnsi="宋体"/>
          <w:sz w:val="28"/>
          <w:szCs w:val="28"/>
        </w:rPr>
        <w:t>**</w:t>
      </w:r>
      <w:r>
        <w:rPr>
          <w:rFonts w:hint="eastAsia" w:ascii="宋体" w:hAnsi="宋体" w:cs="宋体"/>
          <w:sz w:val="28"/>
          <w:szCs w:val="28"/>
        </w:rPr>
        <w:t>产品自</w:t>
      </w:r>
      <w:r>
        <w:rPr>
          <w:rFonts w:ascii="宋体" w:hAnsi="宋体"/>
          <w:sz w:val="28"/>
          <w:szCs w:val="28"/>
        </w:rPr>
        <w:t>**</w:t>
      </w:r>
      <w:r>
        <w:rPr>
          <w:rFonts w:hint="eastAsia" w:ascii="宋体" w:hAnsi="宋体" w:cs="宋体"/>
          <w:sz w:val="28"/>
          <w:szCs w:val="28"/>
        </w:rPr>
        <w:t>年上市以来，无严重不良事件发生。各类投诉中，部分因无法获得投诉使用产品而不能分析原因，部分为与产品无关，其他主要集中于</w:t>
      </w:r>
      <w:r>
        <w:rPr>
          <w:rFonts w:ascii="宋体" w:hAnsi="宋体"/>
          <w:sz w:val="28"/>
          <w:szCs w:val="28"/>
        </w:rPr>
        <w:t>**</w:t>
      </w:r>
      <w:r>
        <w:rPr>
          <w:rFonts w:hint="eastAsia" w:ascii="宋体" w:hAnsi="宋体" w:cs="宋体"/>
          <w:sz w:val="28"/>
          <w:szCs w:val="28"/>
        </w:rPr>
        <w:t>原因，未造成人员伤害。总体表明，</w:t>
      </w:r>
      <w:r>
        <w:rPr>
          <w:rFonts w:ascii="宋体" w:hAnsi="宋体"/>
          <w:sz w:val="28"/>
          <w:szCs w:val="28"/>
        </w:rPr>
        <w:t>**</w:t>
      </w:r>
      <w:r>
        <w:rPr>
          <w:rFonts w:hint="eastAsia" w:ascii="宋体" w:hAnsi="宋体" w:cs="宋体"/>
          <w:sz w:val="28"/>
          <w:szCs w:val="28"/>
        </w:rPr>
        <w:t>产品对使用者是安全的。而申报产品所使用的某些部件，采用了</w:t>
      </w:r>
      <w:r>
        <w:rPr>
          <w:rFonts w:ascii="宋体" w:hAnsi="宋体"/>
          <w:sz w:val="28"/>
          <w:szCs w:val="28"/>
        </w:rPr>
        <w:t>**</w:t>
      </w:r>
      <w:r>
        <w:rPr>
          <w:rFonts w:hint="eastAsia" w:ascii="宋体" w:hAnsi="宋体" w:cs="宋体"/>
          <w:sz w:val="28"/>
          <w:szCs w:val="28"/>
        </w:rPr>
        <w:t>技术，解决了这一问题，所以，申报产品具有更好的安全性。</w:t>
      </w:r>
    </w:p>
    <w:p w14:paraId="4023867F">
      <w:pPr>
        <w:spacing w:line="360" w:lineRule="auto"/>
        <w:rPr>
          <w:rFonts w:ascii="宋体" w:hAnsi="宋体"/>
          <w:sz w:val="28"/>
          <w:szCs w:val="28"/>
        </w:rPr>
      </w:pPr>
      <w:r>
        <w:rPr>
          <w:rFonts w:ascii="宋体" w:hAnsi="宋体"/>
          <w:sz w:val="28"/>
          <w:szCs w:val="28"/>
        </w:rPr>
        <w:t xml:space="preserve">  4.3.1 </w:t>
      </w:r>
      <w:r>
        <w:rPr>
          <w:rFonts w:hint="eastAsia" w:ascii="宋体" w:hAnsi="宋体" w:cs="宋体"/>
          <w:sz w:val="28"/>
          <w:szCs w:val="28"/>
        </w:rPr>
        <w:t>数据概述</w:t>
      </w:r>
    </w:p>
    <w:p w14:paraId="0A1E1FA2">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在</w:t>
      </w:r>
      <w:r>
        <w:rPr>
          <w:rFonts w:ascii="宋体" w:hAnsi="宋体"/>
          <w:sz w:val="28"/>
          <w:szCs w:val="28"/>
        </w:rPr>
        <w:t>CFDA</w:t>
      </w:r>
      <w:r>
        <w:rPr>
          <w:rFonts w:hint="eastAsia" w:ascii="宋体" w:hAnsi="宋体" w:cs="宋体"/>
          <w:sz w:val="28"/>
          <w:szCs w:val="28"/>
        </w:rPr>
        <w:t>网站站内文章搜索“</w:t>
      </w:r>
      <w:r>
        <w:rPr>
          <w:rFonts w:ascii="宋体" w:hAnsi="宋体"/>
          <w:sz w:val="28"/>
          <w:szCs w:val="28"/>
        </w:rPr>
        <w:t>**</w:t>
      </w:r>
      <w:r>
        <w:rPr>
          <w:rFonts w:hint="eastAsia" w:ascii="宋体" w:hAnsi="宋体" w:cs="宋体"/>
          <w:sz w:val="28"/>
          <w:szCs w:val="28"/>
        </w:rPr>
        <w:t>”、“</w:t>
      </w:r>
      <w:r>
        <w:rPr>
          <w:rFonts w:ascii="宋体" w:hAnsi="宋体"/>
          <w:sz w:val="28"/>
          <w:szCs w:val="28"/>
        </w:rPr>
        <w:t>***</w:t>
      </w:r>
      <w:r>
        <w:rPr>
          <w:rFonts w:hint="eastAsia" w:ascii="宋体" w:hAnsi="宋体" w:cs="宋体"/>
          <w:sz w:val="28"/>
          <w:szCs w:val="28"/>
        </w:rPr>
        <w:t>”，未发现召回信息；查看</w:t>
      </w:r>
      <w:r>
        <w:rPr>
          <w:rFonts w:ascii="宋体" w:hAnsi="宋体"/>
          <w:sz w:val="28"/>
          <w:szCs w:val="28"/>
        </w:rPr>
        <w:t>CFDA</w:t>
      </w:r>
      <w:r>
        <w:rPr>
          <w:rFonts w:hint="eastAsia" w:ascii="宋体" w:hAnsi="宋体" w:cs="宋体"/>
          <w:sz w:val="28"/>
          <w:szCs w:val="28"/>
        </w:rPr>
        <w:t>网站</w:t>
      </w:r>
      <w:r>
        <w:rPr>
          <w:rFonts w:ascii="宋体" w:hAnsi="宋体"/>
          <w:sz w:val="28"/>
          <w:szCs w:val="28"/>
        </w:rPr>
        <w:t>2008</w:t>
      </w:r>
      <w:r>
        <w:rPr>
          <w:rFonts w:hint="eastAsia" w:ascii="宋体" w:hAnsi="宋体" w:cs="宋体"/>
          <w:sz w:val="28"/>
          <w:szCs w:val="28"/>
        </w:rPr>
        <w:t>年至今的医疗器械警戒信息，无相关警告信息。</w:t>
      </w:r>
    </w:p>
    <w:p w14:paraId="41793FC7">
      <w:pPr>
        <w:spacing w:line="360" w:lineRule="auto"/>
        <w:rPr>
          <w:rFonts w:ascii="宋体" w:hAnsi="宋体"/>
          <w:sz w:val="28"/>
          <w:szCs w:val="28"/>
        </w:rPr>
      </w:pPr>
      <w:r>
        <w:rPr>
          <w:rFonts w:hint="eastAsia" w:ascii="宋体" w:hAnsi="宋体" w:cs="宋体"/>
          <w:sz w:val="28"/>
          <w:szCs w:val="28"/>
        </w:rPr>
        <w:t>在美国</w:t>
      </w:r>
      <w:r>
        <w:rPr>
          <w:rFonts w:ascii="宋体" w:hAnsi="宋体"/>
          <w:sz w:val="28"/>
          <w:szCs w:val="28"/>
        </w:rPr>
        <w:t>FDA</w:t>
      </w:r>
      <w:r>
        <w:rPr>
          <w:rFonts w:hint="eastAsia" w:ascii="宋体" w:hAnsi="宋体" w:cs="宋体"/>
          <w:sz w:val="28"/>
          <w:szCs w:val="28"/>
        </w:rPr>
        <w:t>网站“</w:t>
      </w:r>
      <w:r>
        <w:rPr>
          <w:rFonts w:ascii="宋体" w:hAnsi="宋体"/>
          <w:sz w:val="28"/>
          <w:szCs w:val="28"/>
        </w:rPr>
        <w:t>Recalls,Market Withdrawals,&amp;Safety Alerts Search</w:t>
      </w:r>
      <w:r>
        <w:rPr>
          <w:rFonts w:hint="eastAsia" w:ascii="宋体" w:hAnsi="宋体" w:cs="宋体"/>
          <w:sz w:val="28"/>
          <w:szCs w:val="28"/>
        </w:rPr>
        <w:t>”</w:t>
      </w:r>
      <w:r>
        <w:rPr>
          <w:rFonts w:ascii="宋体" w:hAnsi="宋体"/>
          <w:sz w:val="28"/>
          <w:szCs w:val="28"/>
        </w:rPr>
        <w:t>(</w:t>
      </w:r>
      <w:r>
        <w:rPr>
          <w:rFonts w:hint="eastAsia" w:ascii="宋体" w:hAnsi="宋体" w:cs="宋体"/>
          <w:sz w:val="28"/>
          <w:szCs w:val="28"/>
        </w:rPr>
        <w:t>召回、市场撤回‘与安全警告搜索</w:t>
      </w:r>
      <w:r>
        <w:rPr>
          <w:rFonts w:ascii="宋体" w:hAnsi="宋体"/>
          <w:sz w:val="28"/>
          <w:szCs w:val="28"/>
        </w:rPr>
        <w:t>)</w:t>
      </w:r>
      <w:r>
        <w:rPr>
          <w:rFonts w:hint="eastAsia" w:ascii="宋体" w:hAnsi="宋体" w:cs="宋体"/>
          <w:sz w:val="28"/>
          <w:szCs w:val="28"/>
        </w:rPr>
        <w:t>中搜索“</w:t>
      </w:r>
      <w:r>
        <w:rPr>
          <w:rFonts w:ascii="宋体" w:hAnsi="宋体"/>
          <w:sz w:val="28"/>
          <w:szCs w:val="28"/>
        </w:rPr>
        <w:t>**</w:t>
      </w:r>
      <w:r>
        <w:rPr>
          <w:rFonts w:hint="eastAsia" w:ascii="宋体" w:hAnsi="宋体" w:cs="宋体"/>
          <w:sz w:val="28"/>
          <w:szCs w:val="28"/>
        </w:rPr>
        <w:t>”、“</w:t>
      </w:r>
      <w:r>
        <w:rPr>
          <w:rFonts w:ascii="宋体" w:hAnsi="宋体"/>
          <w:sz w:val="28"/>
          <w:szCs w:val="28"/>
        </w:rPr>
        <w:t>**</w:t>
      </w:r>
      <w:r>
        <w:rPr>
          <w:rFonts w:hint="eastAsia" w:ascii="宋体" w:hAnsi="宋体" w:cs="宋体"/>
          <w:sz w:val="28"/>
          <w:szCs w:val="28"/>
        </w:rPr>
        <w:t>”，无相关召回、警告信息。</w:t>
      </w:r>
    </w:p>
    <w:p w14:paraId="445DFB6B">
      <w:pPr>
        <w:spacing w:line="360" w:lineRule="auto"/>
        <w:rPr>
          <w:rFonts w:ascii="宋体" w:hAnsi="宋体"/>
          <w:sz w:val="28"/>
          <w:szCs w:val="28"/>
        </w:rPr>
      </w:pPr>
      <w:r>
        <w:rPr>
          <w:rFonts w:ascii="宋体" w:hAnsi="宋体"/>
          <w:sz w:val="28"/>
          <w:szCs w:val="28"/>
        </w:rPr>
        <w:t xml:space="preserve"> 4.3.2 </w:t>
      </w:r>
      <w:r>
        <w:rPr>
          <w:rFonts w:hint="eastAsia" w:ascii="宋体" w:hAnsi="宋体" w:cs="宋体"/>
          <w:sz w:val="28"/>
          <w:szCs w:val="28"/>
        </w:rPr>
        <w:t>数据分析和评价</w:t>
      </w:r>
    </w:p>
    <w:p w14:paraId="5E9E5B5B">
      <w:pPr>
        <w:spacing w:line="360" w:lineRule="auto"/>
        <w:rPr>
          <w:rFonts w:ascii="宋体" w:hAnsi="宋体"/>
          <w:sz w:val="28"/>
          <w:szCs w:val="28"/>
        </w:rPr>
      </w:pPr>
      <w:r>
        <w:rPr>
          <w:rFonts w:ascii="宋体" w:hAnsi="宋体"/>
          <w:sz w:val="28"/>
          <w:szCs w:val="28"/>
        </w:rPr>
        <w:t xml:space="preserve">     </w:t>
      </w:r>
      <w:r>
        <w:rPr>
          <w:rFonts w:hint="eastAsia" w:ascii="宋体" w:hAnsi="宋体" w:cs="宋体"/>
          <w:sz w:val="28"/>
          <w:szCs w:val="28"/>
        </w:rPr>
        <w:t>数据表明，</w:t>
      </w:r>
      <w:r>
        <w:rPr>
          <w:rFonts w:ascii="宋体" w:hAnsi="宋体"/>
          <w:sz w:val="28"/>
          <w:szCs w:val="28"/>
        </w:rPr>
        <w:t>**</w:t>
      </w:r>
      <w:r>
        <w:rPr>
          <w:rFonts w:hint="eastAsia" w:ascii="宋体" w:hAnsi="宋体" w:cs="宋体"/>
          <w:sz w:val="28"/>
          <w:szCs w:val="28"/>
        </w:rPr>
        <w:t>产品临床应用上是安全的。</w:t>
      </w:r>
    </w:p>
    <w:p w14:paraId="2882DBEF">
      <w:pPr>
        <w:spacing w:line="360" w:lineRule="auto"/>
        <w:rPr>
          <w:rFonts w:ascii="宋体" w:hAnsi="宋体"/>
          <w:sz w:val="28"/>
          <w:szCs w:val="28"/>
        </w:rPr>
      </w:pPr>
      <w:r>
        <w:rPr>
          <w:rFonts w:ascii="宋体" w:hAnsi="宋体"/>
          <w:sz w:val="28"/>
          <w:szCs w:val="28"/>
        </w:rPr>
        <w:t xml:space="preserve">4.4 </w:t>
      </w:r>
      <w:r>
        <w:rPr>
          <w:rFonts w:hint="eastAsia" w:ascii="宋体" w:hAnsi="宋体" w:cs="宋体"/>
          <w:sz w:val="28"/>
          <w:szCs w:val="28"/>
        </w:rPr>
        <w:t>多个数据集的总和评价及结论</w:t>
      </w:r>
    </w:p>
    <w:p w14:paraId="255C234D">
      <w:pPr>
        <w:spacing w:line="360" w:lineRule="auto"/>
        <w:ind w:firstLine="435"/>
        <w:rPr>
          <w:rFonts w:ascii="宋体" w:hAnsi="宋体"/>
          <w:sz w:val="28"/>
          <w:szCs w:val="28"/>
        </w:rPr>
      </w:pPr>
      <w:r>
        <w:rPr>
          <w:rFonts w:hint="eastAsia" w:ascii="宋体" w:hAnsi="宋体" w:cs="宋体"/>
          <w:sz w:val="28"/>
          <w:szCs w:val="28"/>
        </w:rPr>
        <w:t>临床研究文献数据集包括了</w:t>
      </w:r>
      <w:r>
        <w:rPr>
          <w:rFonts w:ascii="宋体" w:hAnsi="宋体"/>
          <w:sz w:val="28"/>
          <w:szCs w:val="28"/>
        </w:rPr>
        <w:t>**</w:t>
      </w:r>
      <w:r>
        <w:rPr>
          <w:rFonts w:hint="eastAsia" w:ascii="宋体" w:hAnsi="宋体" w:cs="宋体"/>
          <w:sz w:val="28"/>
          <w:szCs w:val="28"/>
        </w:rPr>
        <w:t>篇中英文文献，投诉和不良事件数据集共包括</w:t>
      </w:r>
      <w:r>
        <w:rPr>
          <w:rFonts w:ascii="宋体" w:hAnsi="宋体"/>
          <w:sz w:val="28"/>
          <w:szCs w:val="28"/>
        </w:rPr>
        <w:t>**</w:t>
      </w:r>
      <w:r>
        <w:rPr>
          <w:rFonts w:hint="eastAsia" w:ascii="宋体" w:hAnsi="宋体" w:cs="宋体"/>
          <w:sz w:val="28"/>
          <w:szCs w:val="28"/>
        </w:rPr>
        <w:t>条结果，无明显的临床相关的风险记录。</w:t>
      </w:r>
    </w:p>
    <w:p w14:paraId="2E463B6B">
      <w:pPr>
        <w:spacing w:line="360" w:lineRule="auto"/>
        <w:ind w:firstLine="435"/>
        <w:rPr>
          <w:rFonts w:ascii="宋体" w:hAnsi="宋体"/>
          <w:sz w:val="28"/>
          <w:szCs w:val="28"/>
        </w:rPr>
      </w:pPr>
      <w:r>
        <w:rPr>
          <w:rFonts w:hint="eastAsia" w:ascii="宋体" w:hAnsi="宋体" w:cs="宋体"/>
          <w:sz w:val="28"/>
          <w:szCs w:val="28"/>
        </w:rPr>
        <w:t>文献检索和筛选方案及报告见附件</w:t>
      </w:r>
      <w:r>
        <w:rPr>
          <w:rFonts w:ascii="宋体" w:hAnsi="宋体"/>
          <w:sz w:val="28"/>
          <w:szCs w:val="28"/>
        </w:rPr>
        <w:t>16</w:t>
      </w:r>
    </w:p>
    <w:p w14:paraId="29926ADD">
      <w:pPr>
        <w:spacing w:line="360" w:lineRule="auto"/>
        <w:ind w:firstLine="435"/>
        <w:rPr>
          <w:rFonts w:ascii="宋体" w:hAnsi="宋体"/>
          <w:sz w:val="28"/>
          <w:szCs w:val="28"/>
        </w:rPr>
      </w:pPr>
      <w:r>
        <w:rPr>
          <w:rFonts w:ascii="宋体" w:hAnsi="宋体"/>
          <w:sz w:val="28"/>
          <w:szCs w:val="28"/>
        </w:rPr>
        <w:t xml:space="preserve">4.5 </w:t>
      </w:r>
      <w:r>
        <w:rPr>
          <w:rFonts w:hint="eastAsia" w:ascii="宋体" w:hAnsi="宋体" w:cs="宋体"/>
          <w:sz w:val="28"/>
          <w:szCs w:val="28"/>
        </w:rPr>
        <w:t>结论</w:t>
      </w:r>
    </w:p>
    <w:p w14:paraId="4CAF1C51">
      <w:pPr>
        <w:spacing w:line="360" w:lineRule="auto"/>
        <w:ind w:firstLine="435"/>
        <w:rPr>
          <w:rFonts w:ascii="宋体" w:hAnsi="宋体"/>
          <w:sz w:val="28"/>
          <w:szCs w:val="28"/>
        </w:rPr>
      </w:pPr>
      <w:bookmarkStart w:id="3" w:name="OLE_LINK3"/>
      <w:bookmarkStart w:id="4" w:name="OLE_LINK4"/>
      <w:r>
        <w:rPr>
          <w:rFonts w:hint="eastAsia" w:ascii="宋体" w:hAnsi="宋体" w:cs="宋体"/>
          <w:sz w:val="28"/>
          <w:szCs w:val="28"/>
        </w:rPr>
        <w:t>通过</w:t>
      </w:r>
      <w:r>
        <w:rPr>
          <w:rFonts w:ascii="宋体" w:hAnsi="宋体"/>
          <w:sz w:val="28"/>
          <w:szCs w:val="28"/>
        </w:rPr>
        <w:t>3</w:t>
      </w:r>
      <w:r>
        <w:rPr>
          <w:rFonts w:hint="eastAsia" w:ascii="宋体" w:hAnsi="宋体" w:cs="宋体"/>
          <w:sz w:val="28"/>
          <w:szCs w:val="28"/>
        </w:rPr>
        <w:t>个研究数据集显示</w:t>
      </w:r>
      <w:bookmarkEnd w:id="3"/>
      <w:bookmarkEnd w:id="4"/>
      <w:r>
        <w:rPr>
          <w:rFonts w:hint="eastAsia" w:ascii="宋体" w:hAnsi="宋体" w:cs="宋体"/>
          <w:sz w:val="28"/>
          <w:szCs w:val="28"/>
        </w:rPr>
        <w:t>，</w:t>
      </w:r>
      <w:r>
        <w:rPr>
          <w:rFonts w:ascii="宋体" w:hAnsi="宋体"/>
          <w:sz w:val="28"/>
          <w:szCs w:val="28"/>
        </w:rPr>
        <w:t>**</w:t>
      </w:r>
      <w:r>
        <w:rPr>
          <w:rFonts w:hint="eastAsia" w:ascii="宋体" w:hAnsi="宋体" w:cs="宋体"/>
          <w:sz w:val="28"/>
          <w:szCs w:val="28"/>
        </w:rPr>
        <w:t>经初期的临床试验和后去的临床应用反馈证明，可达到预期性能，临床性能和安全性均有适当的证据支持。</w:t>
      </w:r>
    </w:p>
    <w:p w14:paraId="56615C98">
      <w:pPr>
        <w:spacing w:line="360" w:lineRule="auto"/>
        <w:ind w:firstLine="435"/>
        <w:rPr>
          <w:rFonts w:ascii="宋体" w:hAnsi="宋体"/>
          <w:sz w:val="28"/>
          <w:szCs w:val="28"/>
        </w:rPr>
      </w:pPr>
      <w:r>
        <w:rPr>
          <w:rFonts w:ascii="宋体" w:hAnsi="宋体"/>
          <w:sz w:val="28"/>
          <w:szCs w:val="28"/>
        </w:rPr>
        <w:t xml:space="preserve">5 </w:t>
      </w:r>
      <w:r>
        <w:rPr>
          <w:rFonts w:hint="eastAsia" w:ascii="宋体" w:hAnsi="宋体" w:cs="宋体"/>
          <w:sz w:val="28"/>
          <w:szCs w:val="28"/>
        </w:rPr>
        <w:t>结论</w:t>
      </w:r>
    </w:p>
    <w:p w14:paraId="52CAAB47">
      <w:pPr>
        <w:spacing w:line="360" w:lineRule="auto"/>
        <w:ind w:firstLine="435"/>
        <w:rPr>
          <w:rFonts w:ascii="宋体" w:hAnsi="宋体"/>
          <w:sz w:val="28"/>
          <w:szCs w:val="28"/>
        </w:rPr>
      </w:pPr>
      <w:r>
        <w:rPr>
          <w:rFonts w:hint="eastAsia" w:ascii="宋体" w:hAnsi="宋体" w:cs="宋体"/>
          <w:sz w:val="28"/>
          <w:szCs w:val="28"/>
        </w:rPr>
        <w:t>综合第三节和第四节，申报产品与同品种医疗器械的差异，不对产品的安全有效性产生不利影响。同品种医疗器械</w:t>
      </w:r>
      <w:r>
        <w:rPr>
          <w:rFonts w:ascii="宋体" w:hAnsi="宋体"/>
          <w:sz w:val="28"/>
          <w:szCs w:val="28"/>
        </w:rPr>
        <w:t>**</w:t>
      </w:r>
      <w:r>
        <w:rPr>
          <w:rFonts w:hint="eastAsia" w:ascii="宋体" w:hAnsi="宋体" w:cs="宋体"/>
          <w:sz w:val="28"/>
          <w:szCs w:val="28"/>
        </w:rPr>
        <w:t>经初期的临床试验和后去的临床应用反馈证明，可达到预期性能，临床性能和安全性均有适当的证据支持。</w:t>
      </w:r>
    </w:p>
    <w:p w14:paraId="4A30BE91">
      <w:pPr>
        <w:spacing w:line="360" w:lineRule="auto"/>
        <w:ind w:firstLine="435"/>
        <w:rPr>
          <w:rFonts w:ascii="宋体" w:hAnsi="宋体"/>
          <w:sz w:val="28"/>
          <w:szCs w:val="28"/>
        </w:rPr>
      </w:pPr>
      <w:r>
        <w:rPr>
          <w:rFonts w:hint="eastAsia" w:ascii="宋体" w:hAnsi="宋体" w:cs="宋体"/>
          <w:sz w:val="28"/>
          <w:szCs w:val="28"/>
        </w:rPr>
        <w:t>所以，在正常使用条件下，申报产品可达到预期性能；与预期受益相比较，产品的风险可接受；产品的临床性能和安全性均有使用的证据支持。</w:t>
      </w:r>
    </w:p>
    <w:p w14:paraId="76D9CBBA">
      <w:pPr>
        <w:spacing w:line="360" w:lineRule="auto"/>
        <w:ind w:firstLine="435"/>
        <w:rPr>
          <w:rFonts w:ascii="宋体" w:hAnsi="宋体"/>
          <w:sz w:val="28"/>
          <w:szCs w:val="28"/>
        </w:rPr>
      </w:pPr>
      <w:r>
        <w:rPr>
          <w:rFonts w:ascii="宋体" w:hAnsi="宋体"/>
          <w:sz w:val="28"/>
          <w:szCs w:val="28"/>
        </w:rPr>
        <w:t xml:space="preserve">6 </w:t>
      </w:r>
      <w:r>
        <w:rPr>
          <w:rFonts w:hint="eastAsia" w:ascii="宋体" w:hAnsi="宋体" w:cs="宋体"/>
          <w:sz w:val="28"/>
          <w:szCs w:val="28"/>
        </w:rPr>
        <w:t>其他需要说明的问题</w:t>
      </w:r>
    </w:p>
    <w:p w14:paraId="3BD5D524">
      <w:pPr>
        <w:spacing w:line="360" w:lineRule="auto"/>
        <w:ind w:firstLine="435"/>
        <w:rPr>
          <w:rFonts w:ascii="宋体" w:hAnsi="宋体"/>
          <w:sz w:val="28"/>
          <w:szCs w:val="28"/>
        </w:rPr>
      </w:pPr>
      <w:r>
        <w:rPr>
          <w:rFonts w:ascii="宋体" w:hAnsi="宋体"/>
          <w:sz w:val="28"/>
          <w:szCs w:val="28"/>
        </w:rPr>
        <w:t xml:space="preserve">   </w:t>
      </w:r>
      <w:r>
        <w:rPr>
          <w:rFonts w:hint="eastAsia" w:ascii="宋体" w:hAnsi="宋体" w:cs="宋体"/>
          <w:sz w:val="28"/>
          <w:szCs w:val="28"/>
        </w:rPr>
        <w:t>无</w:t>
      </w:r>
    </w:p>
    <w:p w14:paraId="4EDEA4AC">
      <w:pPr>
        <w:ind w:firstLine="1260" w:firstLineChars="600"/>
        <w:rPr>
          <w:rFonts w:hint="eastAsia" w:eastAsia="宋体"/>
          <w:lang w:eastAsia="zh-CN"/>
        </w:rPr>
      </w:pPr>
    </w:p>
    <w:p w14:paraId="42FAE381">
      <w:pPr>
        <w:ind w:firstLine="1260" w:firstLineChars="600"/>
        <w:jc w:val="center"/>
        <w:rPr>
          <w:rFonts w:hint="eastAsia" w:eastAsia="宋体"/>
          <w:lang w:eastAsia="zh-CN"/>
        </w:rPr>
      </w:pPr>
    </w:p>
    <w:p w14:paraId="18D48330">
      <w:pPr>
        <w:ind w:firstLine="1260" w:firstLineChars="600"/>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5" o:title="2"/>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418"/>
    <w:rsid w:val="00011449"/>
    <w:rsid w:val="000136D7"/>
    <w:rsid w:val="000B030E"/>
    <w:rsid w:val="000C353D"/>
    <w:rsid w:val="000F5B1D"/>
    <w:rsid w:val="00104F12"/>
    <w:rsid w:val="00112434"/>
    <w:rsid w:val="0011248B"/>
    <w:rsid w:val="00125C98"/>
    <w:rsid w:val="001655D6"/>
    <w:rsid w:val="001727F3"/>
    <w:rsid w:val="00192229"/>
    <w:rsid w:val="001B3F20"/>
    <w:rsid w:val="001C62F8"/>
    <w:rsid w:val="001E67BF"/>
    <w:rsid w:val="001F0AAF"/>
    <w:rsid w:val="002011F3"/>
    <w:rsid w:val="00201E75"/>
    <w:rsid w:val="00206759"/>
    <w:rsid w:val="00231623"/>
    <w:rsid w:val="002445C5"/>
    <w:rsid w:val="002457C2"/>
    <w:rsid w:val="00252FF2"/>
    <w:rsid w:val="0027775F"/>
    <w:rsid w:val="0029258E"/>
    <w:rsid w:val="002B3F4C"/>
    <w:rsid w:val="002D4DFF"/>
    <w:rsid w:val="002D7A52"/>
    <w:rsid w:val="002E65C6"/>
    <w:rsid w:val="00307C8E"/>
    <w:rsid w:val="00312773"/>
    <w:rsid w:val="0035261D"/>
    <w:rsid w:val="003843E3"/>
    <w:rsid w:val="003902DE"/>
    <w:rsid w:val="003A537A"/>
    <w:rsid w:val="00410E78"/>
    <w:rsid w:val="00436B42"/>
    <w:rsid w:val="00455CE8"/>
    <w:rsid w:val="00462401"/>
    <w:rsid w:val="004772C9"/>
    <w:rsid w:val="004903D0"/>
    <w:rsid w:val="00497E10"/>
    <w:rsid w:val="004A0B83"/>
    <w:rsid w:val="004A1EB3"/>
    <w:rsid w:val="004A3FE7"/>
    <w:rsid w:val="004D6BD4"/>
    <w:rsid w:val="005155C0"/>
    <w:rsid w:val="005943A7"/>
    <w:rsid w:val="005A77EA"/>
    <w:rsid w:val="005D2432"/>
    <w:rsid w:val="005F5DFE"/>
    <w:rsid w:val="00602071"/>
    <w:rsid w:val="0061174B"/>
    <w:rsid w:val="00630305"/>
    <w:rsid w:val="0066025A"/>
    <w:rsid w:val="00693AC7"/>
    <w:rsid w:val="006972B5"/>
    <w:rsid w:val="006C0380"/>
    <w:rsid w:val="006D77A9"/>
    <w:rsid w:val="0070629C"/>
    <w:rsid w:val="007421E5"/>
    <w:rsid w:val="00750D35"/>
    <w:rsid w:val="00757A3F"/>
    <w:rsid w:val="00762537"/>
    <w:rsid w:val="00784C6D"/>
    <w:rsid w:val="007C3B12"/>
    <w:rsid w:val="00801558"/>
    <w:rsid w:val="00845A09"/>
    <w:rsid w:val="00847AA6"/>
    <w:rsid w:val="00852CFF"/>
    <w:rsid w:val="0085750A"/>
    <w:rsid w:val="0086114C"/>
    <w:rsid w:val="008708FE"/>
    <w:rsid w:val="00886214"/>
    <w:rsid w:val="008A6BD3"/>
    <w:rsid w:val="008E7E2C"/>
    <w:rsid w:val="00901890"/>
    <w:rsid w:val="00922614"/>
    <w:rsid w:val="00926207"/>
    <w:rsid w:val="00946597"/>
    <w:rsid w:val="009547A9"/>
    <w:rsid w:val="00956C62"/>
    <w:rsid w:val="009A3645"/>
    <w:rsid w:val="009E6BDF"/>
    <w:rsid w:val="00A725E1"/>
    <w:rsid w:val="00A93BE2"/>
    <w:rsid w:val="00AB243E"/>
    <w:rsid w:val="00AC7B46"/>
    <w:rsid w:val="00AE53DD"/>
    <w:rsid w:val="00AF6DCA"/>
    <w:rsid w:val="00B31655"/>
    <w:rsid w:val="00B6065C"/>
    <w:rsid w:val="00B81418"/>
    <w:rsid w:val="00B818CB"/>
    <w:rsid w:val="00BD0DBA"/>
    <w:rsid w:val="00BE2E37"/>
    <w:rsid w:val="00C077E6"/>
    <w:rsid w:val="00C6324F"/>
    <w:rsid w:val="00C96862"/>
    <w:rsid w:val="00CF1842"/>
    <w:rsid w:val="00D170D2"/>
    <w:rsid w:val="00D249ED"/>
    <w:rsid w:val="00D427B7"/>
    <w:rsid w:val="00D55315"/>
    <w:rsid w:val="00D55FE1"/>
    <w:rsid w:val="00D56953"/>
    <w:rsid w:val="00D823FD"/>
    <w:rsid w:val="00DA7F45"/>
    <w:rsid w:val="00E358AC"/>
    <w:rsid w:val="00E67834"/>
    <w:rsid w:val="00E9118F"/>
    <w:rsid w:val="00E94D4F"/>
    <w:rsid w:val="00EF2922"/>
    <w:rsid w:val="00EF4205"/>
    <w:rsid w:val="00F460F1"/>
    <w:rsid w:val="00F84B94"/>
    <w:rsid w:val="00F865DB"/>
    <w:rsid w:val="00F91A05"/>
    <w:rsid w:val="00FA3F2C"/>
    <w:rsid w:val="00FB6E99"/>
    <w:rsid w:val="00FD066C"/>
    <w:rsid w:val="00FE4E86"/>
    <w:rsid w:val="00FF38EB"/>
    <w:rsid w:val="63757F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0"/>
        <o:r id="V:Rule2" type="connector" idref="#肘形连接符 7"/>
        <o:r id="V:Rule3" type="connector" idref="#肘形连接符 8"/>
        <o:r id="V:Rule4" type="connector" idref="#肘形连接符 9"/>
        <o:r id="V:Rule5" type="connector" idref="#肘形连接符 11"/>
        <o:r id="V:Rule6" type="connector" idref="#肘形连接符 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uiPriority w:val="99"/>
    <w:rPr>
      <w:sz w:val="18"/>
      <w:szCs w:val="18"/>
    </w:rPr>
  </w:style>
  <w:style w:type="character" w:customStyle="1" w:styleId="8">
    <w:name w:val="页脚 Char"/>
    <w:link w:val="2"/>
    <w:uiPriority w:val="99"/>
    <w:rPr>
      <w:sz w:val="18"/>
      <w:szCs w:val="18"/>
    </w:rPr>
  </w:style>
  <w:style w:type="table" w:customStyle="1" w:styleId="9">
    <w:name w:val="网格型1"/>
    <w:basedOn w:val="4"/>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2300</Words>
  <Characters>2569</Characters>
  <Lines>23</Lines>
  <Paragraphs>6</Paragraphs>
  <TotalTime>15</TotalTime>
  <ScaleCrop>false</ScaleCrop>
  <LinksUpToDate>false</LinksUpToDate>
  <CharactersWithSpaces>2928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2015-10-12T07:05:00Z</dcterms:created>
  <dc:creator>微软用户</dc:creator>
  <cp:lastModifiedBy>太极箫客</cp:lastModifiedBy>
  <dcterms:modified xsi:type="dcterms:W3CDTF">2025-08-14T06:28:58Z</dcterms:modified>
  <dc:title>临床评价报告模板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799C5806BFE84D96982D1E1A4F897C02_12</vt:lpwstr>
  </property>
</Properties>
</file>