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0E81B">
      <w:pPr>
        <w:pStyle w:val="44"/>
        <w:pBdr>
          <w:top w:val="single" w:color="auto" w:sz="18" w:space="1"/>
        </w:pBdr>
        <w:shd w:val="clear" w:color="auto" w:fill="auto"/>
        <w:overflowPunct w:val="0"/>
        <w:snapToGrid w:val="0"/>
        <w:spacing w:after="0" w:line="300" w:lineRule="auto"/>
        <w:jc w:val="center"/>
        <w:rPr>
          <w:rFonts w:ascii="Arial" w:hAnsi="Arial" w:eastAsia="宋体" w:cs="Arial"/>
          <w:sz w:val="72"/>
          <w:szCs w:val="72"/>
        </w:rPr>
      </w:pPr>
      <w:bookmarkStart w:id="0" w:name="bookmark21"/>
      <w:bookmarkStart w:id="29" w:name="_GoBack"/>
      <w:bookmarkEnd w:id="29"/>
      <w:r>
        <w:rPr>
          <w:rFonts w:ascii="Arial" w:hAnsi="Arial" w:eastAsia="宋体" w:cs="Arial"/>
          <w:sz w:val="72"/>
          <w:szCs w:val="72"/>
        </w:rPr>
        <w:t>临床研究者、</w:t>
      </w:r>
      <w:r>
        <w:rPr>
          <w:rFonts w:hint="eastAsia" w:ascii="Arial" w:hAnsi="Arial" w:eastAsia="宋体" w:cs="Arial"/>
          <w:sz w:val="72"/>
          <w:szCs w:val="72"/>
        </w:rPr>
        <w:t>行业</w:t>
      </w:r>
      <w:r>
        <w:rPr>
          <w:rFonts w:ascii="Arial" w:hAnsi="Arial" w:eastAsia="宋体" w:cs="Arial"/>
          <w:sz w:val="72"/>
          <w:szCs w:val="72"/>
        </w:rPr>
        <w:br w:type="textWrapping"/>
      </w:r>
      <w:r>
        <w:rPr>
          <w:rFonts w:hint="eastAsia" w:ascii="Arial" w:hAnsi="Arial" w:eastAsia="宋体" w:cs="Arial"/>
          <w:sz w:val="72"/>
          <w:szCs w:val="72"/>
        </w:rPr>
        <w:t>及FDA工作人员</w:t>
      </w:r>
      <w:r>
        <w:rPr>
          <w:rFonts w:ascii="Arial" w:hAnsi="Arial" w:eastAsia="宋体" w:cs="Arial"/>
          <w:sz w:val="72"/>
          <w:szCs w:val="72"/>
        </w:rPr>
        <w:t>指南</w:t>
      </w:r>
    </w:p>
    <w:p w14:paraId="3259886B">
      <w:pPr>
        <w:pStyle w:val="44"/>
        <w:shd w:val="clear" w:color="auto" w:fill="auto"/>
        <w:overflowPunct w:val="0"/>
        <w:snapToGrid w:val="0"/>
        <w:spacing w:line="300" w:lineRule="auto"/>
        <w:jc w:val="center"/>
        <w:rPr>
          <w:rFonts w:ascii="Arial" w:hAnsi="Arial" w:eastAsia="宋体" w:cs="Arial"/>
          <w:sz w:val="56"/>
          <w:szCs w:val="56"/>
        </w:rPr>
      </w:pPr>
      <w:r>
        <w:rPr>
          <w:rFonts w:ascii="Arial" w:hAnsi="Arial" w:eastAsia="宋体" w:cs="Arial"/>
          <w:sz w:val="56"/>
          <w:szCs w:val="56"/>
        </w:rPr>
        <w:t>临床研究者财务披露</w:t>
      </w:r>
    </w:p>
    <w:p w14:paraId="29CBB595">
      <w:pPr>
        <w:pStyle w:val="44"/>
        <w:shd w:val="clear" w:color="auto" w:fill="auto"/>
        <w:overflowPunct w:val="0"/>
        <w:snapToGrid w:val="0"/>
        <w:spacing w:line="300" w:lineRule="auto"/>
        <w:jc w:val="center"/>
        <w:rPr>
          <w:rFonts w:ascii="Arial" w:hAnsi="Arial" w:eastAsia="宋体" w:cs="Arial"/>
          <w:sz w:val="56"/>
          <w:szCs w:val="56"/>
        </w:rPr>
      </w:pPr>
    </w:p>
    <w:p w14:paraId="601ACD99">
      <w:pPr>
        <w:pStyle w:val="44"/>
        <w:shd w:val="clear" w:color="auto" w:fill="auto"/>
        <w:overflowPunct w:val="0"/>
        <w:snapToGrid w:val="0"/>
        <w:spacing w:line="300" w:lineRule="auto"/>
        <w:jc w:val="center"/>
        <w:rPr>
          <w:rFonts w:ascii="Arial" w:hAnsi="Arial" w:eastAsia="宋体" w:cs="Arial"/>
          <w:sz w:val="56"/>
          <w:szCs w:val="56"/>
        </w:rPr>
      </w:pPr>
    </w:p>
    <w:p w14:paraId="7BA8C45E">
      <w:pPr>
        <w:pStyle w:val="44"/>
        <w:shd w:val="clear" w:color="auto" w:fill="auto"/>
        <w:overflowPunct w:val="0"/>
        <w:snapToGrid w:val="0"/>
        <w:spacing w:line="300" w:lineRule="auto"/>
        <w:jc w:val="center"/>
        <w:rPr>
          <w:rFonts w:ascii="Arial" w:hAnsi="Arial" w:eastAsia="宋体" w:cs="Arial"/>
          <w:sz w:val="56"/>
          <w:szCs w:val="56"/>
        </w:rPr>
      </w:pPr>
    </w:p>
    <w:p w14:paraId="3580CD4E">
      <w:pPr>
        <w:pStyle w:val="44"/>
        <w:shd w:val="clear" w:color="auto" w:fill="auto"/>
        <w:overflowPunct w:val="0"/>
        <w:snapToGrid w:val="0"/>
        <w:spacing w:line="300" w:lineRule="auto"/>
        <w:jc w:val="center"/>
        <w:rPr>
          <w:rFonts w:ascii="Arial" w:hAnsi="Arial" w:eastAsia="宋体" w:cs="Arial"/>
          <w:sz w:val="56"/>
          <w:szCs w:val="56"/>
        </w:rPr>
      </w:pPr>
    </w:p>
    <w:p w14:paraId="562922EB">
      <w:pPr>
        <w:pStyle w:val="44"/>
        <w:overflowPunct w:val="0"/>
        <w:snapToGrid w:val="0"/>
        <w:spacing w:after="0" w:line="300" w:lineRule="auto"/>
        <w:jc w:val="center"/>
        <w:rPr>
          <w:rFonts w:ascii="Arial" w:hAnsi="Arial" w:eastAsia="宋体" w:cs="Arial"/>
          <w:sz w:val="30"/>
          <w:szCs w:val="30"/>
        </w:rPr>
      </w:pPr>
      <w:r>
        <w:rPr>
          <w:rFonts w:ascii="Arial" w:hAnsi="Arial" w:eastAsia="宋体" w:cs="Arial"/>
          <w:sz w:val="30"/>
          <w:szCs w:val="30"/>
        </w:rPr>
        <w:t>美国卫生和</w:t>
      </w:r>
      <w:r>
        <w:rPr>
          <w:rFonts w:hint="eastAsia" w:ascii="Arial" w:hAnsi="Arial" w:eastAsia="宋体" w:cs="Arial"/>
          <w:sz w:val="30"/>
          <w:szCs w:val="30"/>
        </w:rPr>
        <w:t>人类</w:t>
      </w:r>
      <w:r>
        <w:rPr>
          <w:rFonts w:ascii="Arial" w:hAnsi="Arial" w:eastAsia="宋体" w:cs="Arial"/>
          <w:sz w:val="30"/>
          <w:szCs w:val="30"/>
        </w:rPr>
        <w:t>服务</w:t>
      </w:r>
      <w:r>
        <w:rPr>
          <w:rFonts w:hint="eastAsia" w:ascii="Arial" w:hAnsi="Arial" w:eastAsia="宋体" w:cs="Arial"/>
          <w:sz w:val="30"/>
          <w:szCs w:val="30"/>
        </w:rPr>
        <w:t>署</w:t>
      </w:r>
    </w:p>
    <w:p w14:paraId="2E0C52CC">
      <w:pPr>
        <w:pStyle w:val="44"/>
        <w:overflowPunct w:val="0"/>
        <w:snapToGrid w:val="0"/>
        <w:spacing w:after="0" w:line="300" w:lineRule="auto"/>
        <w:jc w:val="center"/>
        <w:rPr>
          <w:rFonts w:ascii="Arial" w:hAnsi="Arial" w:eastAsia="宋体" w:cs="Arial"/>
          <w:sz w:val="30"/>
          <w:szCs w:val="30"/>
        </w:rPr>
      </w:pPr>
      <w:r>
        <w:rPr>
          <w:rFonts w:ascii="Arial" w:hAnsi="Arial" w:eastAsia="宋体" w:cs="Arial"/>
          <w:sz w:val="30"/>
          <w:szCs w:val="30"/>
        </w:rPr>
        <w:t>食品药品监督管理局</w:t>
      </w:r>
    </w:p>
    <w:p w14:paraId="252841B1">
      <w:pPr>
        <w:pStyle w:val="44"/>
        <w:overflowPunct w:val="0"/>
        <w:snapToGrid w:val="0"/>
        <w:spacing w:after="0" w:line="300" w:lineRule="auto"/>
        <w:jc w:val="center"/>
        <w:rPr>
          <w:rFonts w:ascii="Arial" w:hAnsi="Arial" w:eastAsia="宋体" w:cs="Arial"/>
          <w:sz w:val="30"/>
          <w:szCs w:val="30"/>
        </w:rPr>
      </w:pPr>
      <w:r>
        <w:rPr>
          <w:rFonts w:ascii="Arial" w:hAnsi="Arial" w:eastAsia="宋体" w:cs="Arial"/>
          <w:sz w:val="30"/>
          <w:szCs w:val="30"/>
        </w:rPr>
        <w:t>良好临床实践办公室</w:t>
      </w:r>
    </w:p>
    <w:p w14:paraId="20FFBBC4">
      <w:pPr>
        <w:pStyle w:val="44"/>
        <w:overflowPunct w:val="0"/>
        <w:snapToGrid w:val="0"/>
        <w:spacing w:after="0" w:line="300" w:lineRule="auto"/>
        <w:jc w:val="center"/>
        <w:rPr>
          <w:rFonts w:ascii="Arial" w:hAnsi="Arial" w:eastAsia="宋体" w:cs="Arial"/>
          <w:sz w:val="30"/>
          <w:szCs w:val="30"/>
        </w:rPr>
      </w:pPr>
      <w:r>
        <w:rPr>
          <w:rFonts w:ascii="Arial" w:hAnsi="Arial" w:eastAsia="宋体" w:cs="Arial"/>
          <w:sz w:val="30"/>
          <w:szCs w:val="30"/>
        </w:rPr>
        <w:t>药物评估和研究中心</w:t>
      </w:r>
    </w:p>
    <w:p w14:paraId="70DC2183">
      <w:pPr>
        <w:pStyle w:val="44"/>
        <w:overflowPunct w:val="0"/>
        <w:snapToGrid w:val="0"/>
        <w:spacing w:after="0" w:line="300" w:lineRule="auto"/>
        <w:jc w:val="center"/>
        <w:rPr>
          <w:rFonts w:ascii="Arial" w:hAnsi="Arial" w:eastAsia="宋体" w:cs="Arial"/>
          <w:sz w:val="30"/>
          <w:szCs w:val="30"/>
        </w:rPr>
      </w:pPr>
      <w:r>
        <w:rPr>
          <w:rFonts w:ascii="Arial" w:hAnsi="Arial" w:eastAsia="宋体" w:cs="Arial"/>
          <w:sz w:val="30"/>
          <w:szCs w:val="30"/>
        </w:rPr>
        <w:t>生物制剂评估和研究中心</w:t>
      </w:r>
    </w:p>
    <w:p w14:paraId="7F2FCCFE">
      <w:pPr>
        <w:pStyle w:val="44"/>
        <w:shd w:val="clear" w:color="auto" w:fill="auto"/>
        <w:overflowPunct w:val="0"/>
        <w:snapToGrid w:val="0"/>
        <w:spacing w:after="0" w:line="300" w:lineRule="auto"/>
        <w:jc w:val="center"/>
        <w:rPr>
          <w:rFonts w:ascii="Arial" w:hAnsi="Arial" w:eastAsia="宋体" w:cs="Arial"/>
          <w:sz w:val="30"/>
          <w:szCs w:val="30"/>
        </w:rPr>
      </w:pPr>
      <w:r>
        <w:rPr>
          <w:rFonts w:ascii="Arial" w:hAnsi="Arial" w:eastAsia="宋体" w:cs="Arial"/>
          <w:sz w:val="30"/>
          <w:szCs w:val="30"/>
        </w:rPr>
        <w:t>器械和放射卫生中心</w:t>
      </w:r>
    </w:p>
    <w:p w14:paraId="433CC6C9">
      <w:pPr>
        <w:pStyle w:val="44"/>
        <w:shd w:val="clear" w:color="auto" w:fill="auto"/>
        <w:overflowPunct w:val="0"/>
        <w:snapToGrid w:val="0"/>
        <w:spacing w:after="0" w:line="300" w:lineRule="auto"/>
        <w:jc w:val="center"/>
        <w:rPr>
          <w:rFonts w:ascii="Arial" w:hAnsi="Arial" w:eastAsia="宋体" w:cs="Arial"/>
          <w:sz w:val="30"/>
          <w:szCs w:val="30"/>
        </w:rPr>
      </w:pPr>
    </w:p>
    <w:p w14:paraId="39FA8E4D">
      <w:pPr>
        <w:pStyle w:val="44"/>
        <w:shd w:val="clear" w:color="auto" w:fill="auto"/>
        <w:overflowPunct w:val="0"/>
        <w:snapToGrid w:val="0"/>
        <w:spacing w:after="0" w:line="300" w:lineRule="auto"/>
        <w:jc w:val="center"/>
        <w:rPr>
          <w:rFonts w:ascii="Arial" w:hAnsi="Arial" w:eastAsia="宋体" w:cs="Arial"/>
          <w:sz w:val="30"/>
          <w:szCs w:val="30"/>
        </w:rPr>
      </w:pPr>
      <w:r>
        <w:rPr>
          <w:rFonts w:ascii="Arial" w:hAnsi="Arial" w:eastAsia="宋体" w:cs="Arial"/>
          <w:sz w:val="30"/>
          <w:szCs w:val="30"/>
        </w:rPr>
        <w:t>2013年2月</w:t>
      </w:r>
    </w:p>
    <w:p w14:paraId="29CCEE9B">
      <w:pPr>
        <w:overflowPunct w:val="0"/>
        <w:snapToGrid w:val="0"/>
        <w:spacing w:after="0" w:line="300" w:lineRule="auto"/>
        <w:rPr>
          <w:rFonts w:ascii="Arial" w:hAnsi="Arial" w:eastAsia="宋体" w:cs="Arial"/>
          <w:sz w:val="30"/>
          <w:szCs w:val="30"/>
        </w:rPr>
        <w:sectPr>
          <w:pgSz w:w="11906" w:h="16838"/>
          <w:pgMar w:top="1440" w:right="1800" w:bottom="1440" w:left="1800" w:header="851" w:footer="992" w:gutter="0"/>
          <w:cols w:space="425" w:num="1"/>
          <w:docGrid w:type="lines" w:linePitch="312" w:charSpace="0"/>
        </w:sectPr>
      </w:pPr>
    </w:p>
    <w:p w14:paraId="42F97CCF">
      <w:pPr>
        <w:pStyle w:val="44"/>
        <w:shd w:val="clear" w:color="auto" w:fill="auto"/>
        <w:overflowPunct w:val="0"/>
        <w:snapToGrid w:val="0"/>
        <w:spacing w:after="0" w:line="300" w:lineRule="auto"/>
        <w:jc w:val="center"/>
        <w:rPr>
          <w:rFonts w:ascii="Arial" w:hAnsi="Arial" w:eastAsia="宋体" w:cs="Arial"/>
        </w:rPr>
      </w:pPr>
      <w:r>
        <w:rPr>
          <w:rFonts w:ascii="Arial" w:hAnsi="Arial" w:eastAsia="宋体" w:cs="Arial"/>
        </w:rPr>
        <w:t>临床研究者、</w:t>
      </w:r>
      <w:r>
        <w:rPr>
          <w:rFonts w:hint="eastAsia" w:ascii="Arial" w:hAnsi="Arial" w:eastAsia="宋体" w:cs="Arial"/>
        </w:rPr>
        <w:t>行业及FDA工作人员</w:t>
      </w:r>
      <w:r>
        <w:rPr>
          <w:rFonts w:ascii="Arial" w:hAnsi="Arial" w:eastAsia="宋体" w:cs="Arial"/>
        </w:rPr>
        <w:t>指南</w:t>
      </w:r>
    </w:p>
    <w:p w14:paraId="452D9195">
      <w:pPr>
        <w:pStyle w:val="44"/>
        <w:shd w:val="clear" w:color="auto" w:fill="auto"/>
        <w:overflowPunct w:val="0"/>
        <w:snapToGrid w:val="0"/>
        <w:spacing w:line="300" w:lineRule="auto"/>
        <w:jc w:val="center"/>
        <w:rPr>
          <w:rFonts w:ascii="Arial" w:hAnsi="Arial" w:eastAsia="宋体" w:cs="Arial"/>
          <w:sz w:val="50"/>
          <w:szCs w:val="50"/>
        </w:rPr>
      </w:pPr>
      <w:r>
        <w:rPr>
          <w:rFonts w:ascii="Arial" w:hAnsi="Arial" w:eastAsia="宋体" w:cs="Arial"/>
          <w:sz w:val="50"/>
          <w:szCs w:val="50"/>
        </w:rPr>
        <w:t>临床研究者财务披露</w:t>
      </w:r>
    </w:p>
    <w:p w14:paraId="7CB606EF">
      <w:pPr>
        <w:pStyle w:val="44"/>
        <w:overflowPunct w:val="0"/>
        <w:adjustRightInd w:val="0"/>
        <w:snapToGrid w:val="0"/>
        <w:spacing w:after="0" w:line="300" w:lineRule="auto"/>
        <w:jc w:val="center"/>
        <w:rPr>
          <w:rFonts w:ascii="Arial" w:hAnsi="Arial" w:eastAsia="宋体" w:cs="Arial"/>
          <w:b w:val="0"/>
          <w:i/>
          <w:sz w:val="18"/>
          <w:szCs w:val="18"/>
        </w:rPr>
      </w:pPr>
      <w:r>
        <w:rPr>
          <w:rFonts w:ascii="Arial" w:hAnsi="Arial" w:eastAsia="宋体" w:cs="Arial"/>
          <w:b w:val="0"/>
          <w:i/>
          <w:sz w:val="18"/>
          <w:szCs w:val="18"/>
        </w:rPr>
        <w:t>其他副本可</w:t>
      </w:r>
      <w:r>
        <w:rPr>
          <w:rFonts w:hint="eastAsia" w:ascii="Arial" w:hAnsi="Arial" w:eastAsia="宋体" w:cs="Arial"/>
          <w:b w:val="0"/>
          <w:i/>
          <w:sz w:val="18"/>
          <w:szCs w:val="18"/>
        </w:rPr>
        <w:t>通过以下方式获得</w:t>
      </w:r>
      <w:r>
        <w:rPr>
          <w:rFonts w:ascii="Arial" w:hAnsi="Arial" w:eastAsia="宋体" w:cs="Arial"/>
          <w:b w:val="0"/>
          <w:i/>
          <w:sz w:val="18"/>
          <w:szCs w:val="18"/>
        </w:rPr>
        <w:t>：</w:t>
      </w:r>
    </w:p>
    <w:p w14:paraId="77CC33A1">
      <w:pPr>
        <w:pStyle w:val="44"/>
        <w:overflowPunct w:val="0"/>
        <w:adjustRightInd w:val="0"/>
        <w:snapToGrid w:val="0"/>
        <w:spacing w:after="0" w:line="300" w:lineRule="auto"/>
        <w:jc w:val="center"/>
        <w:rPr>
          <w:rFonts w:ascii="Arial" w:hAnsi="Arial" w:eastAsia="宋体" w:cs="Arial"/>
          <w:b w:val="0"/>
          <w:i/>
          <w:sz w:val="18"/>
          <w:szCs w:val="18"/>
        </w:rPr>
      </w:pPr>
      <w:r>
        <w:rPr>
          <w:rFonts w:ascii="Arial" w:hAnsi="Arial" w:eastAsia="宋体" w:cs="Arial"/>
          <w:b w:val="0"/>
          <w:i/>
          <w:sz w:val="18"/>
          <w:szCs w:val="18"/>
        </w:rPr>
        <w:t>交流办公室，药物信息司，51幢，2201室</w:t>
      </w:r>
    </w:p>
    <w:p w14:paraId="3D314D2F">
      <w:pPr>
        <w:pStyle w:val="44"/>
        <w:shd w:val="clear" w:color="auto" w:fill="auto"/>
        <w:overflowPunct w:val="0"/>
        <w:adjustRightInd w:val="0"/>
        <w:snapToGrid w:val="0"/>
        <w:spacing w:after="0" w:line="300" w:lineRule="auto"/>
        <w:jc w:val="center"/>
        <w:rPr>
          <w:rFonts w:ascii="Arial" w:hAnsi="Arial" w:eastAsia="宋体" w:cs="Arial"/>
          <w:b w:val="0"/>
          <w:i/>
          <w:sz w:val="18"/>
          <w:szCs w:val="18"/>
        </w:rPr>
      </w:pPr>
      <w:r>
        <w:rPr>
          <w:rFonts w:ascii="Arial" w:hAnsi="Arial" w:eastAsia="宋体" w:cs="Arial"/>
          <w:b w:val="0"/>
          <w:i/>
          <w:sz w:val="18"/>
          <w:szCs w:val="18"/>
        </w:rPr>
        <w:t>药物评估和研究中心</w:t>
      </w:r>
    </w:p>
    <w:p w14:paraId="20E06E88">
      <w:pPr>
        <w:pStyle w:val="44"/>
        <w:shd w:val="clear" w:color="auto" w:fill="auto"/>
        <w:overflowPunct w:val="0"/>
        <w:adjustRightInd w:val="0"/>
        <w:snapToGrid w:val="0"/>
        <w:spacing w:after="0" w:line="300" w:lineRule="auto"/>
        <w:jc w:val="center"/>
        <w:rPr>
          <w:rFonts w:ascii="Arial" w:hAnsi="Arial" w:eastAsia="宋体" w:cs="Arial"/>
          <w:b w:val="0"/>
          <w:i/>
          <w:sz w:val="18"/>
          <w:szCs w:val="18"/>
        </w:rPr>
      </w:pPr>
      <w:r>
        <w:rPr>
          <w:rFonts w:ascii="Arial" w:hAnsi="Arial" w:eastAsia="宋体" w:cs="Arial"/>
          <w:b w:val="0"/>
          <w:i/>
          <w:sz w:val="18"/>
          <w:szCs w:val="18"/>
        </w:rPr>
        <w:t>食品药品监督管理局</w:t>
      </w:r>
    </w:p>
    <w:p w14:paraId="39F090C3">
      <w:pPr>
        <w:pStyle w:val="47"/>
        <w:shd w:val="clear" w:color="auto" w:fill="auto"/>
        <w:overflowPunct w:val="0"/>
        <w:adjustRightInd w:val="0"/>
        <w:snapToGrid w:val="0"/>
        <w:spacing w:after="0" w:line="300" w:lineRule="auto"/>
        <w:rPr>
          <w:rFonts w:ascii="Arial" w:hAnsi="Arial" w:eastAsia="宋体" w:cs="Arial"/>
          <w:sz w:val="18"/>
          <w:szCs w:val="18"/>
        </w:rPr>
      </w:pPr>
      <w:r>
        <w:rPr>
          <w:rFonts w:ascii="Arial" w:hAnsi="Arial" w:eastAsia="宋体" w:cs="Arial"/>
          <w:sz w:val="18"/>
          <w:szCs w:val="18"/>
        </w:rPr>
        <w:t>10903 New Hampshire Avenue, Bldg. 51, rm. 2201, Silver Spring, MD 20993-0002</w:t>
      </w:r>
      <w:r>
        <w:rPr>
          <w:rFonts w:ascii="Arial" w:hAnsi="Arial" w:eastAsia="宋体" w:cs="Arial"/>
          <w:sz w:val="18"/>
          <w:szCs w:val="18"/>
        </w:rPr>
        <w:br w:type="textWrapping"/>
      </w:r>
      <w:r>
        <w:rPr>
          <w:rFonts w:ascii="Arial" w:hAnsi="Arial" w:eastAsia="宋体" w:cs="Arial"/>
          <w:sz w:val="18"/>
          <w:szCs w:val="18"/>
        </w:rPr>
        <w:t>电话：301-796-3400</w:t>
      </w:r>
      <w:r>
        <w:rPr>
          <w:rFonts w:hint="eastAsia" w:ascii="Arial" w:hAnsi="Arial" w:eastAsia="宋体" w:cs="Arial"/>
          <w:sz w:val="18"/>
          <w:szCs w:val="18"/>
        </w:rPr>
        <w:t>；</w:t>
      </w:r>
      <w:r>
        <w:rPr>
          <w:rFonts w:ascii="Arial" w:hAnsi="Arial" w:eastAsia="宋体" w:cs="Arial"/>
          <w:sz w:val="18"/>
          <w:szCs w:val="18"/>
        </w:rPr>
        <w:t>传真</w:t>
      </w:r>
      <w:r>
        <w:rPr>
          <w:rFonts w:hint="eastAsia" w:ascii="Arial" w:hAnsi="Arial" w:eastAsia="宋体" w:cs="Arial"/>
          <w:sz w:val="18"/>
          <w:szCs w:val="18"/>
        </w:rPr>
        <w:t>：</w:t>
      </w:r>
      <w:r>
        <w:rPr>
          <w:rFonts w:ascii="Arial" w:hAnsi="Arial" w:eastAsia="宋体" w:cs="Arial"/>
          <w:sz w:val="18"/>
          <w:szCs w:val="18"/>
        </w:rPr>
        <w:t>301-847-8714；E-mail：</w:t>
      </w:r>
      <w:r>
        <w:fldChar w:fldCharType="begin"/>
      </w:r>
      <w:r>
        <w:instrText xml:space="preserve"> HYPERLINK "mailto:druginfo@fda.hhs.gov" </w:instrText>
      </w:r>
      <w:r>
        <w:fldChar w:fldCharType="separate"/>
      </w:r>
      <w:r>
        <w:rPr>
          <w:rStyle w:val="23"/>
          <w:rFonts w:ascii="Arial" w:hAnsi="Arial" w:eastAsia="宋体" w:cs="Arial"/>
          <w:color w:val="0000FF"/>
          <w:sz w:val="18"/>
          <w:szCs w:val="18"/>
        </w:rPr>
        <w:t>druginfo@fda.hhs.gov</w:t>
      </w:r>
      <w:r>
        <w:rPr>
          <w:rStyle w:val="23"/>
          <w:rFonts w:ascii="Arial" w:hAnsi="Arial" w:eastAsia="宋体" w:cs="Arial"/>
          <w:color w:val="0000FF"/>
          <w:sz w:val="18"/>
          <w:szCs w:val="18"/>
        </w:rPr>
        <w:fldChar w:fldCharType="end"/>
      </w:r>
      <w:r>
        <w:rPr>
          <w:rFonts w:ascii="Arial" w:hAnsi="Arial" w:eastAsia="宋体" w:cs="Arial"/>
          <w:sz w:val="18"/>
          <w:szCs w:val="18"/>
        </w:rPr>
        <w:br w:type="textWrapping"/>
      </w:r>
      <w:r>
        <w:fldChar w:fldCharType="begin"/>
      </w:r>
      <w:r>
        <w:instrText xml:space="preserve"> HYPERLINK "http://www.fda.gov/Drugs/GuidanceComplianceRegulatoryInformation/Guidances/default.htm" </w:instrText>
      </w:r>
      <w:r>
        <w:fldChar w:fldCharType="separate"/>
      </w:r>
      <w:r>
        <w:rPr>
          <w:rStyle w:val="23"/>
          <w:rFonts w:ascii="Arial" w:hAnsi="Arial" w:eastAsia="宋体" w:cs="Arial"/>
          <w:color w:val="0000FF"/>
          <w:sz w:val="18"/>
          <w:szCs w:val="18"/>
        </w:rPr>
        <w:t>http://www.fda.sov/Druss/GuidanceComplianceResulatoryInformation/Guidances/default.htm</w:t>
      </w:r>
      <w:r>
        <w:rPr>
          <w:rStyle w:val="23"/>
          <w:rFonts w:ascii="Arial" w:hAnsi="Arial" w:eastAsia="宋体" w:cs="Arial"/>
          <w:color w:val="0000FF"/>
          <w:sz w:val="18"/>
          <w:szCs w:val="18"/>
        </w:rPr>
        <w:fldChar w:fldCharType="end"/>
      </w:r>
    </w:p>
    <w:p w14:paraId="20FBA013">
      <w:pPr>
        <w:pStyle w:val="47"/>
        <w:shd w:val="clear" w:color="auto" w:fill="auto"/>
        <w:overflowPunct w:val="0"/>
        <w:adjustRightInd w:val="0"/>
        <w:snapToGrid w:val="0"/>
        <w:spacing w:after="0" w:line="300" w:lineRule="auto"/>
        <w:rPr>
          <w:rFonts w:ascii="Arial" w:hAnsi="Arial" w:eastAsia="宋体" w:cs="Arial"/>
          <w:sz w:val="18"/>
          <w:szCs w:val="18"/>
        </w:rPr>
      </w:pPr>
      <w:r>
        <w:rPr>
          <w:rFonts w:ascii="Arial" w:hAnsi="Arial" w:eastAsia="宋体" w:cs="Arial"/>
          <w:sz w:val="18"/>
          <w:szCs w:val="18"/>
        </w:rPr>
        <w:t>和/或</w:t>
      </w:r>
    </w:p>
    <w:p w14:paraId="74546238">
      <w:pPr>
        <w:pStyle w:val="44"/>
        <w:shd w:val="clear" w:color="auto" w:fill="auto"/>
        <w:overflowPunct w:val="0"/>
        <w:adjustRightInd w:val="0"/>
        <w:snapToGrid w:val="0"/>
        <w:spacing w:after="0" w:line="300" w:lineRule="auto"/>
        <w:jc w:val="center"/>
        <w:rPr>
          <w:rFonts w:ascii="Arial" w:hAnsi="Arial" w:eastAsia="宋体" w:cs="Arial"/>
          <w:b w:val="0"/>
          <w:i/>
          <w:sz w:val="18"/>
          <w:szCs w:val="18"/>
        </w:rPr>
      </w:pPr>
      <w:r>
        <w:rPr>
          <w:rFonts w:ascii="Arial" w:hAnsi="Arial" w:eastAsia="宋体" w:cs="Arial"/>
          <w:b w:val="0"/>
          <w:bCs w:val="0"/>
          <w:i/>
          <w:iCs/>
          <w:sz w:val="18"/>
          <w:szCs w:val="18"/>
        </w:rPr>
        <w:t>交流、推广和发展办公室，HFM-40</w:t>
      </w:r>
      <w:r>
        <w:rPr>
          <w:rFonts w:ascii="Arial" w:hAnsi="Arial" w:eastAsia="宋体" w:cs="Arial"/>
          <w:b w:val="0"/>
          <w:bCs w:val="0"/>
          <w:i/>
          <w:iCs/>
          <w:sz w:val="18"/>
          <w:szCs w:val="18"/>
        </w:rPr>
        <w:br w:type="textWrapping"/>
      </w:r>
      <w:r>
        <w:rPr>
          <w:rFonts w:ascii="Arial" w:hAnsi="Arial" w:eastAsia="宋体" w:cs="Arial"/>
          <w:b w:val="0"/>
          <w:i/>
          <w:sz w:val="18"/>
          <w:szCs w:val="18"/>
        </w:rPr>
        <w:t>生物制剂评估和研究中心</w:t>
      </w:r>
    </w:p>
    <w:p w14:paraId="33CFB9BE">
      <w:pPr>
        <w:pStyle w:val="47"/>
        <w:shd w:val="clear" w:color="auto" w:fill="auto"/>
        <w:overflowPunct w:val="0"/>
        <w:adjustRightInd w:val="0"/>
        <w:snapToGrid w:val="0"/>
        <w:spacing w:after="0" w:line="300" w:lineRule="auto"/>
        <w:rPr>
          <w:rFonts w:ascii="Arial" w:hAnsi="Arial" w:eastAsia="宋体" w:cs="Arial"/>
          <w:sz w:val="18"/>
          <w:szCs w:val="18"/>
        </w:rPr>
      </w:pPr>
      <w:r>
        <w:rPr>
          <w:rFonts w:ascii="Arial" w:hAnsi="Arial" w:eastAsia="宋体" w:cs="Arial"/>
          <w:sz w:val="18"/>
          <w:szCs w:val="18"/>
        </w:rPr>
        <w:t>食品药品监督管理局</w:t>
      </w:r>
      <w:r>
        <w:rPr>
          <w:rFonts w:ascii="Arial" w:hAnsi="Arial" w:eastAsia="宋体" w:cs="Arial"/>
          <w:sz w:val="18"/>
          <w:szCs w:val="18"/>
        </w:rPr>
        <w:br w:type="textWrapping"/>
      </w:r>
      <w:r>
        <w:rPr>
          <w:rFonts w:ascii="Arial" w:hAnsi="Arial" w:eastAsia="宋体" w:cs="Arial"/>
          <w:sz w:val="18"/>
          <w:szCs w:val="18"/>
        </w:rPr>
        <w:t>1401 Rockville Pike, Rockville, MD 20852-1448</w:t>
      </w:r>
      <w:r>
        <w:rPr>
          <w:rFonts w:ascii="Arial" w:hAnsi="Arial" w:eastAsia="宋体" w:cs="Arial"/>
          <w:sz w:val="18"/>
          <w:szCs w:val="18"/>
        </w:rPr>
        <w:br w:type="textWrapping"/>
      </w:r>
      <w:r>
        <w:rPr>
          <w:rFonts w:ascii="Arial" w:hAnsi="Arial" w:eastAsia="宋体" w:cs="Arial"/>
          <w:sz w:val="18"/>
          <w:szCs w:val="18"/>
        </w:rPr>
        <w:t>电话：800-835-4709或301-827-1800；</w:t>
      </w:r>
      <w:bookmarkStart w:id="1" w:name="OLE_LINK1"/>
      <w:bookmarkStart w:id="2" w:name="OLE_LINK2"/>
      <w:r>
        <w:rPr>
          <w:rFonts w:hint="eastAsia" w:ascii="Arial" w:hAnsi="Arial" w:eastAsia="宋体" w:cs="Arial"/>
          <w:sz w:val="18"/>
          <w:szCs w:val="18"/>
        </w:rPr>
        <w:t>电子邮箱</w:t>
      </w:r>
      <w:bookmarkEnd w:id="1"/>
      <w:bookmarkEnd w:id="2"/>
      <w:r>
        <w:rPr>
          <w:rFonts w:ascii="Arial" w:hAnsi="Arial" w:eastAsia="宋体" w:cs="Arial"/>
          <w:sz w:val="18"/>
          <w:szCs w:val="18"/>
        </w:rPr>
        <w:t>：</w:t>
      </w:r>
      <w:r>
        <w:fldChar w:fldCharType="begin"/>
      </w:r>
      <w:r>
        <w:instrText xml:space="preserve"> HYPERLINK "mailto:ocod@fda.hhs.gov" </w:instrText>
      </w:r>
      <w:r>
        <w:fldChar w:fldCharType="separate"/>
      </w:r>
      <w:r>
        <w:rPr>
          <w:rStyle w:val="23"/>
          <w:rFonts w:ascii="Arial" w:hAnsi="Arial" w:eastAsia="宋体" w:cs="Arial"/>
          <w:color w:val="0000FF"/>
          <w:sz w:val="18"/>
          <w:szCs w:val="18"/>
        </w:rPr>
        <w:t>ocod@fda.hhs.gov</w:t>
      </w:r>
      <w:r>
        <w:rPr>
          <w:rStyle w:val="23"/>
          <w:rFonts w:ascii="Arial" w:hAnsi="Arial" w:eastAsia="宋体" w:cs="Arial"/>
          <w:color w:val="0000FF"/>
          <w:sz w:val="18"/>
          <w:szCs w:val="18"/>
        </w:rPr>
        <w:fldChar w:fldCharType="end"/>
      </w:r>
      <w:r>
        <w:rPr>
          <w:rFonts w:ascii="Arial" w:hAnsi="Arial" w:eastAsia="宋体" w:cs="Arial"/>
          <w:sz w:val="18"/>
          <w:szCs w:val="18"/>
        </w:rPr>
        <w:br w:type="textWrapping"/>
      </w:r>
      <w:r>
        <w:fldChar w:fldCharType="begin"/>
      </w:r>
      <w:r>
        <w:instrText xml:space="preserve"> HYPERLINK "http://www.fda.gov/BiologicsBloodVaccines/GuidanceComplianceRegulatoryInformation/Guidances/default.htm" </w:instrText>
      </w:r>
      <w:r>
        <w:fldChar w:fldCharType="separate"/>
      </w:r>
      <w:r>
        <w:rPr>
          <w:rStyle w:val="23"/>
          <w:rFonts w:ascii="Arial" w:hAnsi="Arial" w:eastAsia="宋体" w:cs="Arial"/>
          <w:color w:val="0000FF"/>
          <w:sz w:val="18"/>
          <w:szCs w:val="18"/>
        </w:rPr>
        <w:t>http://www.fda.sov/BiolosicsBloodVaccines/GuidanceComplianceResulatoryInformation/Guidances/default.htm</w:t>
      </w:r>
      <w:r>
        <w:rPr>
          <w:rStyle w:val="23"/>
          <w:rFonts w:ascii="Arial" w:hAnsi="Arial" w:eastAsia="宋体" w:cs="Arial"/>
          <w:color w:val="0000FF"/>
          <w:sz w:val="18"/>
          <w:szCs w:val="18"/>
        </w:rPr>
        <w:fldChar w:fldCharType="end"/>
      </w:r>
    </w:p>
    <w:p w14:paraId="69B4A5D0">
      <w:pPr>
        <w:pStyle w:val="47"/>
        <w:shd w:val="clear" w:color="auto" w:fill="auto"/>
        <w:overflowPunct w:val="0"/>
        <w:adjustRightInd w:val="0"/>
        <w:snapToGrid w:val="0"/>
        <w:spacing w:after="0" w:line="300" w:lineRule="auto"/>
        <w:rPr>
          <w:rFonts w:ascii="Arial" w:hAnsi="Arial" w:eastAsia="宋体" w:cs="Arial"/>
          <w:sz w:val="18"/>
          <w:szCs w:val="18"/>
        </w:rPr>
      </w:pPr>
      <w:r>
        <w:rPr>
          <w:rFonts w:ascii="Arial" w:hAnsi="Arial" w:eastAsia="宋体" w:cs="Arial"/>
          <w:sz w:val="18"/>
          <w:szCs w:val="18"/>
        </w:rPr>
        <w:t>和/或</w:t>
      </w:r>
    </w:p>
    <w:p w14:paraId="733A2581">
      <w:pPr>
        <w:pStyle w:val="47"/>
        <w:shd w:val="clear" w:color="auto" w:fill="auto"/>
        <w:overflowPunct w:val="0"/>
        <w:adjustRightInd w:val="0"/>
        <w:snapToGrid w:val="0"/>
        <w:spacing w:after="0" w:line="300" w:lineRule="auto"/>
        <w:rPr>
          <w:rFonts w:ascii="Arial" w:hAnsi="Arial" w:eastAsia="宋体" w:cs="Arial"/>
          <w:sz w:val="18"/>
          <w:szCs w:val="18"/>
        </w:rPr>
      </w:pPr>
      <w:r>
        <w:rPr>
          <w:rFonts w:ascii="Arial" w:hAnsi="Arial" w:eastAsia="宋体" w:cs="Arial"/>
          <w:sz w:val="18"/>
          <w:szCs w:val="18"/>
        </w:rPr>
        <w:t>小制造商、国际和消费者援助司</w:t>
      </w:r>
      <w:r>
        <w:rPr>
          <w:rFonts w:ascii="Arial" w:hAnsi="Arial" w:eastAsia="宋体" w:cs="Arial"/>
          <w:sz w:val="18"/>
          <w:szCs w:val="18"/>
        </w:rPr>
        <w:br w:type="textWrapping"/>
      </w:r>
      <w:r>
        <w:rPr>
          <w:rFonts w:ascii="Arial" w:hAnsi="Arial" w:eastAsia="宋体" w:cs="Arial"/>
          <w:sz w:val="18"/>
          <w:szCs w:val="18"/>
        </w:rPr>
        <w:t>器械和放射卫生中心</w:t>
      </w:r>
      <w:r>
        <w:rPr>
          <w:rFonts w:ascii="Arial" w:hAnsi="Arial" w:eastAsia="宋体" w:cs="Arial"/>
          <w:sz w:val="18"/>
          <w:szCs w:val="18"/>
        </w:rPr>
        <w:br w:type="textWrapping"/>
      </w:r>
      <w:r>
        <w:rPr>
          <w:rFonts w:ascii="Arial" w:hAnsi="Arial" w:eastAsia="宋体" w:cs="Arial"/>
          <w:sz w:val="18"/>
          <w:szCs w:val="18"/>
        </w:rPr>
        <w:t>食品药品监督管理局</w:t>
      </w:r>
    </w:p>
    <w:p w14:paraId="7765437E">
      <w:pPr>
        <w:pStyle w:val="47"/>
        <w:shd w:val="clear" w:color="auto" w:fill="auto"/>
        <w:overflowPunct w:val="0"/>
        <w:adjustRightInd w:val="0"/>
        <w:snapToGrid w:val="0"/>
        <w:spacing w:after="0" w:line="300" w:lineRule="auto"/>
        <w:rPr>
          <w:rFonts w:ascii="Arial" w:hAnsi="Arial" w:eastAsia="宋体" w:cs="Arial"/>
          <w:sz w:val="18"/>
          <w:szCs w:val="18"/>
        </w:rPr>
      </w:pPr>
      <w:r>
        <w:rPr>
          <w:rFonts w:ascii="Arial" w:hAnsi="Arial" w:eastAsia="宋体" w:cs="Arial"/>
          <w:sz w:val="18"/>
          <w:szCs w:val="18"/>
        </w:rPr>
        <w:t>10903 New Hampshire Avenue, Bldg. 66, rm. 4621, Silver Spring, MD 20993-0002 U.S.A.</w:t>
      </w:r>
    </w:p>
    <w:p w14:paraId="132F06C3">
      <w:pPr>
        <w:pStyle w:val="47"/>
        <w:shd w:val="clear" w:color="auto" w:fill="auto"/>
        <w:overflowPunct w:val="0"/>
        <w:adjustRightInd w:val="0"/>
        <w:snapToGrid w:val="0"/>
        <w:spacing w:after="0" w:line="300" w:lineRule="auto"/>
        <w:rPr>
          <w:rFonts w:ascii="Arial" w:hAnsi="Arial" w:eastAsia="宋体" w:cs="Arial"/>
          <w:sz w:val="18"/>
          <w:szCs w:val="18"/>
        </w:rPr>
      </w:pPr>
      <w:r>
        <w:rPr>
          <w:rFonts w:ascii="Arial" w:hAnsi="Arial" w:eastAsia="宋体" w:cs="Arial"/>
          <w:sz w:val="18"/>
          <w:szCs w:val="18"/>
        </w:rPr>
        <w:t>电话：1-800-638-2041或301-796-7100</w:t>
      </w:r>
      <w:r>
        <w:rPr>
          <w:rFonts w:hint="eastAsia" w:ascii="Arial" w:hAnsi="Arial" w:eastAsia="宋体" w:cs="Arial"/>
          <w:sz w:val="18"/>
          <w:szCs w:val="18"/>
        </w:rPr>
        <w:t>；</w:t>
      </w:r>
      <w:r>
        <w:rPr>
          <w:rFonts w:ascii="Arial" w:hAnsi="Arial" w:eastAsia="宋体" w:cs="Arial"/>
          <w:sz w:val="18"/>
          <w:szCs w:val="18"/>
        </w:rPr>
        <w:t>传真：301-847-8149；</w:t>
      </w:r>
      <w:r>
        <w:rPr>
          <w:rFonts w:hint="eastAsia" w:ascii="Arial" w:hAnsi="Arial" w:eastAsia="宋体" w:cs="Arial"/>
          <w:sz w:val="18"/>
          <w:szCs w:val="18"/>
        </w:rPr>
        <w:t>电子邮箱</w:t>
      </w:r>
      <w:r>
        <w:rPr>
          <w:rFonts w:ascii="Arial" w:hAnsi="Arial" w:eastAsia="宋体" w:cs="Arial"/>
          <w:sz w:val="18"/>
          <w:szCs w:val="18"/>
        </w:rPr>
        <w:t>：</w:t>
      </w:r>
      <w:r>
        <w:fldChar w:fldCharType="begin"/>
      </w:r>
      <w:r>
        <w:instrText xml:space="preserve"> HYPERLINK "mailto:dsmica@fda.hhs.gov" </w:instrText>
      </w:r>
      <w:r>
        <w:fldChar w:fldCharType="separate"/>
      </w:r>
      <w:r>
        <w:rPr>
          <w:rStyle w:val="23"/>
          <w:rFonts w:ascii="Arial" w:hAnsi="Arial" w:eastAsia="宋体" w:cs="Arial"/>
          <w:color w:val="0000FF"/>
          <w:sz w:val="18"/>
          <w:szCs w:val="18"/>
        </w:rPr>
        <w:t>dsmica@fda.hhs.gov</w:t>
      </w:r>
      <w:r>
        <w:rPr>
          <w:rStyle w:val="23"/>
          <w:rFonts w:ascii="Arial" w:hAnsi="Arial" w:eastAsia="宋体" w:cs="Arial"/>
          <w:color w:val="0000FF"/>
          <w:sz w:val="18"/>
          <w:szCs w:val="18"/>
        </w:rPr>
        <w:fldChar w:fldCharType="end"/>
      </w:r>
      <w:r>
        <w:rPr>
          <w:rFonts w:ascii="Arial" w:hAnsi="Arial" w:eastAsia="宋体" w:cs="Arial"/>
          <w:sz w:val="18"/>
          <w:szCs w:val="18"/>
        </w:rPr>
        <w:br w:type="textWrapping"/>
      </w:r>
      <w:r>
        <w:fldChar w:fldCharType="begin"/>
      </w:r>
      <w:r>
        <w:instrText xml:space="preserve"> HYPERLINK "http://www.fda.gov/MedicalDevices/DeviceRegulationandGuidance/GuidanceDocuments/default.htm" </w:instrText>
      </w:r>
      <w:r>
        <w:fldChar w:fldCharType="separate"/>
      </w:r>
      <w:r>
        <w:rPr>
          <w:rStyle w:val="23"/>
          <w:rFonts w:ascii="Arial" w:hAnsi="Arial" w:eastAsia="宋体" w:cs="Arial"/>
          <w:color w:val="0000FF"/>
          <w:sz w:val="18"/>
          <w:szCs w:val="18"/>
        </w:rPr>
        <w:t>http://www.fda.gov/MedicalDevices/DeviceRegulationandGuidance/GuidanceDocuments/default.htm</w:t>
      </w:r>
      <w:r>
        <w:rPr>
          <w:rStyle w:val="23"/>
          <w:rFonts w:ascii="Arial" w:hAnsi="Arial" w:eastAsia="宋体" w:cs="Arial"/>
          <w:color w:val="0000FF"/>
          <w:sz w:val="18"/>
          <w:szCs w:val="18"/>
        </w:rPr>
        <w:fldChar w:fldCharType="end"/>
      </w:r>
    </w:p>
    <w:p w14:paraId="0B258185">
      <w:pPr>
        <w:pStyle w:val="47"/>
        <w:shd w:val="clear" w:color="auto" w:fill="auto"/>
        <w:overflowPunct w:val="0"/>
        <w:adjustRightInd w:val="0"/>
        <w:snapToGrid w:val="0"/>
        <w:spacing w:after="0" w:line="300" w:lineRule="auto"/>
        <w:rPr>
          <w:rFonts w:ascii="Arial" w:hAnsi="Arial" w:eastAsia="宋体" w:cs="Arial"/>
          <w:sz w:val="18"/>
          <w:szCs w:val="18"/>
        </w:rPr>
      </w:pPr>
      <w:r>
        <w:rPr>
          <w:rFonts w:ascii="Arial" w:hAnsi="Arial" w:eastAsia="宋体" w:cs="Arial"/>
          <w:sz w:val="18"/>
          <w:szCs w:val="18"/>
        </w:rPr>
        <w:t>和/或</w:t>
      </w:r>
    </w:p>
    <w:p w14:paraId="735D5F54">
      <w:pPr>
        <w:pStyle w:val="47"/>
        <w:shd w:val="clear" w:color="auto" w:fill="auto"/>
        <w:overflowPunct w:val="0"/>
        <w:adjustRightInd w:val="0"/>
        <w:snapToGrid w:val="0"/>
        <w:spacing w:after="0" w:line="300" w:lineRule="auto"/>
        <w:rPr>
          <w:rFonts w:ascii="Arial" w:hAnsi="Arial" w:eastAsia="宋体" w:cs="Arial"/>
          <w:sz w:val="18"/>
          <w:szCs w:val="18"/>
        </w:rPr>
      </w:pPr>
      <w:r>
        <w:rPr>
          <w:rFonts w:ascii="Arial" w:hAnsi="Arial" w:eastAsia="宋体" w:cs="Arial"/>
          <w:sz w:val="18"/>
          <w:szCs w:val="18"/>
        </w:rPr>
        <w:t>理事办公室，良好临床实践办公室</w:t>
      </w:r>
      <w:r>
        <w:rPr>
          <w:rFonts w:ascii="Arial" w:hAnsi="Arial" w:eastAsia="宋体" w:cs="Arial"/>
          <w:sz w:val="18"/>
          <w:szCs w:val="18"/>
        </w:rPr>
        <w:br w:type="textWrapping"/>
      </w:r>
      <w:r>
        <w:rPr>
          <w:rFonts w:ascii="Arial" w:hAnsi="Arial" w:eastAsia="宋体" w:cs="Arial"/>
          <w:sz w:val="18"/>
          <w:szCs w:val="18"/>
        </w:rPr>
        <w:t>食品药品监督管理局</w:t>
      </w:r>
    </w:p>
    <w:p w14:paraId="5AEC6108">
      <w:pPr>
        <w:pStyle w:val="47"/>
        <w:shd w:val="clear" w:color="auto" w:fill="auto"/>
        <w:overflowPunct w:val="0"/>
        <w:adjustRightInd w:val="0"/>
        <w:snapToGrid w:val="0"/>
        <w:spacing w:after="0" w:line="300" w:lineRule="auto"/>
        <w:rPr>
          <w:rFonts w:ascii="Arial" w:hAnsi="Arial" w:eastAsia="宋体" w:cs="Arial"/>
          <w:sz w:val="18"/>
          <w:szCs w:val="18"/>
        </w:rPr>
      </w:pPr>
      <w:r>
        <w:rPr>
          <w:rFonts w:ascii="Arial" w:hAnsi="Arial" w:eastAsia="宋体" w:cs="Arial"/>
          <w:sz w:val="18"/>
          <w:szCs w:val="18"/>
        </w:rPr>
        <w:t>10903 New Hampshire Avenue, Bldg. 32, rm. 5173, Silver Spring, MD 20993-0002 U.S.A.</w:t>
      </w:r>
    </w:p>
    <w:p w14:paraId="18D8A417">
      <w:pPr>
        <w:pStyle w:val="47"/>
        <w:shd w:val="clear" w:color="auto" w:fill="auto"/>
        <w:overflowPunct w:val="0"/>
        <w:adjustRightInd w:val="0"/>
        <w:snapToGrid w:val="0"/>
        <w:spacing w:after="0" w:line="300" w:lineRule="auto"/>
        <w:rPr>
          <w:rFonts w:ascii="Arial" w:hAnsi="Arial" w:eastAsia="宋体" w:cs="Arial"/>
          <w:sz w:val="18"/>
          <w:szCs w:val="18"/>
        </w:rPr>
      </w:pPr>
      <w:r>
        <w:rPr>
          <w:rFonts w:ascii="Arial" w:hAnsi="Arial" w:eastAsia="宋体" w:cs="Arial"/>
          <w:sz w:val="18"/>
          <w:szCs w:val="18"/>
        </w:rPr>
        <w:t>电话：301-796-8340；传真：301-847-8640；E-mail：</w:t>
      </w:r>
      <w:r>
        <w:fldChar w:fldCharType="begin"/>
      </w:r>
      <w:r>
        <w:instrText xml:space="preserve"> HYPERLINK "mailto:gcp.questions@fda.hhs.gov" </w:instrText>
      </w:r>
      <w:r>
        <w:fldChar w:fldCharType="separate"/>
      </w:r>
      <w:r>
        <w:rPr>
          <w:rStyle w:val="23"/>
          <w:rFonts w:ascii="Arial" w:hAnsi="Arial" w:eastAsia="宋体" w:cs="Arial"/>
          <w:color w:val="0000FF"/>
          <w:sz w:val="18"/>
          <w:szCs w:val="18"/>
        </w:rPr>
        <w:t>gcp.questions@fda.hhs.gov</w:t>
      </w:r>
      <w:r>
        <w:rPr>
          <w:rStyle w:val="23"/>
          <w:rFonts w:ascii="Arial" w:hAnsi="Arial" w:eastAsia="宋体" w:cs="Arial"/>
          <w:color w:val="0000FF"/>
          <w:sz w:val="18"/>
          <w:szCs w:val="18"/>
        </w:rPr>
        <w:fldChar w:fldCharType="end"/>
      </w:r>
      <w:r>
        <w:rPr>
          <w:rFonts w:ascii="Arial" w:hAnsi="Arial" w:eastAsia="宋体" w:cs="Arial"/>
          <w:sz w:val="18"/>
          <w:szCs w:val="18"/>
        </w:rPr>
        <w:br w:type="textWrapping"/>
      </w:r>
      <w:r>
        <w:fldChar w:fldCharType="begin"/>
      </w:r>
      <w:r>
        <w:instrText xml:space="preserve"> HYPERLINK "http://www.fda.gov/ScienceResearch/SpecialTopics/RunningClinicalTrials/GuidancesInformationSheetsandNotices/ucm219433.htm" </w:instrText>
      </w:r>
      <w:r>
        <w:fldChar w:fldCharType="separate"/>
      </w:r>
      <w:r>
        <w:rPr>
          <w:rStyle w:val="23"/>
          <w:rFonts w:ascii="Arial" w:hAnsi="Arial" w:eastAsia="宋体" w:cs="Arial"/>
          <w:color w:val="0000FF"/>
          <w:sz w:val="18"/>
          <w:szCs w:val="18"/>
        </w:rPr>
        <w:t>http://www.fda.sov/ScienceResearch/SpecialTopics/RunninsClinicalTrials/GuidancesInformationSheetsandNotices/ucm219433.h</w:t>
      </w:r>
      <w:r>
        <w:rPr>
          <w:rStyle w:val="23"/>
          <w:rFonts w:ascii="Arial" w:hAnsi="Arial" w:eastAsia="宋体" w:cs="Arial"/>
          <w:color w:val="0000FF"/>
          <w:sz w:val="18"/>
          <w:szCs w:val="18"/>
        </w:rPr>
        <w:fldChar w:fldCharType="end"/>
      </w:r>
      <w:r>
        <w:fldChar w:fldCharType="begin"/>
      </w:r>
      <w:r>
        <w:instrText xml:space="preserve"> HYPERLINK "http://www.fda.gov/ScienceResearch/SpecialTopics/RunningClinicalTrials/GuidancesInformationSheetsandNotices/ucm219433.htm" </w:instrText>
      </w:r>
      <w:r>
        <w:fldChar w:fldCharType="separate"/>
      </w:r>
      <w:r>
        <w:rPr>
          <w:rStyle w:val="23"/>
          <w:rFonts w:ascii="Arial" w:hAnsi="Arial" w:eastAsia="宋体" w:cs="Arial"/>
          <w:color w:val="0000FF"/>
          <w:sz w:val="18"/>
          <w:szCs w:val="18"/>
        </w:rPr>
        <w:t>tm</w:t>
      </w:r>
      <w:r>
        <w:rPr>
          <w:rStyle w:val="23"/>
          <w:rFonts w:ascii="Arial" w:hAnsi="Arial" w:eastAsia="宋体" w:cs="Arial"/>
          <w:color w:val="0000FF"/>
          <w:sz w:val="18"/>
          <w:szCs w:val="18"/>
        </w:rPr>
        <w:fldChar w:fldCharType="end"/>
      </w:r>
    </w:p>
    <w:p w14:paraId="0BBF424C">
      <w:pPr>
        <w:pStyle w:val="47"/>
        <w:shd w:val="clear" w:color="auto" w:fill="auto"/>
        <w:overflowPunct w:val="0"/>
        <w:adjustRightInd w:val="0"/>
        <w:snapToGrid w:val="0"/>
        <w:spacing w:after="0" w:line="300" w:lineRule="auto"/>
        <w:rPr>
          <w:rFonts w:ascii="Arial" w:hAnsi="Arial" w:eastAsia="宋体" w:cs="Arial"/>
          <w:sz w:val="22"/>
          <w:szCs w:val="22"/>
        </w:rPr>
      </w:pPr>
    </w:p>
    <w:bookmarkEnd w:id="0"/>
    <w:p w14:paraId="79280D80">
      <w:pPr>
        <w:pStyle w:val="44"/>
        <w:overflowPunct w:val="0"/>
        <w:snapToGrid w:val="0"/>
        <w:spacing w:after="0" w:line="300" w:lineRule="auto"/>
        <w:jc w:val="center"/>
        <w:rPr>
          <w:rFonts w:ascii="Arial" w:hAnsi="Arial" w:eastAsia="宋体" w:cs="Arial"/>
          <w:sz w:val="18"/>
          <w:szCs w:val="18"/>
        </w:rPr>
      </w:pPr>
      <w:r>
        <w:rPr>
          <w:rFonts w:ascii="Arial" w:hAnsi="Arial" w:eastAsia="宋体" w:cs="Arial"/>
          <w:sz w:val="18"/>
          <w:szCs w:val="18"/>
        </w:rPr>
        <w:t>美国卫生和</w:t>
      </w:r>
      <w:r>
        <w:rPr>
          <w:rFonts w:hint="eastAsia" w:ascii="Arial" w:hAnsi="Arial" w:eastAsia="宋体" w:cs="Arial"/>
          <w:sz w:val="18"/>
          <w:szCs w:val="18"/>
        </w:rPr>
        <w:t>人类</w:t>
      </w:r>
      <w:r>
        <w:rPr>
          <w:rFonts w:ascii="Arial" w:hAnsi="Arial" w:eastAsia="宋体" w:cs="Arial"/>
          <w:sz w:val="18"/>
          <w:szCs w:val="18"/>
        </w:rPr>
        <w:t>服务</w:t>
      </w:r>
      <w:r>
        <w:rPr>
          <w:rFonts w:hint="eastAsia" w:ascii="Arial" w:hAnsi="Arial" w:eastAsia="宋体" w:cs="Arial"/>
          <w:sz w:val="18"/>
          <w:szCs w:val="18"/>
        </w:rPr>
        <w:t>署</w:t>
      </w:r>
    </w:p>
    <w:p w14:paraId="041E3B19">
      <w:pPr>
        <w:pStyle w:val="44"/>
        <w:overflowPunct w:val="0"/>
        <w:snapToGrid w:val="0"/>
        <w:spacing w:after="0" w:line="300" w:lineRule="auto"/>
        <w:jc w:val="center"/>
        <w:rPr>
          <w:rFonts w:ascii="Arial" w:hAnsi="Arial" w:eastAsia="宋体" w:cs="Arial"/>
          <w:sz w:val="18"/>
          <w:szCs w:val="18"/>
        </w:rPr>
      </w:pPr>
      <w:r>
        <w:rPr>
          <w:rFonts w:ascii="Arial" w:hAnsi="Arial" w:eastAsia="宋体" w:cs="Arial"/>
          <w:sz w:val="18"/>
          <w:szCs w:val="18"/>
        </w:rPr>
        <w:t>食品药品监督管理局</w:t>
      </w:r>
    </w:p>
    <w:p w14:paraId="1C41BB05">
      <w:pPr>
        <w:pStyle w:val="44"/>
        <w:overflowPunct w:val="0"/>
        <w:snapToGrid w:val="0"/>
        <w:spacing w:after="0" w:line="300" w:lineRule="auto"/>
        <w:jc w:val="center"/>
        <w:rPr>
          <w:rFonts w:ascii="Arial" w:hAnsi="Arial" w:eastAsia="宋体" w:cs="Arial"/>
          <w:sz w:val="18"/>
          <w:szCs w:val="18"/>
        </w:rPr>
      </w:pPr>
      <w:r>
        <w:rPr>
          <w:rFonts w:ascii="Arial" w:hAnsi="Arial" w:eastAsia="宋体" w:cs="Arial"/>
          <w:sz w:val="18"/>
          <w:szCs w:val="18"/>
        </w:rPr>
        <w:t>良好临床实践办公室</w:t>
      </w:r>
    </w:p>
    <w:p w14:paraId="54E0D5F9">
      <w:pPr>
        <w:pStyle w:val="44"/>
        <w:overflowPunct w:val="0"/>
        <w:snapToGrid w:val="0"/>
        <w:spacing w:after="0" w:line="300" w:lineRule="auto"/>
        <w:jc w:val="center"/>
        <w:rPr>
          <w:rFonts w:ascii="Arial" w:hAnsi="Arial" w:eastAsia="宋体" w:cs="Arial"/>
          <w:sz w:val="18"/>
          <w:szCs w:val="18"/>
        </w:rPr>
      </w:pPr>
      <w:r>
        <w:rPr>
          <w:rFonts w:ascii="Arial" w:hAnsi="Arial" w:eastAsia="宋体" w:cs="Arial"/>
          <w:sz w:val="18"/>
          <w:szCs w:val="18"/>
        </w:rPr>
        <w:t>药物评估和研究中心</w:t>
      </w:r>
    </w:p>
    <w:p w14:paraId="5012D662">
      <w:pPr>
        <w:pStyle w:val="44"/>
        <w:overflowPunct w:val="0"/>
        <w:snapToGrid w:val="0"/>
        <w:spacing w:after="0" w:line="300" w:lineRule="auto"/>
        <w:jc w:val="center"/>
        <w:rPr>
          <w:rFonts w:ascii="Arial" w:hAnsi="Arial" w:eastAsia="宋体" w:cs="Arial"/>
          <w:sz w:val="18"/>
          <w:szCs w:val="18"/>
        </w:rPr>
      </w:pPr>
      <w:r>
        <w:rPr>
          <w:rFonts w:ascii="Arial" w:hAnsi="Arial" w:eastAsia="宋体" w:cs="Arial"/>
          <w:sz w:val="18"/>
          <w:szCs w:val="18"/>
        </w:rPr>
        <w:t>生物制剂评估和研究中心</w:t>
      </w:r>
    </w:p>
    <w:p w14:paraId="1E57F860">
      <w:pPr>
        <w:pStyle w:val="44"/>
        <w:shd w:val="clear" w:color="auto" w:fill="auto"/>
        <w:overflowPunct w:val="0"/>
        <w:snapToGrid w:val="0"/>
        <w:spacing w:after="0" w:line="300" w:lineRule="auto"/>
        <w:jc w:val="center"/>
        <w:rPr>
          <w:rFonts w:ascii="Arial" w:hAnsi="Arial" w:eastAsia="宋体" w:cs="Arial"/>
          <w:sz w:val="18"/>
          <w:szCs w:val="18"/>
        </w:rPr>
      </w:pPr>
      <w:r>
        <w:rPr>
          <w:rFonts w:ascii="Arial" w:hAnsi="Arial" w:eastAsia="宋体" w:cs="Arial"/>
          <w:sz w:val="18"/>
          <w:szCs w:val="18"/>
        </w:rPr>
        <w:t>器械和放射卫生中心</w:t>
      </w:r>
    </w:p>
    <w:p w14:paraId="4D98A966">
      <w:pPr>
        <w:pStyle w:val="44"/>
        <w:shd w:val="clear" w:color="auto" w:fill="auto"/>
        <w:overflowPunct w:val="0"/>
        <w:snapToGrid w:val="0"/>
        <w:spacing w:after="0" w:line="300" w:lineRule="auto"/>
        <w:jc w:val="center"/>
        <w:rPr>
          <w:rFonts w:ascii="Arial" w:hAnsi="Arial" w:eastAsia="宋体" w:cs="Arial"/>
          <w:sz w:val="18"/>
          <w:szCs w:val="18"/>
        </w:rPr>
      </w:pPr>
    </w:p>
    <w:p w14:paraId="505FE93F">
      <w:pPr>
        <w:pStyle w:val="44"/>
        <w:shd w:val="clear" w:color="auto" w:fill="auto"/>
        <w:overflowPunct w:val="0"/>
        <w:snapToGrid w:val="0"/>
        <w:spacing w:after="0" w:line="300" w:lineRule="auto"/>
        <w:jc w:val="center"/>
        <w:rPr>
          <w:rFonts w:ascii="Arial" w:hAnsi="Arial" w:eastAsia="宋体" w:cs="Arial"/>
          <w:sz w:val="18"/>
          <w:szCs w:val="18"/>
        </w:rPr>
      </w:pPr>
      <w:r>
        <w:rPr>
          <w:rFonts w:ascii="Arial" w:hAnsi="Arial" w:eastAsia="宋体" w:cs="Arial"/>
          <w:sz w:val="18"/>
          <w:szCs w:val="18"/>
        </w:rPr>
        <w:t>2013年2月</w:t>
      </w:r>
    </w:p>
    <w:p w14:paraId="67898C41">
      <w:pPr>
        <w:pStyle w:val="44"/>
        <w:shd w:val="clear" w:color="auto" w:fill="auto"/>
        <w:overflowPunct w:val="0"/>
        <w:snapToGrid w:val="0"/>
        <w:spacing w:after="0" w:line="300" w:lineRule="auto"/>
        <w:jc w:val="center"/>
        <w:rPr>
          <w:rFonts w:ascii="Arial" w:hAnsi="Arial" w:eastAsia="宋体" w:cs="Arial"/>
          <w:sz w:val="28"/>
          <w:szCs w:val="28"/>
        </w:rPr>
      </w:pPr>
      <w:r>
        <w:rPr>
          <w:rFonts w:ascii="Arial" w:hAnsi="Arial" w:eastAsia="宋体" w:cs="Arial"/>
          <w:sz w:val="28"/>
          <w:szCs w:val="28"/>
        </w:rPr>
        <w:t>目录</w:t>
      </w:r>
    </w:p>
    <w:sdt>
      <w:sdtPr>
        <w:rPr>
          <w:rFonts w:asciiTheme="minorHAnsi" w:hAnsiTheme="minorHAnsi" w:eastAsiaTheme="minorEastAsia" w:cstheme="minorBidi"/>
          <w:bCs w:val="0"/>
          <w:color w:val="auto"/>
          <w:sz w:val="22"/>
          <w:szCs w:val="21"/>
          <w:lang w:val="zh-CN"/>
        </w:rPr>
        <w:id w:val="868955583"/>
        <w:docPartObj>
          <w:docPartGallery w:val="Table of Contents"/>
          <w:docPartUnique/>
        </w:docPartObj>
      </w:sdtPr>
      <w:sdtEndPr>
        <w:rPr>
          <w:rFonts w:asciiTheme="minorHAnsi" w:hAnsiTheme="minorHAnsi" w:eastAsiaTheme="minorEastAsia" w:cstheme="minorBidi"/>
          <w:b/>
          <w:bCs w:val="0"/>
          <w:color w:val="auto"/>
          <w:sz w:val="22"/>
          <w:szCs w:val="21"/>
          <w:lang w:val="zh-CN"/>
        </w:rPr>
      </w:sdtEndPr>
      <w:sdtContent>
        <w:p w14:paraId="3B32F4CC">
          <w:pPr>
            <w:pStyle w:val="61"/>
          </w:pPr>
        </w:p>
        <w:p w14:paraId="0AE0374C">
          <w:pPr>
            <w:pStyle w:val="3"/>
            <w:tabs>
              <w:tab w:val="left" w:pos="420"/>
              <w:tab w:val="right" w:leader="dot" w:pos="8296"/>
            </w:tabs>
            <w:rPr>
              <w:rFonts w:eastAsiaTheme="minorEastAsia"/>
              <w:b w:val="0"/>
              <w:kern w:val="2"/>
              <w:sz w:val="21"/>
              <w:szCs w:val="22"/>
            </w:rPr>
          </w:pPr>
          <w:r>
            <w:rPr>
              <w:rFonts w:ascii="Arial" w:hAnsi="Arial" w:cs="Arial"/>
              <w:b w:val="0"/>
            </w:rPr>
            <w:fldChar w:fldCharType="begin"/>
          </w:r>
          <w:r>
            <w:rPr>
              <w:rFonts w:ascii="Arial" w:hAnsi="Arial" w:cs="Arial"/>
              <w:b w:val="0"/>
            </w:rPr>
            <w:instrText xml:space="preserve"> TOC \o "1-3" \h \z \u </w:instrText>
          </w:r>
          <w:r>
            <w:rPr>
              <w:rFonts w:ascii="Arial" w:hAnsi="Arial" w:cs="Arial"/>
              <w:b w:val="0"/>
            </w:rPr>
            <w:fldChar w:fldCharType="separate"/>
          </w:r>
          <w:r>
            <w:fldChar w:fldCharType="begin"/>
          </w:r>
          <w:r>
            <w:instrText xml:space="preserve"> HYPERLINK \l "_Toc496025795" </w:instrText>
          </w:r>
          <w:r>
            <w:fldChar w:fldCharType="separate"/>
          </w:r>
          <w:r>
            <w:rPr>
              <w:rStyle w:val="23"/>
              <w:rFonts w:ascii="Arial" w:hAnsi="Arial" w:cs="Arial"/>
            </w:rPr>
            <w:t>I.</w:t>
          </w:r>
          <w:r>
            <w:rPr>
              <w:rFonts w:eastAsiaTheme="minorEastAsia"/>
              <w:b w:val="0"/>
              <w:kern w:val="2"/>
              <w:sz w:val="21"/>
              <w:szCs w:val="22"/>
            </w:rPr>
            <w:tab/>
          </w:r>
          <w:r>
            <w:rPr>
              <w:rStyle w:val="23"/>
              <w:rFonts w:hint="eastAsia" w:ascii="Arial" w:hAnsi="Arial" w:cs="Arial"/>
            </w:rPr>
            <w:t>简介</w:t>
          </w:r>
          <w:r>
            <w:tab/>
          </w:r>
          <w:r>
            <w:fldChar w:fldCharType="begin"/>
          </w:r>
          <w:r>
            <w:instrText xml:space="preserve"> PAGEREF _Toc496025795 \h </w:instrText>
          </w:r>
          <w:r>
            <w:fldChar w:fldCharType="separate"/>
          </w:r>
          <w:r>
            <w:t>1</w:t>
          </w:r>
          <w:r>
            <w:fldChar w:fldCharType="end"/>
          </w:r>
          <w:r>
            <w:fldChar w:fldCharType="end"/>
          </w:r>
        </w:p>
        <w:p w14:paraId="763084DA">
          <w:pPr>
            <w:pStyle w:val="3"/>
            <w:tabs>
              <w:tab w:val="left" w:pos="420"/>
              <w:tab w:val="right" w:leader="dot" w:pos="8296"/>
            </w:tabs>
            <w:rPr>
              <w:rFonts w:eastAsiaTheme="minorEastAsia"/>
              <w:b w:val="0"/>
              <w:kern w:val="2"/>
              <w:sz w:val="21"/>
              <w:szCs w:val="22"/>
            </w:rPr>
          </w:pPr>
          <w:r>
            <w:fldChar w:fldCharType="begin"/>
          </w:r>
          <w:r>
            <w:instrText xml:space="preserve"> HYPERLINK \l "_Toc496025796" </w:instrText>
          </w:r>
          <w:r>
            <w:fldChar w:fldCharType="separate"/>
          </w:r>
          <w:r>
            <w:rPr>
              <w:rStyle w:val="23"/>
              <w:rFonts w:ascii="Arial" w:hAnsi="Arial" w:cs="Arial"/>
            </w:rPr>
            <w:t>II.</w:t>
          </w:r>
          <w:r>
            <w:rPr>
              <w:rFonts w:eastAsiaTheme="minorEastAsia"/>
              <w:b w:val="0"/>
              <w:kern w:val="2"/>
              <w:sz w:val="21"/>
              <w:szCs w:val="22"/>
            </w:rPr>
            <w:tab/>
          </w:r>
          <w:r>
            <w:rPr>
              <w:rStyle w:val="23"/>
              <w:rFonts w:hint="eastAsia" w:ascii="Arial" w:hAnsi="Arial" w:cs="Arial"/>
            </w:rPr>
            <w:t>背景</w:t>
          </w:r>
          <w:r>
            <w:tab/>
          </w:r>
          <w:r>
            <w:fldChar w:fldCharType="begin"/>
          </w:r>
          <w:r>
            <w:instrText xml:space="preserve"> PAGEREF _Toc496025796 \h </w:instrText>
          </w:r>
          <w:r>
            <w:fldChar w:fldCharType="separate"/>
          </w:r>
          <w:r>
            <w:t>1</w:t>
          </w:r>
          <w:r>
            <w:fldChar w:fldCharType="end"/>
          </w:r>
          <w:r>
            <w:fldChar w:fldCharType="end"/>
          </w:r>
        </w:p>
        <w:p w14:paraId="4CF5EDC5">
          <w:pPr>
            <w:pStyle w:val="3"/>
            <w:tabs>
              <w:tab w:val="left" w:pos="630"/>
              <w:tab w:val="right" w:leader="dot" w:pos="8296"/>
            </w:tabs>
            <w:rPr>
              <w:rFonts w:eastAsiaTheme="minorEastAsia"/>
              <w:b w:val="0"/>
              <w:kern w:val="2"/>
              <w:sz w:val="21"/>
              <w:szCs w:val="22"/>
            </w:rPr>
          </w:pPr>
          <w:r>
            <w:fldChar w:fldCharType="begin"/>
          </w:r>
          <w:r>
            <w:instrText xml:space="preserve"> HYPERLINK \l "_Toc496025797" </w:instrText>
          </w:r>
          <w:r>
            <w:fldChar w:fldCharType="separate"/>
          </w:r>
          <w:r>
            <w:rPr>
              <w:rStyle w:val="23"/>
              <w:rFonts w:ascii="Arial" w:hAnsi="Arial" w:cs="Arial"/>
            </w:rPr>
            <w:t>III.</w:t>
          </w:r>
          <w:r>
            <w:rPr>
              <w:rFonts w:eastAsiaTheme="minorEastAsia"/>
              <w:b w:val="0"/>
              <w:kern w:val="2"/>
              <w:sz w:val="21"/>
              <w:szCs w:val="22"/>
            </w:rPr>
            <w:tab/>
          </w:r>
          <w:r>
            <w:rPr>
              <w:rStyle w:val="23"/>
              <w:rFonts w:hint="eastAsia" w:ascii="Arial" w:hAnsi="Arial" w:cs="Arial"/>
            </w:rPr>
            <w:t>财务披露的要求</w:t>
          </w:r>
          <w:r>
            <w:tab/>
          </w:r>
          <w:r>
            <w:fldChar w:fldCharType="begin"/>
          </w:r>
          <w:r>
            <w:instrText xml:space="preserve"> PAGEREF _Toc496025797 \h </w:instrText>
          </w:r>
          <w:r>
            <w:fldChar w:fldCharType="separate"/>
          </w:r>
          <w:r>
            <w:t>2</w:t>
          </w:r>
          <w:r>
            <w:fldChar w:fldCharType="end"/>
          </w:r>
          <w:r>
            <w:fldChar w:fldCharType="end"/>
          </w:r>
        </w:p>
        <w:p w14:paraId="59F9677D">
          <w:pPr>
            <w:pStyle w:val="18"/>
            <w:tabs>
              <w:tab w:val="left" w:pos="1050"/>
              <w:tab w:val="right" w:leader="dot" w:pos="8296"/>
            </w:tabs>
            <w:ind w:left="440"/>
            <w:rPr>
              <w:rFonts w:eastAsiaTheme="minorEastAsia"/>
              <w:b w:val="0"/>
              <w:kern w:val="2"/>
              <w:szCs w:val="22"/>
            </w:rPr>
          </w:pPr>
          <w:r>
            <w:fldChar w:fldCharType="begin"/>
          </w:r>
          <w:r>
            <w:instrText xml:space="preserve"> HYPERLINK \l "_Toc496025798" </w:instrText>
          </w:r>
          <w:r>
            <w:fldChar w:fldCharType="separate"/>
          </w:r>
          <w:r>
            <w:rPr>
              <w:rStyle w:val="23"/>
              <w:rFonts w:ascii="Arial" w:hAnsi="Arial" w:cs="Arial"/>
            </w:rPr>
            <w:t>A.</w:t>
          </w:r>
          <w:r>
            <w:rPr>
              <w:rFonts w:eastAsiaTheme="minorEastAsia"/>
              <w:b w:val="0"/>
              <w:kern w:val="2"/>
              <w:szCs w:val="22"/>
            </w:rPr>
            <w:tab/>
          </w:r>
          <w:r>
            <w:rPr>
              <w:rStyle w:val="23"/>
              <w:rFonts w:hint="eastAsia" w:ascii="Arial" w:hAnsi="Arial" w:cs="Arial"/>
            </w:rPr>
            <w:t>定义</w:t>
          </w:r>
          <w:r>
            <w:tab/>
          </w:r>
          <w:r>
            <w:fldChar w:fldCharType="begin"/>
          </w:r>
          <w:r>
            <w:instrText xml:space="preserve"> PAGEREF _Toc496025798 \h </w:instrText>
          </w:r>
          <w:r>
            <w:fldChar w:fldCharType="separate"/>
          </w:r>
          <w:r>
            <w:t>2</w:t>
          </w:r>
          <w:r>
            <w:fldChar w:fldCharType="end"/>
          </w:r>
          <w:r>
            <w:fldChar w:fldCharType="end"/>
          </w:r>
        </w:p>
        <w:p w14:paraId="20B798B8">
          <w:pPr>
            <w:pStyle w:val="18"/>
            <w:tabs>
              <w:tab w:val="left" w:pos="1050"/>
              <w:tab w:val="right" w:leader="dot" w:pos="8296"/>
            </w:tabs>
            <w:ind w:left="440"/>
            <w:rPr>
              <w:rFonts w:eastAsiaTheme="minorEastAsia"/>
              <w:b w:val="0"/>
              <w:kern w:val="2"/>
              <w:szCs w:val="22"/>
            </w:rPr>
          </w:pPr>
          <w:r>
            <w:fldChar w:fldCharType="begin"/>
          </w:r>
          <w:r>
            <w:instrText xml:space="preserve"> HYPERLINK \l "_Toc496025799" </w:instrText>
          </w:r>
          <w:r>
            <w:fldChar w:fldCharType="separate"/>
          </w:r>
          <w:r>
            <w:rPr>
              <w:rStyle w:val="23"/>
              <w:rFonts w:ascii="Arial" w:hAnsi="Arial" w:cs="Arial"/>
            </w:rPr>
            <w:t>B.</w:t>
          </w:r>
          <w:r>
            <w:rPr>
              <w:rFonts w:eastAsiaTheme="minorEastAsia"/>
              <w:b w:val="0"/>
              <w:kern w:val="2"/>
              <w:szCs w:val="22"/>
            </w:rPr>
            <w:tab/>
          </w:r>
          <w:r>
            <w:rPr>
              <w:rStyle w:val="23"/>
              <w:rFonts w:hint="eastAsia" w:ascii="Arial" w:hAnsi="Arial" w:cs="Arial"/>
            </w:rPr>
            <w:t>需披露的经济利益和协议</w:t>
          </w:r>
          <w:r>
            <w:tab/>
          </w:r>
          <w:r>
            <w:fldChar w:fldCharType="begin"/>
          </w:r>
          <w:r>
            <w:instrText xml:space="preserve"> PAGEREF _Toc496025799 \h </w:instrText>
          </w:r>
          <w:r>
            <w:fldChar w:fldCharType="separate"/>
          </w:r>
          <w:r>
            <w:t>4</w:t>
          </w:r>
          <w:r>
            <w:fldChar w:fldCharType="end"/>
          </w:r>
          <w:r>
            <w:fldChar w:fldCharType="end"/>
          </w:r>
        </w:p>
        <w:p w14:paraId="078B5DF0">
          <w:pPr>
            <w:pStyle w:val="18"/>
            <w:tabs>
              <w:tab w:val="left" w:pos="1050"/>
              <w:tab w:val="right" w:leader="dot" w:pos="8296"/>
            </w:tabs>
            <w:ind w:left="440"/>
            <w:rPr>
              <w:rFonts w:eastAsiaTheme="minorEastAsia"/>
              <w:b w:val="0"/>
              <w:kern w:val="2"/>
              <w:szCs w:val="22"/>
            </w:rPr>
          </w:pPr>
          <w:r>
            <w:fldChar w:fldCharType="begin"/>
          </w:r>
          <w:r>
            <w:instrText xml:space="preserve"> HYPERLINK \l "_Toc496025800" </w:instrText>
          </w:r>
          <w:r>
            <w:fldChar w:fldCharType="separate"/>
          </w:r>
          <w:r>
            <w:rPr>
              <w:rStyle w:val="23"/>
              <w:rFonts w:ascii="Arial" w:hAnsi="Arial" w:cs="Arial"/>
            </w:rPr>
            <w:t>C.</w:t>
          </w:r>
          <w:r>
            <w:rPr>
              <w:rFonts w:eastAsiaTheme="minorEastAsia"/>
              <w:b w:val="0"/>
              <w:kern w:val="2"/>
              <w:szCs w:val="22"/>
            </w:rPr>
            <w:tab/>
          </w:r>
          <w:r>
            <w:rPr>
              <w:rStyle w:val="23"/>
              <w:rFonts w:hint="eastAsia" w:ascii="Arial" w:hAnsi="Arial" w:cs="Arial"/>
            </w:rPr>
            <w:t>机构行动</w:t>
          </w:r>
          <w:r>
            <w:tab/>
          </w:r>
          <w:r>
            <w:fldChar w:fldCharType="begin"/>
          </w:r>
          <w:r>
            <w:instrText xml:space="preserve"> PAGEREF _Toc496025800 \h </w:instrText>
          </w:r>
          <w:r>
            <w:fldChar w:fldCharType="separate"/>
          </w:r>
          <w:r>
            <w:t>4</w:t>
          </w:r>
          <w:r>
            <w:fldChar w:fldCharType="end"/>
          </w:r>
          <w:r>
            <w:fldChar w:fldCharType="end"/>
          </w:r>
        </w:p>
        <w:p w14:paraId="74B0FA15">
          <w:pPr>
            <w:pStyle w:val="3"/>
            <w:tabs>
              <w:tab w:val="left" w:pos="630"/>
              <w:tab w:val="right" w:leader="dot" w:pos="8296"/>
            </w:tabs>
            <w:rPr>
              <w:rFonts w:eastAsiaTheme="minorEastAsia"/>
              <w:b w:val="0"/>
              <w:kern w:val="2"/>
              <w:sz w:val="21"/>
              <w:szCs w:val="22"/>
            </w:rPr>
          </w:pPr>
          <w:r>
            <w:fldChar w:fldCharType="begin"/>
          </w:r>
          <w:r>
            <w:instrText xml:space="preserve"> HYPERLINK \l "_Toc496025801" </w:instrText>
          </w:r>
          <w:r>
            <w:fldChar w:fldCharType="separate"/>
          </w:r>
          <w:r>
            <w:rPr>
              <w:rStyle w:val="23"/>
              <w:rFonts w:ascii="Arial" w:hAnsi="Arial" w:cs="Arial"/>
            </w:rPr>
            <w:t>IV.</w:t>
          </w:r>
          <w:r>
            <w:rPr>
              <w:rFonts w:eastAsiaTheme="minorEastAsia"/>
              <w:b w:val="0"/>
              <w:kern w:val="2"/>
              <w:sz w:val="21"/>
              <w:szCs w:val="22"/>
            </w:rPr>
            <w:tab/>
          </w:r>
          <w:r>
            <w:rPr>
              <w:rStyle w:val="23"/>
              <w:rFonts w:hint="eastAsia" w:ascii="Arial" w:hAnsi="Arial" w:cs="Arial"/>
            </w:rPr>
            <w:t>问答</w:t>
          </w:r>
          <w:r>
            <w:tab/>
          </w:r>
          <w:r>
            <w:fldChar w:fldCharType="begin"/>
          </w:r>
          <w:r>
            <w:instrText xml:space="preserve"> PAGEREF _Toc496025801 \h </w:instrText>
          </w:r>
          <w:r>
            <w:fldChar w:fldCharType="separate"/>
          </w:r>
          <w:r>
            <w:t>5</w:t>
          </w:r>
          <w:r>
            <w:fldChar w:fldCharType="end"/>
          </w:r>
          <w:r>
            <w:fldChar w:fldCharType="end"/>
          </w:r>
        </w:p>
        <w:p w14:paraId="65254ED8">
          <w:pPr>
            <w:pStyle w:val="18"/>
            <w:tabs>
              <w:tab w:val="left" w:pos="1050"/>
              <w:tab w:val="right" w:leader="dot" w:pos="8296"/>
            </w:tabs>
            <w:ind w:left="440"/>
            <w:rPr>
              <w:rFonts w:eastAsiaTheme="minorEastAsia"/>
              <w:b w:val="0"/>
              <w:kern w:val="2"/>
              <w:szCs w:val="22"/>
            </w:rPr>
          </w:pPr>
          <w:r>
            <w:fldChar w:fldCharType="begin"/>
          </w:r>
          <w:r>
            <w:instrText xml:space="preserve"> HYPERLINK \l "_Toc496025802" </w:instrText>
          </w:r>
          <w:r>
            <w:fldChar w:fldCharType="separate"/>
          </w:r>
          <w:r>
            <w:rPr>
              <w:rStyle w:val="23"/>
              <w:rFonts w:ascii="Arial" w:hAnsi="Arial" w:cs="Arial"/>
            </w:rPr>
            <w:t>A.</w:t>
          </w:r>
          <w:r>
            <w:rPr>
              <w:rFonts w:eastAsiaTheme="minorEastAsia"/>
              <w:b w:val="0"/>
              <w:kern w:val="2"/>
              <w:szCs w:val="22"/>
            </w:rPr>
            <w:tab/>
          </w:r>
          <w:r>
            <w:rPr>
              <w:rStyle w:val="23"/>
              <w:rFonts w:hint="eastAsia" w:ascii="Arial" w:hAnsi="Arial" w:cs="Arial"/>
            </w:rPr>
            <w:t>一般问题</w:t>
          </w:r>
          <w:r>
            <w:tab/>
          </w:r>
          <w:r>
            <w:fldChar w:fldCharType="begin"/>
          </w:r>
          <w:r>
            <w:instrText xml:space="preserve"> PAGEREF _Toc496025802 \h </w:instrText>
          </w:r>
          <w:r>
            <w:fldChar w:fldCharType="separate"/>
          </w:r>
          <w:r>
            <w:t>5</w:t>
          </w:r>
          <w:r>
            <w:fldChar w:fldCharType="end"/>
          </w:r>
          <w:r>
            <w:fldChar w:fldCharType="end"/>
          </w:r>
        </w:p>
        <w:p w14:paraId="16BD3857">
          <w:pPr>
            <w:pStyle w:val="18"/>
            <w:tabs>
              <w:tab w:val="left" w:pos="1050"/>
              <w:tab w:val="right" w:leader="dot" w:pos="8296"/>
            </w:tabs>
            <w:ind w:left="440"/>
            <w:rPr>
              <w:rFonts w:eastAsiaTheme="minorEastAsia"/>
              <w:b w:val="0"/>
              <w:kern w:val="2"/>
              <w:szCs w:val="22"/>
            </w:rPr>
          </w:pPr>
          <w:r>
            <w:fldChar w:fldCharType="begin"/>
          </w:r>
          <w:r>
            <w:instrText xml:space="preserve"> HYPERLINK \l "_Toc496025803" </w:instrText>
          </w:r>
          <w:r>
            <w:fldChar w:fldCharType="separate"/>
          </w:r>
          <w:r>
            <w:rPr>
              <w:rStyle w:val="23"/>
              <w:rFonts w:ascii="Arial" w:hAnsi="Arial" w:cs="Arial"/>
            </w:rPr>
            <w:t>B.</w:t>
          </w:r>
          <w:r>
            <w:rPr>
              <w:rFonts w:eastAsiaTheme="minorEastAsia"/>
              <w:b w:val="0"/>
              <w:kern w:val="2"/>
              <w:szCs w:val="22"/>
            </w:rPr>
            <w:tab/>
          </w:r>
          <w:r>
            <w:rPr>
              <w:rStyle w:val="23"/>
              <w:rFonts w:hint="eastAsia" w:ascii="Arial" w:hAnsi="Arial" w:cs="Arial"/>
            </w:rPr>
            <w:t>需提交的表格和信息</w:t>
          </w:r>
          <w:r>
            <w:tab/>
          </w:r>
          <w:r>
            <w:fldChar w:fldCharType="begin"/>
          </w:r>
          <w:r>
            <w:instrText xml:space="preserve"> PAGEREF _Toc496025803 \h </w:instrText>
          </w:r>
          <w:r>
            <w:fldChar w:fldCharType="separate"/>
          </w:r>
          <w:r>
            <w:t>6</w:t>
          </w:r>
          <w:r>
            <w:fldChar w:fldCharType="end"/>
          </w:r>
          <w:r>
            <w:fldChar w:fldCharType="end"/>
          </w:r>
        </w:p>
        <w:p w14:paraId="0D1F18D6">
          <w:pPr>
            <w:pStyle w:val="18"/>
            <w:tabs>
              <w:tab w:val="left" w:pos="1050"/>
              <w:tab w:val="right" w:leader="dot" w:pos="8296"/>
            </w:tabs>
            <w:ind w:left="440"/>
            <w:rPr>
              <w:rFonts w:eastAsiaTheme="minorEastAsia"/>
              <w:b w:val="0"/>
              <w:kern w:val="2"/>
              <w:szCs w:val="22"/>
            </w:rPr>
          </w:pPr>
          <w:r>
            <w:fldChar w:fldCharType="begin"/>
          </w:r>
          <w:r>
            <w:instrText xml:space="preserve"> HYPERLINK \l "_Toc496025804" </w:instrText>
          </w:r>
          <w:r>
            <w:fldChar w:fldCharType="separate"/>
          </w:r>
          <w:r>
            <w:rPr>
              <w:rStyle w:val="23"/>
              <w:rFonts w:ascii="Arial" w:hAnsi="Arial" w:cs="Arial"/>
            </w:rPr>
            <w:t>C.</w:t>
          </w:r>
          <w:r>
            <w:rPr>
              <w:rFonts w:eastAsiaTheme="minorEastAsia"/>
              <w:b w:val="0"/>
              <w:kern w:val="2"/>
              <w:szCs w:val="22"/>
            </w:rPr>
            <w:tab/>
          </w:r>
          <w:r>
            <w:rPr>
              <w:rStyle w:val="23"/>
              <w:rFonts w:hint="eastAsia" w:ascii="Arial" w:hAnsi="Arial" w:cs="Arial"/>
            </w:rPr>
            <w:t>必须披露的经济利益和协议</w:t>
          </w:r>
          <w:r>
            <w:tab/>
          </w:r>
          <w:r>
            <w:fldChar w:fldCharType="begin"/>
          </w:r>
          <w:r>
            <w:instrText xml:space="preserve"> PAGEREF _Toc496025804 \h </w:instrText>
          </w:r>
          <w:r>
            <w:fldChar w:fldCharType="separate"/>
          </w:r>
          <w:r>
            <w:t>11</w:t>
          </w:r>
          <w:r>
            <w:fldChar w:fldCharType="end"/>
          </w:r>
          <w:r>
            <w:fldChar w:fldCharType="end"/>
          </w:r>
        </w:p>
        <w:p w14:paraId="1077267B">
          <w:pPr>
            <w:pStyle w:val="18"/>
            <w:tabs>
              <w:tab w:val="left" w:pos="1050"/>
              <w:tab w:val="right" w:leader="dot" w:pos="8296"/>
            </w:tabs>
            <w:ind w:left="440"/>
            <w:rPr>
              <w:rFonts w:eastAsiaTheme="minorEastAsia"/>
              <w:b w:val="0"/>
              <w:kern w:val="2"/>
              <w:szCs w:val="22"/>
            </w:rPr>
          </w:pPr>
          <w:r>
            <w:fldChar w:fldCharType="begin"/>
          </w:r>
          <w:r>
            <w:instrText xml:space="preserve"> HYPERLINK \l "_Toc496025805" </w:instrText>
          </w:r>
          <w:r>
            <w:fldChar w:fldCharType="separate"/>
          </w:r>
          <w:r>
            <w:rPr>
              <w:rStyle w:val="23"/>
              <w:rFonts w:ascii="Arial" w:hAnsi="Arial" w:cs="Arial"/>
            </w:rPr>
            <w:t>D.</w:t>
          </w:r>
          <w:r>
            <w:rPr>
              <w:rFonts w:eastAsiaTheme="minorEastAsia"/>
              <w:b w:val="0"/>
              <w:kern w:val="2"/>
              <w:szCs w:val="22"/>
            </w:rPr>
            <w:tab/>
          </w:r>
          <w:r>
            <w:rPr>
              <w:rStyle w:val="23"/>
              <w:rFonts w:hint="eastAsia" w:ascii="Arial" w:hAnsi="Arial" w:cs="Arial"/>
            </w:rPr>
            <w:t>临床研究者</w:t>
          </w:r>
          <w:r>
            <w:tab/>
          </w:r>
          <w:r>
            <w:fldChar w:fldCharType="begin"/>
          </w:r>
          <w:r>
            <w:instrText xml:space="preserve"> PAGEREF _Toc496025805 \h </w:instrText>
          </w:r>
          <w:r>
            <w:fldChar w:fldCharType="separate"/>
          </w:r>
          <w:r>
            <w:t>15</w:t>
          </w:r>
          <w:r>
            <w:fldChar w:fldCharType="end"/>
          </w:r>
          <w:r>
            <w:fldChar w:fldCharType="end"/>
          </w:r>
        </w:p>
        <w:p w14:paraId="33D85B0D">
          <w:pPr>
            <w:pStyle w:val="18"/>
            <w:tabs>
              <w:tab w:val="left" w:pos="840"/>
              <w:tab w:val="right" w:leader="dot" w:pos="8296"/>
            </w:tabs>
            <w:ind w:left="440"/>
            <w:rPr>
              <w:rFonts w:eastAsiaTheme="minorEastAsia"/>
              <w:b w:val="0"/>
              <w:kern w:val="2"/>
              <w:szCs w:val="22"/>
            </w:rPr>
          </w:pPr>
          <w:r>
            <w:fldChar w:fldCharType="begin"/>
          </w:r>
          <w:r>
            <w:instrText xml:space="preserve"> HYPERLINK \l "_Toc496025806" </w:instrText>
          </w:r>
          <w:r>
            <w:fldChar w:fldCharType="separate"/>
          </w:r>
          <w:r>
            <w:rPr>
              <w:rStyle w:val="23"/>
              <w:rFonts w:ascii="Arial" w:hAnsi="Arial" w:cs="Arial"/>
            </w:rPr>
            <w:t>E.</w:t>
          </w:r>
          <w:r>
            <w:rPr>
              <w:rFonts w:eastAsiaTheme="minorEastAsia"/>
              <w:b w:val="0"/>
              <w:kern w:val="2"/>
              <w:szCs w:val="22"/>
            </w:rPr>
            <w:tab/>
          </w:r>
          <w:r>
            <w:rPr>
              <w:rStyle w:val="23"/>
              <w:rFonts w:hint="eastAsia" w:ascii="Arial" w:hAnsi="Arial" w:cs="Arial"/>
            </w:rPr>
            <w:t>申办方</w:t>
          </w:r>
          <w:r>
            <w:tab/>
          </w:r>
          <w:r>
            <w:fldChar w:fldCharType="begin"/>
          </w:r>
          <w:r>
            <w:instrText xml:space="preserve"> PAGEREF _Toc496025806 \h </w:instrText>
          </w:r>
          <w:r>
            <w:fldChar w:fldCharType="separate"/>
          </w:r>
          <w:r>
            <w:t>17</w:t>
          </w:r>
          <w:r>
            <w:fldChar w:fldCharType="end"/>
          </w:r>
          <w:r>
            <w:fldChar w:fldCharType="end"/>
          </w:r>
        </w:p>
        <w:p w14:paraId="1D621FF4">
          <w:pPr>
            <w:pStyle w:val="18"/>
            <w:tabs>
              <w:tab w:val="left" w:pos="840"/>
              <w:tab w:val="right" w:leader="dot" w:pos="8296"/>
            </w:tabs>
            <w:ind w:left="440"/>
            <w:rPr>
              <w:rFonts w:eastAsiaTheme="minorEastAsia"/>
              <w:b w:val="0"/>
              <w:kern w:val="2"/>
              <w:szCs w:val="22"/>
            </w:rPr>
          </w:pPr>
          <w:r>
            <w:fldChar w:fldCharType="begin"/>
          </w:r>
          <w:r>
            <w:instrText xml:space="preserve"> HYPERLINK \l "_Toc496025807" </w:instrText>
          </w:r>
          <w:r>
            <w:fldChar w:fldCharType="separate"/>
          </w:r>
          <w:r>
            <w:rPr>
              <w:rStyle w:val="23"/>
              <w:rFonts w:ascii="Arial" w:hAnsi="Arial" w:cs="Arial"/>
            </w:rPr>
            <w:t>F.</w:t>
          </w:r>
          <w:r>
            <w:rPr>
              <w:rFonts w:eastAsiaTheme="minorEastAsia"/>
              <w:b w:val="0"/>
              <w:kern w:val="2"/>
              <w:szCs w:val="22"/>
            </w:rPr>
            <w:tab/>
          </w:r>
          <w:r>
            <w:rPr>
              <w:rStyle w:val="23"/>
              <w:rFonts w:hint="eastAsia" w:ascii="Arial" w:hAnsi="Arial" w:cs="Arial"/>
            </w:rPr>
            <w:t>申请人</w:t>
          </w:r>
          <w:r>
            <w:tab/>
          </w:r>
          <w:r>
            <w:fldChar w:fldCharType="begin"/>
          </w:r>
          <w:r>
            <w:instrText xml:space="preserve"> PAGEREF _Toc496025807 \h </w:instrText>
          </w:r>
          <w:r>
            <w:fldChar w:fldCharType="separate"/>
          </w:r>
          <w:r>
            <w:t>21</w:t>
          </w:r>
          <w:r>
            <w:fldChar w:fldCharType="end"/>
          </w:r>
          <w:r>
            <w:fldChar w:fldCharType="end"/>
          </w:r>
        </w:p>
        <w:p w14:paraId="28786FFA">
          <w:pPr>
            <w:pStyle w:val="18"/>
            <w:tabs>
              <w:tab w:val="left" w:pos="1050"/>
              <w:tab w:val="right" w:leader="dot" w:pos="8296"/>
            </w:tabs>
            <w:ind w:left="440"/>
            <w:rPr>
              <w:rFonts w:eastAsiaTheme="minorEastAsia"/>
              <w:b w:val="0"/>
              <w:kern w:val="2"/>
              <w:szCs w:val="22"/>
            </w:rPr>
          </w:pPr>
          <w:r>
            <w:fldChar w:fldCharType="begin"/>
          </w:r>
          <w:r>
            <w:instrText xml:space="preserve"> HYPERLINK \l "_Toc496025808" </w:instrText>
          </w:r>
          <w:r>
            <w:fldChar w:fldCharType="separate"/>
          </w:r>
          <w:r>
            <w:rPr>
              <w:rStyle w:val="23"/>
              <w:rFonts w:ascii="Arial" w:hAnsi="Arial" w:cs="Arial"/>
            </w:rPr>
            <w:t>G.</w:t>
          </w:r>
          <w:r>
            <w:rPr>
              <w:rFonts w:eastAsiaTheme="minorEastAsia"/>
              <w:b w:val="0"/>
              <w:kern w:val="2"/>
              <w:szCs w:val="22"/>
            </w:rPr>
            <w:tab/>
          </w:r>
          <w:r>
            <w:rPr>
              <w:rStyle w:val="23"/>
              <w:rFonts w:hint="eastAsia" w:ascii="Arial" w:hAnsi="Arial" w:cs="Arial"/>
            </w:rPr>
            <w:t>涉及的临床研究</w:t>
          </w:r>
          <w:r>
            <w:tab/>
          </w:r>
          <w:r>
            <w:fldChar w:fldCharType="begin"/>
          </w:r>
          <w:r>
            <w:instrText xml:space="preserve"> PAGEREF _Toc496025808 \h </w:instrText>
          </w:r>
          <w:r>
            <w:fldChar w:fldCharType="separate"/>
          </w:r>
          <w:r>
            <w:t>23</w:t>
          </w:r>
          <w:r>
            <w:fldChar w:fldCharType="end"/>
          </w:r>
          <w:r>
            <w:fldChar w:fldCharType="end"/>
          </w:r>
        </w:p>
        <w:p w14:paraId="65322E44">
          <w:pPr>
            <w:pStyle w:val="18"/>
            <w:tabs>
              <w:tab w:val="left" w:pos="1050"/>
              <w:tab w:val="right" w:leader="dot" w:pos="8296"/>
            </w:tabs>
            <w:ind w:left="440"/>
            <w:rPr>
              <w:rFonts w:eastAsiaTheme="minorEastAsia"/>
              <w:b w:val="0"/>
              <w:kern w:val="2"/>
              <w:szCs w:val="22"/>
            </w:rPr>
          </w:pPr>
          <w:r>
            <w:fldChar w:fldCharType="begin"/>
          </w:r>
          <w:r>
            <w:instrText xml:space="preserve"> HYPERLINK \l "_Toc496025809" </w:instrText>
          </w:r>
          <w:r>
            <w:fldChar w:fldCharType="separate"/>
          </w:r>
          <w:r>
            <w:rPr>
              <w:rStyle w:val="23"/>
              <w:rFonts w:ascii="Arial" w:hAnsi="Arial" w:cs="Arial"/>
            </w:rPr>
            <w:t>H.</w:t>
          </w:r>
          <w:r>
            <w:rPr>
              <w:rFonts w:eastAsiaTheme="minorEastAsia"/>
              <w:b w:val="0"/>
              <w:kern w:val="2"/>
              <w:szCs w:val="22"/>
            </w:rPr>
            <w:tab/>
          </w:r>
          <w:r>
            <w:rPr>
              <w:rStyle w:val="23"/>
              <w:rFonts w:ascii="Arial" w:hAnsi="Arial" w:cs="Arial"/>
            </w:rPr>
            <w:t>FDA</w:t>
          </w:r>
          <w:r>
            <w:rPr>
              <w:rStyle w:val="23"/>
              <w:rFonts w:hint="eastAsia" w:ascii="Arial" w:hAnsi="Arial" w:cs="Arial"/>
            </w:rPr>
            <w:t>审查</w:t>
          </w:r>
          <w:r>
            <w:tab/>
          </w:r>
          <w:r>
            <w:fldChar w:fldCharType="begin"/>
          </w:r>
          <w:r>
            <w:instrText xml:space="preserve"> PAGEREF _Toc496025809 \h </w:instrText>
          </w:r>
          <w:r>
            <w:fldChar w:fldCharType="separate"/>
          </w:r>
          <w:r>
            <w:t>26</w:t>
          </w:r>
          <w:r>
            <w:fldChar w:fldCharType="end"/>
          </w:r>
          <w:r>
            <w:fldChar w:fldCharType="end"/>
          </w:r>
        </w:p>
        <w:p w14:paraId="19E30293">
          <w:pPr>
            <w:pStyle w:val="18"/>
            <w:tabs>
              <w:tab w:val="left" w:pos="840"/>
              <w:tab w:val="right" w:leader="dot" w:pos="8296"/>
            </w:tabs>
            <w:ind w:left="440"/>
            <w:rPr>
              <w:rFonts w:eastAsiaTheme="minorEastAsia"/>
              <w:b w:val="0"/>
              <w:kern w:val="2"/>
              <w:szCs w:val="22"/>
            </w:rPr>
          </w:pPr>
          <w:r>
            <w:fldChar w:fldCharType="begin"/>
          </w:r>
          <w:r>
            <w:instrText xml:space="preserve"> HYPERLINK \l "_Toc496025810" </w:instrText>
          </w:r>
          <w:r>
            <w:fldChar w:fldCharType="separate"/>
          </w:r>
          <w:r>
            <w:rPr>
              <w:rStyle w:val="23"/>
              <w:rFonts w:ascii="Arial" w:hAnsi="Arial" w:cs="Arial"/>
            </w:rPr>
            <w:t>I.</w:t>
          </w:r>
          <w:r>
            <w:rPr>
              <w:rFonts w:eastAsiaTheme="minorEastAsia"/>
              <w:b w:val="0"/>
              <w:kern w:val="2"/>
              <w:szCs w:val="22"/>
            </w:rPr>
            <w:tab/>
          </w:r>
          <w:r>
            <w:rPr>
              <w:rStyle w:val="23"/>
              <w:rFonts w:hint="eastAsia" w:ascii="Arial" w:hAnsi="Arial" w:cs="Arial"/>
            </w:rPr>
            <w:t>记录保存</w:t>
          </w:r>
          <w:r>
            <w:tab/>
          </w:r>
          <w:r>
            <w:fldChar w:fldCharType="begin"/>
          </w:r>
          <w:r>
            <w:instrText xml:space="preserve"> PAGEREF _Toc496025810 \h </w:instrText>
          </w:r>
          <w:r>
            <w:fldChar w:fldCharType="separate"/>
          </w:r>
          <w:r>
            <w:t>29</w:t>
          </w:r>
          <w:r>
            <w:fldChar w:fldCharType="end"/>
          </w:r>
          <w:r>
            <w:fldChar w:fldCharType="end"/>
          </w:r>
        </w:p>
        <w:p w14:paraId="0673FE24">
          <w:pPr>
            <w:pStyle w:val="18"/>
            <w:tabs>
              <w:tab w:val="left" w:pos="840"/>
              <w:tab w:val="right" w:leader="dot" w:pos="8296"/>
            </w:tabs>
            <w:ind w:left="440"/>
            <w:rPr>
              <w:rFonts w:eastAsiaTheme="minorEastAsia"/>
              <w:b w:val="0"/>
              <w:kern w:val="2"/>
              <w:szCs w:val="22"/>
            </w:rPr>
          </w:pPr>
          <w:r>
            <w:fldChar w:fldCharType="begin"/>
          </w:r>
          <w:r>
            <w:instrText xml:space="preserve"> HYPERLINK \l "_Toc496025811" </w:instrText>
          </w:r>
          <w:r>
            <w:fldChar w:fldCharType="separate"/>
          </w:r>
          <w:r>
            <w:rPr>
              <w:rStyle w:val="23"/>
              <w:rFonts w:ascii="Arial" w:hAnsi="Arial" w:cs="Arial"/>
            </w:rPr>
            <w:t>J.</w:t>
          </w:r>
          <w:r>
            <w:rPr>
              <w:rFonts w:eastAsiaTheme="minorEastAsia"/>
              <w:b w:val="0"/>
              <w:kern w:val="2"/>
              <w:szCs w:val="22"/>
            </w:rPr>
            <w:tab/>
          </w:r>
          <w:r>
            <w:rPr>
              <w:rStyle w:val="23"/>
              <w:rFonts w:ascii="Arial" w:hAnsi="Arial" w:cs="Arial"/>
            </w:rPr>
            <w:t>FDA</w:t>
          </w:r>
          <w:r>
            <w:rPr>
              <w:rStyle w:val="23"/>
              <w:rFonts w:hint="eastAsia" w:ascii="Arial" w:hAnsi="Arial" w:cs="Arial"/>
            </w:rPr>
            <w:t>检查</w:t>
          </w:r>
          <w:r>
            <w:tab/>
          </w:r>
          <w:r>
            <w:fldChar w:fldCharType="begin"/>
          </w:r>
          <w:r>
            <w:instrText xml:space="preserve"> PAGEREF _Toc496025811 \h </w:instrText>
          </w:r>
          <w:r>
            <w:fldChar w:fldCharType="separate"/>
          </w:r>
          <w:r>
            <w:t>30</w:t>
          </w:r>
          <w:r>
            <w:fldChar w:fldCharType="end"/>
          </w:r>
          <w:r>
            <w:fldChar w:fldCharType="end"/>
          </w:r>
        </w:p>
        <w:p w14:paraId="03A99393">
          <w:pPr>
            <w:pStyle w:val="18"/>
            <w:tabs>
              <w:tab w:val="left" w:pos="1050"/>
              <w:tab w:val="right" w:leader="dot" w:pos="8296"/>
            </w:tabs>
            <w:ind w:left="440"/>
            <w:rPr>
              <w:rFonts w:eastAsiaTheme="minorEastAsia"/>
              <w:b w:val="0"/>
              <w:kern w:val="2"/>
              <w:szCs w:val="22"/>
            </w:rPr>
          </w:pPr>
          <w:r>
            <w:fldChar w:fldCharType="begin"/>
          </w:r>
          <w:r>
            <w:instrText xml:space="preserve"> HYPERLINK \l "_Toc496025812" </w:instrText>
          </w:r>
          <w:r>
            <w:fldChar w:fldCharType="separate"/>
          </w:r>
          <w:r>
            <w:rPr>
              <w:rStyle w:val="23"/>
              <w:rFonts w:ascii="Arial" w:hAnsi="Arial" w:cs="Arial"/>
            </w:rPr>
            <w:t>K.</w:t>
          </w:r>
          <w:r>
            <w:rPr>
              <w:rFonts w:eastAsiaTheme="minorEastAsia"/>
              <w:b w:val="0"/>
              <w:kern w:val="2"/>
              <w:szCs w:val="22"/>
            </w:rPr>
            <w:tab/>
          </w:r>
          <w:r>
            <w:rPr>
              <w:rStyle w:val="23"/>
              <w:rFonts w:hint="eastAsia" w:ascii="Arial" w:hAnsi="Arial" w:cs="Arial"/>
            </w:rPr>
            <w:t>联系方式</w:t>
          </w:r>
          <w:r>
            <w:tab/>
          </w:r>
          <w:r>
            <w:fldChar w:fldCharType="begin"/>
          </w:r>
          <w:r>
            <w:instrText xml:space="preserve"> PAGEREF _Toc496025812 \h </w:instrText>
          </w:r>
          <w:r>
            <w:fldChar w:fldCharType="separate"/>
          </w:r>
          <w:r>
            <w:t>31</w:t>
          </w:r>
          <w:r>
            <w:fldChar w:fldCharType="end"/>
          </w:r>
          <w:r>
            <w:fldChar w:fldCharType="end"/>
          </w:r>
        </w:p>
        <w:p w14:paraId="709C750C">
          <w:pPr>
            <w:pStyle w:val="3"/>
            <w:tabs>
              <w:tab w:val="right" w:leader="dot" w:pos="8296"/>
            </w:tabs>
            <w:rPr>
              <w:rFonts w:eastAsiaTheme="minorEastAsia"/>
              <w:b w:val="0"/>
              <w:kern w:val="2"/>
              <w:sz w:val="21"/>
              <w:szCs w:val="22"/>
            </w:rPr>
          </w:pPr>
          <w:r>
            <w:fldChar w:fldCharType="begin"/>
          </w:r>
          <w:r>
            <w:instrText xml:space="preserve"> HYPERLINK \l "_Toc496025813" </w:instrText>
          </w:r>
          <w:r>
            <w:fldChar w:fldCharType="separate"/>
          </w:r>
          <w:r>
            <w:rPr>
              <w:rStyle w:val="23"/>
              <w:rFonts w:hint="eastAsia" w:ascii="Arial" w:hAnsi="Arial" w:cs="Arial"/>
            </w:rPr>
            <w:t>附录</w:t>
          </w:r>
          <w:r>
            <w:tab/>
          </w:r>
          <w:r>
            <w:fldChar w:fldCharType="begin"/>
          </w:r>
          <w:r>
            <w:instrText xml:space="preserve"> PAGEREF _Toc496025813 \h </w:instrText>
          </w:r>
          <w:r>
            <w:fldChar w:fldCharType="separate"/>
          </w:r>
          <w:r>
            <w:t>32</w:t>
          </w:r>
          <w:r>
            <w:fldChar w:fldCharType="end"/>
          </w:r>
          <w:r>
            <w:fldChar w:fldCharType="end"/>
          </w:r>
        </w:p>
        <w:p w14:paraId="2504AF18">
          <w:r>
            <w:rPr>
              <w:rFonts w:ascii="Arial" w:hAnsi="Arial" w:eastAsia="宋体" w:cs="Arial"/>
              <w:b/>
              <w:sz w:val="24"/>
            </w:rPr>
            <w:fldChar w:fldCharType="end"/>
          </w:r>
        </w:p>
      </w:sdtContent>
    </w:sdt>
    <w:p w14:paraId="24293BB9">
      <w:pPr>
        <w:pStyle w:val="44"/>
        <w:shd w:val="clear" w:color="auto" w:fill="auto"/>
        <w:overflowPunct w:val="0"/>
        <w:snapToGrid w:val="0"/>
        <w:spacing w:after="0" w:line="300" w:lineRule="auto"/>
        <w:rPr>
          <w:rFonts w:ascii="Arial" w:hAnsi="Arial" w:eastAsia="宋体" w:cs="Arial"/>
          <w:sz w:val="28"/>
          <w:szCs w:val="28"/>
        </w:rPr>
      </w:pPr>
    </w:p>
    <w:p w14:paraId="1B77C601">
      <w:pPr>
        <w:overflowPunct w:val="0"/>
        <w:snapToGrid w:val="0"/>
        <w:spacing w:after="0" w:line="300" w:lineRule="auto"/>
        <w:rPr>
          <w:rFonts w:ascii="Arial" w:hAnsi="Arial" w:eastAsia="宋体" w:cs="Arial"/>
          <w:b/>
          <w:bCs/>
          <w:kern w:val="2"/>
          <w:sz w:val="28"/>
          <w:szCs w:val="28"/>
        </w:rPr>
        <w:sectPr>
          <w:headerReference r:id="rId5" w:type="default"/>
          <w:pgSz w:w="11906" w:h="16838"/>
          <w:pgMar w:top="1440" w:right="1800" w:bottom="1440" w:left="1800" w:header="851" w:footer="992" w:gutter="0"/>
          <w:cols w:space="425" w:num="1"/>
          <w:docGrid w:type="lines" w:linePitch="312" w:charSpace="0"/>
        </w:sectPr>
      </w:pPr>
    </w:p>
    <w:p w14:paraId="7A85DE23">
      <w:pPr>
        <w:pStyle w:val="44"/>
        <w:shd w:val="clear" w:color="auto" w:fill="auto"/>
        <w:overflowPunct w:val="0"/>
        <w:snapToGrid w:val="0"/>
        <w:spacing w:after="0" w:line="300" w:lineRule="auto"/>
        <w:jc w:val="center"/>
        <w:rPr>
          <w:rFonts w:ascii="Arial" w:hAnsi="Arial" w:eastAsia="宋体" w:cs="Arial"/>
          <w:sz w:val="30"/>
          <w:szCs w:val="30"/>
        </w:rPr>
      </w:pPr>
      <w:r>
        <w:rPr>
          <w:rFonts w:ascii="Arial" w:hAnsi="Arial" w:eastAsia="宋体" w:cs="Arial"/>
          <w:sz w:val="30"/>
          <w:szCs w:val="30"/>
        </w:rPr>
        <w:t>临床研究者、</w:t>
      </w:r>
      <w:r>
        <w:rPr>
          <w:rFonts w:hint="eastAsia" w:ascii="Arial" w:hAnsi="Arial" w:eastAsia="宋体" w:cs="Arial"/>
          <w:sz w:val="30"/>
          <w:szCs w:val="30"/>
        </w:rPr>
        <w:t>行业</w:t>
      </w:r>
      <w:r>
        <w:rPr>
          <w:rFonts w:ascii="Arial" w:hAnsi="Arial" w:eastAsia="宋体" w:cs="Arial"/>
          <w:sz w:val="30"/>
          <w:szCs w:val="30"/>
        </w:rPr>
        <w:t>和食品药品监督管理局</w:t>
      </w:r>
      <w:r>
        <w:rPr>
          <w:rFonts w:hint="eastAsia" w:ascii="Arial" w:hAnsi="Arial" w:eastAsia="宋体" w:cs="Arial"/>
          <w:sz w:val="30"/>
          <w:szCs w:val="30"/>
        </w:rPr>
        <w:t>工作人员</w:t>
      </w:r>
      <w:r>
        <w:rPr>
          <w:rFonts w:ascii="Arial" w:hAnsi="Arial" w:eastAsia="宋体" w:cs="Arial"/>
          <w:sz w:val="30"/>
          <w:szCs w:val="30"/>
        </w:rPr>
        <w:t>指南</w:t>
      </w:r>
      <w:r>
        <w:rPr>
          <w:rStyle w:val="24"/>
          <w:rFonts w:ascii="Arial" w:hAnsi="Arial" w:eastAsia="宋体" w:cs="Arial"/>
          <w:sz w:val="30"/>
          <w:szCs w:val="30"/>
        </w:rPr>
        <w:footnoteReference w:id="0"/>
      </w:r>
    </w:p>
    <w:p w14:paraId="6E7D7D8D">
      <w:pPr>
        <w:pStyle w:val="44"/>
        <w:shd w:val="clear" w:color="auto" w:fill="auto"/>
        <w:overflowPunct w:val="0"/>
        <w:snapToGrid w:val="0"/>
        <w:spacing w:line="300" w:lineRule="auto"/>
        <w:jc w:val="center"/>
        <w:rPr>
          <w:rFonts w:ascii="Arial" w:hAnsi="Arial" w:eastAsia="宋体" w:cs="Arial"/>
          <w:sz w:val="30"/>
          <w:szCs w:val="30"/>
        </w:rPr>
      </w:pPr>
      <w:r>
        <w:rPr>
          <w:rFonts w:ascii="Arial" w:hAnsi="Arial" w:eastAsia="宋体" w:cs="Arial"/>
          <w:sz w:val="30"/>
          <w:szCs w:val="30"/>
        </w:rPr>
        <w:t>临床研究者财务披露</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27D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9331" w:type="dxa"/>
          </w:tcPr>
          <w:p w14:paraId="10E4E751">
            <w:pPr>
              <w:pStyle w:val="44"/>
              <w:shd w:val="clear" w:color="auto" w:fill="auto"/>
              <w:overflowPunct w:val="0"/>
              <w:snapToGrid w:val="0"/>
              <w:spacing w:before="156" w:beforeLines="50" w:after="0" w:line="300" w:lineRule="auto"/>
              <w:rPr>
                <w:rFonts w:ascii="Arial" w:hAnsi="Arial" w:eastAsia="宋体" w:cs="Arial"/>
                <w:b w:val="0"/>
                <w:sz w:val="24"/>
                <w:szCs w:val="24"/>
              </w:rPr>
            </w:pPr>
            <w:r>
              <w:rPr>
                <w:rFonts w:ascii="Arial" w:hAnsi="Arial" w:eastAsia="宋体" w:cs="Arial"/>
                <w:b w:val="0"/>
                <w:sz w:val="24"/>
                <w:szCs w:val="24"/>
              </w:rPr>
              <w:t>本指南代表了食品药品监督管理局（FDA）目前对于该主题的</w:t>
            </w:r>
            <w:r>
              <w:rPr>
                <w:rFonts w:hint="eastAsia" w:ascii="Arial" w:hAnsi="Arial" w:eastAsia="宋体" w:cs="Arial"/>
                <w:b w:val="0"/>
                <w:sz w:val="24"/>
                <w:szCs w:val="24"/>
              </w:rPr>
              <w:t>思考</w:t>
            </w:r>
            <w:r>
              <w:rPr>
                <w:rFonts w:ascii="Arial" w:hAnsi="Arial" w:eastAsia="宋体" w:cs="Arial"/>
                <w:b w:val="0"/>
                <w:sz w:val="24"/>
                <w:szCs w:val="24"/>
              </w:rPr>
              <w:t>。</w:t>
            </w:r>
            <w:r>
              <w:rPr>
                <w:rFonts w:hint="eastAsia" w:ascii="Arial" w:hAnsi="Arial" w:eastAsia="宋体" w:cs="Arial"/>
                <w:b w:val="0"/>
                <w:sz w:val="24"/>
                <w:szCs w:val="24"/>
              </w:rPr>
              <w:t>其</w:t>
            </w:r>
            <w:r>
              <w:rPr>
                <w:rFonts w:ascii="Arial" w:hAnsi="Arial" w:eastAsia="宋体" w:cs="Arial"/>
                <w:b w:val="0"/>
                <w:sz w:val="24"/>
                <w:szCs w:val="24"/>
              </w:rPr>
              <w:t>不会为任何人创造或赋予任何权利，也不会</w:t>
            </w:r>
            <w:r>
              <w:rPr>
                <w:rFonts w:hint="eastAsia" w:ascii="Arial" w:hAnsi="Arial" w:eastAsia="宋体" w:cs="Arial"/>
                <w:b w:val="0"/>
                <w:sz w:val="24"/>
                <w:szCs w:val="24"/>
              </w:rPr>
              <w:t>对</w:t>
            </w:r>
            <w:r>
              <w:rPr>
                <w:rFonts w:ascii="Arial" w:hAnsi="Arial" w:eastAsia="宋体" w:cs="Arial"/>
                <w:b w:val="0"/>
                <w:sz w:val="24"/>
                <w:szCs w:val="24"/>
              </w:rPr>
              <w:t>FDA或公众</w:t>
            </w:r>
            <w:r>
              <w:rPr>
                <w:rFonts w:hint="eastAsia" w:ascii="Arial" w:hAnsi="Arial" w:eastAsia="宋体" w:cs="Arial"/>
                <w:b w:val="0"/>
                <w:sz w:val="24"/>
                <w:szCs w:val="24"/>
              </w:rPr>
              <w:t>产生约束</w:t>
            </w:r>
            <w:r>
              <w:rPr>
                <w:rFonts w:ascii="Arial" w:hAnsi="Arial" w:eastAsia="宋体" w:cs="Arial"/>
                <w:b w:val="0"/>
                <w:sz w:val="24"/>
                <w:szCs w:val="24"/>
              </w:rPr>
              <w:t>。如果替代方法可以满足适用的法规和/或</w:t>
            </w:r>
            <w:r>
              <w:rPr>
                <w:rFonts w:hint="eastAsia" w:ascii="Arial" w:hAnsi="Arial" w:eastAsia="宋体" w:cs="Arial"/>
                <w:b w:val="0"/>
                <w:sz w:val="24"/>
                <w:szCs w:val="24"/>
              </w:rPr>
              <w:t>法律</w:t>
            </w:r>
            <w:r>
              <w:rPr>
                <w:rFonts w:ascii="Arial" w:hAnsi="Arial" w:eastAsia="宋体" w:cs="Arial"/>
                <w:b w:val="0"/>
                <w:sz w:val="24"/>
                <w:szCs w:val="24"/>
              </w:rPr>
              <w:t>要求，</w:t>
            </w:r>
            <w:r>
              <w:rPr>
                <w:rFonts w:hint="eastAsia" w:ascii="Arial" w:hAnsi="Arial" w:eastAsia="宋体" w:cs="Arial"/>
                <w:b w:val="0"/>
                <w:sz w:val="24"/>
                <w:szCs w:val="24"/>
              </w:rPr>
              <w:t>则</w:t>
            </w:r>
            <w:r>
              <w:rPr>
                <w:rFonts w:ascii="Arial" w:hAnsi="Arial" w:eastAsia="宋体" w:cs="Arial"/>
                <w:b w:val="0"/>
                <w:sz w:val="24"/>
                <w:szCs w:val="24"/>
              </w:rPr>
              <w:t>可以使用该替代方法。如果您想讨论替代方法，可以联系负责实施本指南的FDA工作人员。如果</w:t>
            </w:r>
            <w:r>
              <w:rPr>
                <w:rFonts w:hint="eastAsia" w:ascii="Arial" w:hAnsi="Arial" w:eastAsia="宋体" w:cs="Arial"/>
                <w:b w:val="0"/>
                <w:sz w:val="24"/>
                <w:szCs w:val="24"/>
              </w:rPr>
              <w:t>您</w:t>
            </w:r>
            <w:r>
              <w:rPr>
                <w:rFonts w:ascii="Arial" w:hAnsi="Arial" w:eastAsia="宋体" w:cs="Arial"/>
                <w:b w:val="0"/>
                <w:sz w:val="24"/>
                <w:szCs w:val="24"/>
              </w:rPr>
              <w:t>无法确定适当的FDA工作人员，请拨打本指南标题页上列出的</w:t>
            </w:r>
            <w:r>
              <w:rPr>
                <w:rFonts w:hint="eastAsia" w:ascii="Arial" w:hAnsi="Arial" w:eastAsia="宋体" w:cs="Arial"/>
                <w:b w:val="0"/>
                <w:sz w:val="24"/>
                <w:szCs w:val="24"/>
              </w:rPr>
              <w:t>适当</w:t>
            </w:r>
            <w:r>
              <w:rPr>
                <w:rFonts w:ascii="Arial" w:hAnsi="Arial" w:eastAsia="宋体" w:cs="Arial"/>
                <w:b w:val="0"/>
                <w:sz w:val="24"/>
                <w:szCs w:val="24"/>
              </w:rPr>
              <w:t>号码。</w:t>
            </w:r>
          </w:p>
        </w:tc>
      </w:tr>
    </w:tbl>
    <w:p w14:paraId="6C842F47">
      <w:pPr>
        <w:pStyle w:val="44"/>
        <w:shd w:val="clear" w:color="auto" w:fill="auto"/>
        <w:overflowPunct w:val="0"/>
        <w:snapToGrid w:val="0"/>
        <w:spacing w:after="0" w:line="300" w:lineRule="auto"/>
        <w:rPr>
          <w:rFonts w:ascii="Arial" w:hAnsi="Arial" w:eastAsia="宋体" w:cs="Arial"/>
          <w:sz w:val="30"/>
          <w:szCs w:val="30"/>
        </w:rPr>
      </w:pPr>
    </w:p>
    <w:p w14:paraId="7314939B">
      <w:pPr>
        <w:pStyle w:val="44"/>
        <w:numPr>
          <w:ilvl w:val="0"/>
          <w:numId w:val="2"/>
        </w:numPr>
        <w:shd w:val="clear" w:color="auto" w:fill="auto"/>
        <w:overflowPunct w:val="0"/>
        <w:snapToGrid w:val="0"/>
        <w:spacing w:after="156" w:afterLines="50" w:line="300" w:lineRule="auto"/>
        <w:outlineLvl w:val="0"/>
        <w:rPr>
          <w:rFonts w:ascii="Arial" w:hAnsi="Arial" w:eastAsia="宋体" w:cs="Arial"/>
          <w:sz w:val="28"/>
          <w:szCs w:val="28"/>
        </w:rPr>
      </w:pPr>
      <w:bookmarkStart w:id="3" w:name="_Toc496025795"/>
      <w:r>
        <w:rPr>
          <w:rFonts w:ascii="Arial" w:hAnsi="Arial" w:eastAsia="宋体" w:cs="Arial"/>
          <w:sz w:val="28"/>
          <w:szCs w:val="28"/>
        </w:rPr>
        <w:t>简介</w:t>
      </w:r>
      <w:bookmarkEnd w:id="3"/>
    </w:p>
    <w:p w14:paraId="52BF6A0B">
      <w:pPr>
        <w:pStyle w:val="50"/>
        <w:shd w:val="clear" w:color="auto" w:fill="auto"/>
        <w:overflowPunct w:val="0"/>
        <w:adjustRightInd w:val="0"/>
        <w:snapToGrid w:val="0"/>
        <w:spacing w:before="0" w:after="156" w:afterLines="50" w:line="300" w:lineRule="auto"/>
        <w:ind w:firstLine="0"/>
        <w:jc w:val="both"/>
        <w:rPr>
          <w:rFonts w:ascii="Arial" w:hAnsi="Arial" w:eastAsia="宋体" w:cs="Arial"/>
          <w:sz w:val="24"/>
          <w:szCs w:val="24"/>
        </w:rPr>
      </w:pPr>
      <w:r>
        <w:rPr>
          <w:rFonts w:ascii="Arial" w:hAnsi="Arial" w:eastAsia="宋体" w:cs="Arial"/>
          <w:sz w:val="24"/>
          <w:szCs w:val="24"/>
        </w:rPr>
        <w:t>本指南旨在帮助临床研究者、行业和FDA工作人员解释和遵守21 CFR第54</w:t>
      </w:r>
      <w:r>
        <w:rPr>
          <w:rFonts w:hint="eastAsia" w:ascii="Arial" w:hAnsi="Arial" w:eastAsia="宋体" w:cs="Arial"/>
          <w:sz w:val="24"/>
          <w:szCs w:val="24"/>
        </w:rPr>
        <w:t>部分</w:t>
      </w:r>
      <w:r>
        <w:rPr>
          <w:rFonts w:ascii="Arial" w:hAnsi="Arial" w:eastAsia="宋体" w:cs="Arial"/>
          <w:sz w:val="24"/>
          <w:szCs w:val="24"/>
        </w:rPr>
        <w:t>中临床研究者的财务披露管理条例。本文件是对</w:t>
      </w:r>
      <w:r>
        <w:rPr>
          <w:rFonts w:ascii="宋体" w:hAnsi="宋体" w:eastAsia="宋体" w:cs="Arial"/>
          <w:sz w:val="24"/>
          <w:szCs w:val="24"/>
        </w:rPr>
        <w:t>“</w:t>
      </w:r>
      <w:r>
        <w:rPr>
          <w:rFonts w:ascii="Arial" w:hAnsi="Arial" w:eastAsia="宋体" w:cs="Arial"/>
          <w:sz w:val="24"/>
          <w:szCs w:val="24"/>
        </w:rPr>
        <w:t>行业指南：临床研究者财务披露</w:t>
      </w:r>
      <w:r>
        <w:rPr>
          <w:rFonts w:cs="Arial" w:asciiTheme="majorEastAsia" w:hAnsiTheme="majorEastAsia" w:eastAsiaTheme="majorEastAsia"/>
          <w:sz w:val="24"/>
          <w:szCs w:val="24"/>
        </w:rPr>
        <w:t>”</w:t>
      </w:r>
      <w:r>
        <w:rPr>
          <w:rFonts w:ascii="Arial" w:hAnsi="Arial" w:eastAsia="宋体" w:cs="Arial"/>
          <w:sz w:val="24"/>
          <w:szCs w:val="24"/>
        </w:rPr>
        <w:t>（2001年3月20日）的修订。为了解决卫生</w:t>
      </w:r>
      <w:r>
        <w:rPr>
          <w:rFonts w:hint="eastAsia" w:ascii="Arial" w:hAnsi="Arial" w:eastAsia="宋体" w:cs="Arial"/>
          <w:sz w:val="24"/>
          <w:szCs w:val="24"/>
        </w:rPr>
        <w:t>与公众</w:t>
      </w:r>
      <w:r>
        <w:rPr>
          <w:rFonts w:ascii="Arial" w:hAnsi="Arial" w:eastAsia="宋体" w:cs="Arial"/>
          <w:sz w:val="24"/>
          <w:szCs w:val="24"/>
        </w:rPr>
        <w:t>服务部监察长办公室（OIG）在其报告（OEI-05-01-00130）中提出的问题：</w:t>
      </w:r>
      <w:r>
        <w:rPr>
          <w:rFonts w:ascii="Arial" w:hAnsi="Arial" w:eastAsia="宋体" w:cs="Arial"/>
          <w:i/>
          <w:sz w:val="24"/>
          <w:szCs w:val="24"/>
        </w:rPr>
        <w:t>食品药品监督管理局对临床研究者财务信息的监督问题</w:t>
      </w:r>
      <w:r>
        <w:rPr>
          <w:rStyle w:val="24"/>
          <w:rFonts w:ascii="Arial" w:hAnsi="Arial" w:eastAsia="宋体" w:cs="Arial"/>
          <w:i/>
          <w:sz w:val="24"/>
          <w:szCs w:val="24"/>
        </w:rPr>
        <w:footnoteReference w:id="1"/>
      </w:r>
      <w:r>
        <w:rPr>
          <w:rFonts w:ascii="Arial" w:hAnsi="Arial" w:eastAsia="宋体" w:cs="Arial"/>
          <w:sz w:val="24"/>
          <w:szCs w:val="24"/>
        </w:rPr>
        <w:t>以及FDA收到的来自行业和公众的问题，FDA于2011年5月发布了一份修订的指南草案，以征询公众意见。收到了来自13</w:t>
      </w:r>
      <w:r>
        <w:rPr>
          <w:rFonts w:hint="eastAsia" w:ascii="Arial" w:hAnsi="Arial" w:eastAsia="宋体" w:cs="Arial"/>
          <w:sz w:val="24"/>
          <w:szCs w:val="24"/>
        </w:rPr>
        <w:t>例个人和企业</w:t>
      </w:r>
      <w:r>
        <w:rPr>
          <w:rFonts w:ascii="Arial" w:hAnsi="Arial" w:eastAsia="宋体" w:cs="Arial"/>
          <w:sz w:val="24"/>
          <w:szCs w:val="24"/>
        </w:rPr>
        <w:t>的意见，在起草最终版指南时考虑了这些意见。FDA鼓励申请人和申办方与</w:t>
      </w:r>
      <w:r>
        <w:rPr>
          <w:rFonts w:hint="eastAsia" w:ascii="Arial" w:hAnsi="Arial" w:eastAsia="宋体" w:cs="Arial"/>
          <w:sz w:val="24"/>
          <w:szCs w:val="24"/>
        </w:rPr>
        <w:t>机构</w:t>
      </w:r>
      <w:r>
        <w:rPr>
          <w:rFonts w:ascii="Arial" w:hAnsi="Arial" w:eastAsia="宋体" w:cs="Arial"/>
          <w:sz w:val="24"/>
          <w:szCs w:val="24"/>
        </w:rPr>
        <w:t>联系，就财务披露的具体情况提出建议，这些可能会在产品的开发过程中尽可能早地引起关注。</w:t>
      </w:r>
    </w:p>
    <w:p w14:paraId="4267663B">
      <w:pPr>
        <w:pStyle w:val="50"/>
        <w:shd w:val="clear" w:color="auto" w:fill="auto"/>
        <w:overflowPunct w:val="0"/>
        <w:adjustRightInd w:val="0"/>
        <w:snapToGrid w:val="0"/>
        <w:spacing w:before="0" w:after="156" w:afterLines="50" w:line="300" w:lineRule="auto"/>
        <w:ind w:firstLine="0"/>
        <w:jc w:val="both"/>
        <w:rPr>
          <w:rFonts w:ascii="Arial" w:hAnsi="Arial" w:eastAsia="宋体" w:cs="Arial"/>
          <w:sz w:val="24"/>
          <w:szCs w:val="24"/>
        </w:rPr>
      </w:pPr>
      <w:r>
        <w:rPr>
          <w:rFonts w:ascii="Arial" w:hAnsi="Arial" w:eastAsia="宋体" w:cs="Arial"/>
          <w:sz w:val="24"/>
          <w:szCs w:val="24"/>
        </w:rPr>
        <w:t>FDA指导性文件，包括本指南</w:t>
      </w:r>
      <w:r>
        <w:rPr>
          <w:rFonts w:hint="eastAsia" w:ascii="Arial" w:hAnsi="Arial" w:eastAsia="宋体" w:cs="Arial"/>
          <w:sz w:val="24"/>
          <w:szCs w:val="24"/>
        </w:rPr>
        <w:t>在内</w:t>
      </w:r>
      <w:r>
        <w:rPr>
          <w:rFonts w:ascii="Arial" w:hAnsi="Arial" w:eastAsia="宋体" w:cs="Arial"/>
          <w:sz w:val="24"/>
          <w:szCs w:val="24"/>
        </w:rPr>
        <w:t>，不构成法律上的强制责任。相反，指南描述了</w:t>
      </w:r>
      <w:r>
        <w:rPr>
          <w:rFonts w:hint="eastAsia" w:ascii="Arial" w:hAnsi="Arial" w:eastAsia="宋体" w:cs="Arial"/>
          <w:sz w:val="24"/>
          <w:szCs w:val="24"/>
        </w:rPr>
        <w:t>机构</w:t>
      </w:r>
      <w:r>
        <w:rPr>
          <w:rFonts w:ascii="Arial" w:hAnsi="Arial" w:eastAsia="宋体" w:cs="Arial"/>
          <w:sz w:val="24"/>
          <w:szCs w:val="24"/>
        </w:rPr>
        <w:t>目前对某一主题的看法，只应视为建议，除非引用了具体的法规或</w:t>
      </w:r>
      <w:r>
        <w:rPr>
          <w:rFonts w:hint="eastAsia" w:ascii="Arial" w:hAnsi="Arial" w:eastAsia="宋体" w:cs="Arial"/>
          <w:sz w:val="24"/>
          <w:szCs w:val="24"/>
        </w:rPr>
        <w:t>法律</w:t>
      </w:r>
      <w:r>
        <w:rPr>
          <w:rFonts w:ascii="Arial" w:hAnsi="Arial" w:eastAsia="宋体" w:cs="Arial"/>
          <w:sz w:val="24"/>
          <w:szCs w:val="24"/>
        </w:rPr>
        <w:t>要求。在</w:t>
      </w:r>
      <w:r>
        <w:rPr>
          <w:rFonts w:hint="eastAsia" w:ascii="Arial" w:hAnsi="Arial" w:eastAsia="宋体" w:cs="Arial"/>
          <w:sz w:val="24"/>
          <w:szCs w:val="24"/>
        </w:rPr>
        <w:t>机构</w:t>
      </w:r>
      <w:r>
        <w:rPr>
          <w:rFonts w:ascii="Arial" w:hAnsi="Arial" w:eastAsia="宋体" w:cs="Arial"/>
          <w:sz w:val="24"/>
          <w:szCs w:val="24"/>
        </w:rPr>
        <w:t>的指南中使用</w:t>
      </w:r>
      <w:r>
        <w:rPr>
          <w:rFonts w:hint="eastAsia" w:ascii="Arial" w:hAnsi="Arial" w:eastAsia="宋体" w:cs="Arial"/>
          <w:sz w:val="24"/>
          <w:szCs w:val="24"/>
        </w:rPr>
        <w:t>术语</w:t>
      </w:r>
      <w:r>
        <w:rPr>
          <w:rFonts w:ascii="宋体" w:hAnsi="宋体" w:eastAsia="宋体" w:cs="Arial"/>
          <w:sz w:val="24"/>
          <w:szCs w:val="24"/>
        </w:rPr>
        <w:t>“</w:t>
      </w:r>
      <w:r>
        <w:rPr>
          <w:rFonts w:ascii="Arial" w:hAnsi="Arial" w:eastAsia="宋体" w:cs="Arial"/>
          <w:sz w:val="24"/>
          <w:szCs w:val="24"/>
        </w:rPr>
        <w:t>应</w:t>
      </w:r>
      <w:r>
        <w:rPr>
          <w:rFonts w:cs="Arial" w:asciiTheme="majorEastAsia" w:hAnsiTheme="majorEastAsia" w:eastAsiaTheme="majorEastAsia"/>
          <w:sz w:val="24"/>
          <w:szCs w:val="24"/>
        </w:rPr>
        <w:t>”</w:t>
      </w:r>
      <w:r>
        <w:rPr>
          <w:rFonts w:ascii="Arial" w:hAnsi="Arial" w:eastAsia="宋体" w:cs="Arial"/>
          <w:sz w:val="24"/>
          <w:szCs w:val="24"/>
        </w:rPr>
        <w:t>，</w:t>
      </w:r>
      <w:r>
        <w:rPr>
          <w:rFonts w:hint="eastAsia" w:ascii="Arial" w:hAnsi="Arial" w:eastAsia="宋体" w:cs="Arial"/>
          <w:sz w:val="24"/>
          <w:szCs w:val="24"/>
        </w:rPr>
        <w:t>表示“</w:t>
      </w:r>
      <w:r>
        <w:rPr>
          <w:rFonts w:ascii="Arial" w:hAnsi="Arial" w:eastAsia="宋体" w:cs="Arial"/>
          <w:sz w:val="24"/>
          <w:szCs w:val="24"/>
        </w:rPr>
        <w:t>建议</w:t>
      </w:r>
      <w:r>
        <w:rPr>
          <w:rFonts w:hint="eastAsia" w:ascii="Arial" w:hAnsi="Arial" w:eastAsia="宋体" w:cs="Arial"/>
          <w:sz w:val="24"/>
          <w:szCs w:val="24"/>
        </w:rPr>
        <w:t>”</w:t>
      </w:r>
      <w:r>
        <w:rPr>
          <w:rFonts w:ascii="Arial" w:hAnsi="Arial" w:eastAsia="宋体" w:cs="Arial"/>
          <w:sz w:val="24"/>
          <w:szCs w:val="24"/>
        </w:rPr>
        <w:t>或</w:t>
      </w:r>
      <w:r>
        <w:rPr>
          <w:rFonts w:hint="eastAsia" w:ascii="Arial" w:hAnsi="Arial" w:eastAsia="宋体" w:cs="Arial"/>
          <w:sz w:val="24"/>
          <w:szCs w:val="24"/>
        </w:rPr>
        <w:t>“</w:t>
      </w:r>
      <w:r>
        <w:rPr>
          <w:rFonts w:ascii="Arial" w:hAnsi="Arial" w:eastAsia="宋体" w:cs="Arial"/>
          <w:sz w:val="24"/>
          <w:szCs w:val="24"/>
        </w:rPr>
        <w:t>推荐</w:t>
      </w:r>
      <w:r>
        <w:rPr>
          <w:rFonts w:hint="eastAsia" w:ascii="Arial" w:hAnsi="Arial" w:eastAsia="宋体" w:cs="Arial"/>
          <w:sz w:val="24"/>
          <w:szCs w:val="24"/>
        </w:rPr>
        <w:t>”意见</w:t>
      </w:r>
      <w:r>
        <w:rPr>
          <w:rFonts w:ascii="Arial" w:hAnsi="Arial" w:eastAsia="宋体" w:cs="Arial"/>
          <w:sz w:val="24"/>
          <w:szCs w:val="24"/>
        </w:rPr>
        <w:t>，但并不是必需的。</w:t>
      </w:r>
    </w:p>
    <w:p w14:paraId="0A49C9A5">
      <w:pPr>
        <w:pStyle w:val="44"/>
        <w:numPr>
          <w:ilvl w:val="0"/>
          <w:numId w:val="2"/>
        </w:numPr>
        <w:shd w:val="clear" w:color="auto" w:fill="auto"/>
        <w:overflowPunct w:val="0"/>
        <w:snapToGrid w:val="0"/>
        <w:spacing w:after="156" w:afterLines="50" w:line="300" w:lineRule="auto"/>
        <w:outlineLvl w:val="0"/>
        <w:rPr>
          <w:rFonts w:ascii="Arial" w:hAnsi="Arial" w:eastAsia="宋体" w:cs="Arial"/>
          <w:sz w:val="28"/>
          <w:szCs w:val="28"/>
        </w:rPr>
      </w:pPr>
      <w:bookmarkStart w:id="4" w:name="_Toc496025796"/>
      <w:r>
        <w:rPr>
          <w:rFonts w:ascii="Arial" w:hAnsi="Arial" w:eastAsia="宋体" w:cs="Arial"/>
          <w:sz w:val="28"/>
          <w:szCs w:val="28"/>
        </w:rPr>
        <w:t>背景</w:t>
      </w:r>
      <w:bookmarkEnd w:id="4"/>
    </w:p>
    <w:p w14:paraId="202D1F07">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临床研究者财务披露条例</w:t>
      </w:r>
      <w:r>
        <w:rPr>
          <w:rFonts w:cs="Arial" w:asciiTheme="majorEastAsia" w:hAnsiTheme="majorEastAsia" w:eastAsiaTheme="majorEastAsia"/>
          <w:sz w:val="24"/>
          <w:szCs w:val="24"/>
        </w:rPr>
        <w:t>”</w:t>
      </w:r>
      <w:r>
        <w:rPr>
          <w:rFonts w:ascii="Arial" w:hAnsi="Arial" w:eastAsia="宋体" w:cs="Arial"/>
          <w:sz w:val="24"/>
          <w:szCs w:val="24"/>
        </w:rPr>
        <w:t>（21 CFR第54</w:t>
      </w:r>
      <w:r>
        <w:rPr>
          <w:rFonts w:hint="eastAsia" w:ascii="Arial" w:hAnsi="Arial" w:eastAsia="宋体" w:cs="Arial"/>
          <w:sz w:val="24"/>
          <w:szCs w:val="24"/>
        </w:rPr>
        <w:t>部分</w:t>
      </w:r>
      <w:r>
        <w:rPr>
          <w:rFonts w:ascii="Arial" w:hAnsi="Arial" w:eastAsia="宋体" w:cs="Arial"/>
          <w:sz w:val="24"/>
          <w:szCs w:val="24"/>
        </w:rPr>
        <w:t>）要求，提交药品、生物制剂或医疗器械上市申请的申请人，需提交有关该条例涉及的临床研究者所执行临床研究的任何报酬、经济利益和协议（见21 CFR第54.1</w:t>
      </w:r>
      <w:r>
        <w:rPr>
          <w:rFonts w:hint="eastAsia" w:ascii="Arial" w:hAnsi="Arial" w:eastAsia="宋体" w:cs="Arial"/>
          <w:sz w:val="24"/>
          <w:szCs w:val="24"/>
        </w:rPr>
        <w:t>部分</w:t>
      </w:r>
      <w:r>
        <w:rPr>
          <w:rFonts w:ascii="Arial" w:hAnsi="Arial" w:eastAsia="宋体" w:cs="Arial"/>
          <w:sz w:val="24"/>
          <w:szCs w:val="24"/>
        </w:rPr>
        <w:t>中的目的）。</w:t>
      </w:r>
    </w:p>
    <w:p w14:paraId="3DF128B5">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0C54B16E">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5130FAE4">
      <w:pPr>
        <w:spacing w:after="0" w:line="240" w:lineRule="auto"/>
        <w:rPr>
          <w:rFonts w:ascii="Arial" w:hAnsi="Arial" w:eastAsia="宋体" w:cs="Arial"/>
          <w:kern w:val="2"/>
          <w:sz w:val="24"/>
          <w:szCs w:val="24"/>
        </w:rPr>
      </w:pPr>
      <w:r>
        <w:rPr>
          <w:rFonts w:ascii="Arial" w:hAnsi="Arial" w:eastAsia="宋体" w:cs="Arial"/>
          <w:sz w:val="24"/>
          <w:szCs w:val="24"/>
        </w:rPr>
        <w:br w:type="page"/>
      </w:r>
    </w:p>
    <w:p w14:paraId="3F570353">
      <w:pPr>
        <w:pStyle w:val="50"/>
        <w:shd w:val="clear" w:color="auto" w:fill="auto"/>
        <w:overflowPunct w:val="0"/>
        <w:adjustRightInd w:val="0"/>
        <w:snapToGrid w:val="0"/>
        <w:spacing w:before="0" w:after="156" w:afterLines="50" w:line="300" w:lineRule="auto"/>
        <w:ind w:firstLine="0"/>
        <w:jc w:val="both"/>
        <w:rPr>
          <w:rFonts w:ascii="Arial" w:hAnsi="Arial" w:eastAsia="宋体" w:cs="Arial"/>
          <w:sz w:val="24"/>
          <w:szCs w:val="24"/>
        </w:rPr>
      </w:pPr>
      <w:r>
        <w:rPr>
          <w:rFonts w:ascii="Arial" w:hAnsi="Arial" w:eastAsia="宋体" w:cs="Arial"/>
          <w:sz w:val="24"/>
          <w:szCs w:val="24"/>
        </w:rPr>
        <w:t>该条例于1999年2月2日生效，适用于上市申请中提交的临床研究，包括对原始申请的补充或修正，申请人或FDA据此而确认了该产品有效</w:t>
      </w:r>
      <w:r>
        <w:rPr>
          <w:rFonts w:hint="eastAsia" w:ascii="Arial" w:hAnsi="Arial" w:eastAsia="宋体" w:cs="Arial"/>
          <w:sz w:val="24"/>
          <w:szCs w:val="24"/>
        </w:rPr>
        <w:t>性</w:t>
      </w:r>
      <w:r>
        <w:rPr>
          <w:rFonts w:ascii="Arial" w:hAnsi="Arial" w:eastAsia="宋体" w:cs="Arial"/>
          <w:sz w:val="24"/>
          <w:szCs w:val="24"/>
        </w:rPr>
        <w:t>，以及由个别研究者对证明产品的安全性做出了重大贡献的任何研究（21 CFR§§54.2（e）和54.3）。该条例要求申请人证明临床研究者不存在某些可能会影响提交</w:t>
      </w:r>
      <w:r>
        <w:rPr>
          <w:rFonts w:hint="eastAsia" w:ascii="Arial" w:hAnsi="Arial" w:eastAsia="宋体" w:cs="Arial"/>
          <w:sz w:val="24"/>
          <w:szCs w:val="24"/>
        </w:rPr>
        <w:t>至</w:t>
      </w:r>
      <w:r>
        <w:rPr>
          <w:rFonts w:ascii="Arial" w:hAnsi="Arial" w:eastAsia="宋体" w:cs="Arial"/>
          <w:sz w:val="24"/>
          <w:szCs w:val="24"/>
        </w:rPr>
        <w:t>FDA的数据可靠性的经济利益和协议，或向</w:t>
      </w:r>
      <w:r>
        <w:rPr>
          <w:rFonts w:hint="eastAsia" w:ascii="Arial" w:hAnsi="Arial" w:eastAsia="宋体" w:cs="Arial"/>
          <w:sz w:val="24"/>
          <w:szCs w:val="24"/>
        </w:rPr>
        <w:t>机构</w:t>
      </w:r>
      <w:r>
        <w:rPr>
          <w:rFonts w:ascii="Arial" w:hAnsi="Arial" w:eastAsia="宋体" w:cs="Arial"/>
          <w:sz w:val="24"/>
          <w:szCs w:val="24"/>
        </w:rPr>
        <w:t>披露那些经济利益和协议，并说明为了尽量减少可能的偏倚而采取的措施（21 CFR§54.4（a））。如果申请人没有在资料中提交证明和/或披露信息，或者尽管进行了尽职调查而未能取得资料，</w:t>
      </w:r>
      <w:r>
        <w:rPr>
          <w:rFonts w:hint="eastAsia" w:ascii="Arial" w:hAnsi="Arial" w:eastAsia="宋体" w:cs="Arial"/>
          <w:sz w:val="24"/>
          <w:szCs w:val="24"/>
        </w:rPr>
        <w:t>则机构</w:t>
      </w:r>
      <w:r>
        <w:rPr>
          <w:rFonts w:ascii="Arial" w:hAnsi="Arial" w:eastAsia="宋体" w:cs="Arial"/>
          <w:sz w:val="24"/>
          <w:szCs w:val="24"/>
        </w:rPr>
        <w:t>可以拒收该申请提交（21 CFR§54.4（c））。</w:t>
      </w:r>
    </w:p>
    <w:p w14:paraId="07CAFA40">
      <w:pPr>
        <w:pStyle w:val="44"/>
        <w:numPr>
          <w:ilvl w:val="0"/>
          <w:numId w:val="2"/>
        </w:numPr>
        <w:shd w:val="clear" w:color="auto" w:fill="auto"/>
        <w:overflowPunct w:val="0"/>
        <w:snapToGrid w:val="0"/>
        <w:spacing w:after="156" w:afterLines="50" w:line="300" w:lineRule="auto"/>
        <w:outlineLvl w:val="0"/>
        <w:rPr>
          <w:rFonts w:ascii="Arial" w:hAnsi="Arial" w:eastAsia="宋体" w:cs="Arial"/>
          <w:sz w:val="28"/>
          <w:szCs w:val="28"/>
        </w:rPr>
      </w:pPr>
      <w:bookmarkStart w:id="5" w:name="_Toc496025797"/>
      <w:r>
        <w:rPr>
          <w:rFonts w:ascii="Arial" w:hAnsi="Arial" w:eastAsia="宋体" w:cs="Arial"/>
          <w:sz w:val="28"/>
          <w:szCs w:val="28"/>
        </w:rPr>
        <w:t>财务披露的要求</w:t>
      </w:r>
      <w:bookmarkEnd w:id="5"/>
    </w:p>
    <w:p w14:paraId="0840A480">
      <w:pPr>
        <w:pStyle w:val="50"/>
        <w:shd w:val="clear" w:color="auto" w:fill="auto"/>
        <w:overflowPunct w:val="0"/>
        <w:adjustRightInd w:val="0"/>
        <w:snapToGrid w:val="0"/>
        <w:spacing w:before="0" w:after="156" w:afterLines="50" w:line="300" w:lineRule="auto"/>
        <w:ind w:firstLine="0"/>
        <w:jc w:val="both"/>
        <w:rPr>
          <w:rFonts w:ascii="Arial" w:hAnsi="Arial" w:eastAsia="宋体" w:cs="Arial"/>
          <w:sz w:val="24"/>
          <w:szCs w:val="24"/>
        </w:rPr>
      </w:pPr>
      <w:r>
        <w:rPr>
          <w:rFonts w:ascii="Arial" w:hAnsi="Arial" w:eastAsia="宋体" w:cs="Arial"/>
          <w:sz w:val="24"/>
          <w:szCs w:val="24"/>
        </w:rPr>
        <w:t>根据适用的条例</w:t>
      </w:r>
      <w:r>
        <w:rPr>
          <w:rStyle w:val="24"/>
          <w:rFonts w:ascii="Arial" w:hAnsi="Arial" w:eastAsia="宋体" w:cs="Arial"/>
          <w:sz w:val="24"/>
          <w:szCs w:val="24"/>
        </w:rPr>
        <w:footnoteReference w:id="2"/>
      </w:r>
      <w:r>
        <w:rPr>
          <w:rFonts w:ascii="Arial" w:hAnsi="Arial" w:eastAsia="宋体" w:cs="Arial"/>
          <w:sz w:val="24"/>
          <w:szCs w:val="24"/>
        </w:rPr>
        <w:t>，申请人必须向FDA提交执行该申请所涉及临床研究的所有临床研究者名单，并</w:t>
      </w:r>
      <w:r>
        <w:rPr>
          <w:rFonts w:hint="eastAsia" w:ascii="Arial" w:hAnsi="Arial" w:eastAsia="宋体" w:cs="Arial"/>
          <w:sz w:val="24"/>
          <w:szCs w:val="24"/>
        </w:rPr>
        <w:t>确定</w:t>
      </w:r>
      <w:r>
        <w:rPr>
          <w:rFonts w:ascii="Arial" w:hAnsi="Arial" w:eastAsia="宋体" w:cs="Arial"/>
          <w:sz w:val="24"/>
          <w:szCs w:val="24"/>
        </w:rPr>
        <w:t>每项研究</w:t>
      </w:r>
      <w:r>
        <w:rPr>
          <w:rFonts w:hint="eastAsia" w:ascii="Arial" w:hAnsi="Arial" w:eastAsia="宋体" w:cs="Arial"/>
          <w:sz w:val="24"/>
          <w:szCs w:val="24"/>
        </w:rPr>
        <w:t>涉及的</w:t>
      </w:r>
      <w:r>
        <w:rPr>
          <w:rFonts w:ascii="Arial" w:hAnsi="Arial" w:eastAsia="宋体" w:cs="Arial"/>
          <w:sz w:val="24"/>
          <w:szCs w:val="24"/>
        </w:rPr>
        <w:t>申办方的全职或兼职人员（21 CFR§54.4）。对于不是临床研究申办方的全职或兼职人员的每名临床研究者，申请人必须提交一份证明（使用FDA 3454表），以证明不存在21 CFR§54.4（a）（3）中描述的任何经济利益或协议（见下文第III.B.节），或者完整而准确地向</w:t>
      </w:r>
      <w:r>
        <w:rPr>
          <w:rFonts w:hint="eastAsia" w:ascii="Arial" w:hAnsi="Arial" w:eastAsia="宋体" w:cs="Arial"/>
          <w:sz w:val="24"/>
          <w:szCs w:val="24"/>
        </w:rPr>
        <w:t>机构</w:t>
      </w:r>
      <w:r>
        <w:rPr>
          <w:rFonts w:ascii="Arial" w:hAnsi="Arial" w:eastAsia="宋体" w:cs="Arial"/>
          <w:sz w:val="24"/>
          <w:szCs w:val="24"/>
        </w:rPr>
        <w:t>披露这些利益和协议的性质（使用FDA 3455表），并说明为了尽量减少因那些利益和协议而可能出现的偏倚所采取的任何措施（21 CFR§54.4（a））。如果申请人为获取所需信息而进行了尽职调查却未能获得，申请人可以证明其进行了尽职调查但无法获取信息，并列出无法获取信息的原因（21 CFR§ 54.4）。</w:t>
      </w:r>
    </w:p>
    <w:p w14:paraId="734E47E8">
      <w:pPr>
        <w:pStyle w:val="50"/>
        <w:shd w:val="clear" w:color="auto" w:fill="auto"/>
        <w:overflowPunct w:val="0"/>
        <w:adjustRightInd w:val="0"/>
        <w:snapToGrid w:val="0"/>
        <w:spacing w:before="0" w:after="156" w:afterLines="50" w:line="300" w:lineRule="auto"/>
        <w:ind w:firstLine="0"/>
        <w:jc w:val="both"/>
        <w:rPr>
          <w:rFonts w:ascii="Arial" w:hAnsi="Arial" w:eastAsia="宋体" w:cs="Arial"/>
          <w:sz w:val="24"/>
          <w:szCs w:val="24"/>
        </w:rPr>
      </w:pPr>
      <w:r>
        <w:rPr>
          <w:rFonts w:ascii="Arial" w:hAnsi="Arial" w:eastAsia="宋体" w:cs="Arial"/>
          <w:sz w:val="24"/>
          <w:szCs w:val="24"/>
        </w:rPr>
        <w:t>FDA</w:t>
      </w:r>
      <w:r>
        <w:rPr>
          <w:rFonts w:hint="eastAsia" w:ascii="Arial" w:hAnsi="Arial" w:eastAsia="宋体" w:cs="Arial"/>
          <w:sz w:val="24"/>
          <w:szCs w:val="24"/>
        </w:rPr>
        <w:t>通常</w:t>
      </w:r>
      <w:r>
        <w:rPr>
          <w:rFonts w:ascii="Arial" w:hAnsi="Arial" w:eastAsia="宋体" w:cs="Arial"/>
          <w:sz w:val="24"/>
          <w:szCs w:val="24"/>
        </w:rPr>
        <w:t>希望申请人能够提供此信息。在21 CFR§§312.53（c），812.20（b）（5）和812.43（c）中，申办方需要先获取临床研究者的财务信息，才能允许临床研究者参与所涉及的临床研究。根据21 CFR§54.4（b），涉及的临床研究中不属于申办方的全职或兼职员工的每名临床研究者，必须向申办方提供充分而准确的财务信息，以便于完全披露或证明，并在研究期间和研究完成后一年内发生任何相关变化时更新</w:t>
      </w:r>
      <w:r>
        <w:rPr>
          <w:rFonts w:hint="eastAsia" w:ascii="Arial" w:hAnsi="Arial" w:eastAsia="宋体" w:cs="Arial"/>
          <w:sz w:val="24"/>
          <w:szCs w:val="24"/>
        </w:rPr>
        <w:t>此信息</w:t>
      </w:r>
      <w:r>
        <w:rPr>
          <w:rFonts w:ascii="Arial" w:hAnsi="Arial" w:eastAsia="宋体" w:cs="Arial"/>
          <w:sz w:val="24"/>
          <w:szCs w:val="24"/>
        </w:rPr>
        <w:t>。</w:t>
      </w:r>
    </w:p>
    <w:p w14:paraId="6AB56BE7">
      <w:pPr>
        <w:pStyle w:val="44"/>
        <w:numPr>
          <w:ilvl w:val="0"/>
          <w:numId w:val="3"/>
        </w:numPr>
        <w:shd w:val="clear" w:color="auto" w:fill="auto"/>
        <w:overflowPunct w:val="0"/>
        <w:snapToGrid w:val="0"/>
        <w:spacing w:after="156" w:afterLines="50" w:line="300" w:lineRule="auto"/>
        <w:ind w:left="357" w:hanging="357"/>
        <w:jc w:val="both"/>
        <w:outlineLvl w:val="1"/>
        <w:rPr>
          <w:rFonts w:ascii="Arial" w:hAnsi="Arial" w:eastAsia="宋体" w:cs="Arial"/>
          <w:sz w:val="24"/>
          <w:szCs w:val="24"/>
        </w:rPr>
      </w:pPr>
      <w:bookmarkStart w:id="6" w:name="_Toc496025798"/>
      <w:r>
        <w:rPr>
          <w:rFonts w:ascii="Arial" w:hAnsi="Arial" w:eastAsia="宋体" w:cs="Arial"/>
          <w:sz w:val="24"/>
          <w:szCs w:val="24"/>
        </w:rPr>
        <w:t>定义</w:t>
      </w:r>
      <w:bookmarkEnd w:id="6"/>
    </w:p>
    <w:p w14:paraId="620A1BC1">
      <w:pPr>
        <w:pStyle w:val="50"/>
        <w:shd w:val="clear" w:color="auto" w:fill="auto"/>
        <w:overflowPunct w:val="0"/>
        <w:adjustRightInd w:val="0"/>
        <w:snapToGrid w:val="0"/>
        <w:spacing w:before="0" w:after="156" w:afterLines="50" w:line="300" w:lineRule="auto"/>
        <w:ind w:firstLine="0"/>
        <w:jc w:val="both"/>
        <w:rPr>
          <w:rFonts w:ascii="Arial" w:hAnsi="Arial" w:eastAsia="宋体" w:cs="Arial"/>
          <w:sz w:val="24"/>
          <w:szCs w:val="24"/>
        </w:rPr>
      </w:pPr>
      <w:r>
        <w:rPr>
          <w:rFonts w:ascii="Arial" w:hAnsi="Arial" w:eastAsia="宋体" w:cs="Arial"/>
          <w:b/>
          <w:sz w:val="24"/>
          <w:szCs w:val="24"/>
        </w:rPr>
        <w:t xml:space="preserve">临床研究者 - </w:t>
      </w:r>
      <w:r>
        <w:rPr>
          <w:rFonts w:ascii="Arial" w:hAnsi="Arial" w:eastAsia="宋体" w:cs="Arial"/>
          <w:sz w:val="24"/>
          <w:szCs w:val="24"/>
        </w:rPr>
        <w:t>就第54</w:t>
      </w:r>
      <w:r>
        <w:rPr>
          <w:rFonts w:hint="eastAsia" w:ascii="Arial" w:hAnsi="Arial" w:eastAsia="宋体" w:cs="Arial"/>
          <w:sz w:val="24"/>
          <w:szCs w:val="24"/>
        </w:rPr>
        <w:t>部分</w:t>
      </w:r>
      <w:r>
        <w:rPr>
          <w:rFonts w:ascii="Arial" w:hAnsi="Arial" w:eastAsia="宋体" w:cs="Arial"/>
          <w:sz w:val="24"/>
          <w:szCs w:val="24"/>
        </w:rPr>
        <w:t>而言，</w:t>
      </w:r>
      <w:r>
        <w:rPr>
          <w:rFonts w:ascii="宋体" w:hAnsi="宋体" w:eastAsia="宋体" w:cs="Arial"/>
          <w:sz w:val="24"/>
          <w:szCs w:val="24"/>
        </w:rPr>
        <w:t>“</w:t>
      </w:r>
      <w:r>
        <w:rPr>
          <w:rFonts w:ascii="Arial" w:hAnsi="Arial" w:eastAsia="宋体" w:cs="Arial"/>
          <w:sz w:val="24"/>
          <w:szCs w:val="24"/>
        </w:rPr>
        <w:t>临床研究者</w:t>
      </w:r>
      <w:r>
        <w:rPr>
          <w:rFonts w:cs="Arial" w:asciiTheme="majorEastAsia" w:hAnsiTheme="majorEastAsia" w:eastAsiaTheme="majorEastAsia"/>
          <w:sz w:val="24"/>
          <w:szCs w:val="24"/>
        </w:rPr>
        <w:t>”</w:t>
      </w:r>
      <w:r>
        <w:rPr>
          <w:rFonts w:ascii="Arial" w:hAnsi="Arial" w:eastAsia="宋体" w:cs="Arial"/>
          <w:sz w:val="24"/>
          <w:szCs w:val="24"/>
        </w:rPr>
        <w:t>是指</w:t>
      </w:r>
      <w:r>
        <w:rPr>
          <w:rFonts w:ascii="宋体" w:hAnsi="宋体" w:eastAsia="宋体" w:cs="Arial"/>
          <w:sz w:val="24"/>
          <w:szCs w:val="24"/>
        </w:rPr>
        <w:t>“</w:t>
      </w:r>
      <w:r>
        <w:rPr>
          <w:rFonts w:ascii="Arial" w:hAnsi="Arial" w:eastAsia="宋体" w:cs="Arial"/>
          <w:sz w:val="24"/>
          <w:szCs w:val="24"/>
        </w:rPr>
        <w:t>直接参与</w:t>
      </w:r>
      <w:r>
        <w:rPr>
          <w:rFonts w:hint="eastAsia" w:ascii="Arial" w:hAnsi="Arial" w:eastAsia="宋体" w:cs="Arial"/>
          <w:sz w:val="24"/>
          <w:szCs w:val="24"/>
        </w:rPr>
        <w:t>治疗或评估</w:t>
      </w:r>
      <w:r>
        <w:rPr>
          <w:rFonts w:ascii="Arial" w:hAnsi="Arial" w:eastAsia="宋体" w:cs="Arial"/>
          <w:sz w:val="24"/>
          <w:szCs w:val="24"/>
        </w:rPr>
        <w:t>研究受试者</w:t>
      </w:r>
      <w:r>
        <w:rPr>
          <w:rFonts w:hint="eastAsia" w:ascii="Arial" w:hAnsi="Arial" w:eastAsia="宋体" w:cs="Arial"/>
          <w:sz w:val="24"/>
          <w:szCs w:val="24"/>
        </w:rPr>
        <w:t>所列出</w:t>
      </w:r>
      <w:r>
        <w:rPr>
          <w:rFonts w:ascii="Arial" w:hAnsi="Arial" w:eastAsia="宋体" w:cs="Arial"/>
          <w:sz w:val="24"/>
          <w:szCs w:val="24"/>
        </w:rPr>
        <w:t>或确定的研究者或次要研究者</w:t>
      </w:r>
      <w:r>
        <w:rPr>
          <w:rFonts w:cs="Arial" w:asciiTheme="majorEastAsia" w:hAnsiTheme="majorEastAsia" w:eastAsiaTheme="majorEastAsia"/>
          <w:sz w:val="24"/>
          <w:szCs w:val="24"/>
        </w:rPr>
        <w:t>”</w:t>
      </w:r>
      <w:r>
        <w:rPr>
          <w:rFonts w:ascii="Arial" w:hAnsi="Arial" w:eastAsia="宋体" w:cs="Arial"/>
          <w:sz w:val="24"/>
          <w:szCs w:val="24"/>
        </w:rPr>
        <w:t>，包括研究者或次要研究者的配偶及每名受抚养子女。（见21 CFR§54.2（d））。更多信息请参见</w:t>
      </w:r>
      <w:r>
        <w:rPr>
          <w:rFonts w:hint="eastAsia" w:ascii="Arial" w:hAnsi="Arial" w:eastAsia="宋体" w:cs="Arial"/>
          <w:sz w:val="24"/>
          <w:szCs w:val="24"/>
          <w:u w:val="single"/>
        </w:rPr>
        <w:t>章节</w:t>
      </w:r>
      <w:r>
        <w:rPr>
          <w:rFonts w:ascii="Arial" w:hAnsi="Arial" w:eastAsia="宋体" w:cs="Arial"/>
          <w:sz w:val="24"/>
          <w:szCs w:val="24"/>
          <w:u w:val="single"/>
        </w:rPr>
        <w:t>IV.D</w:t>
      </w:r>
      <w:r>
        <w:rPr>
          <w:rFonts w:ascii="宋体" w:hAnsi="宋体" w:eastAsia="宋体" w:cs="Arial"/>
          <w:sz w:val="24"/>
          <w:szCs w:val="24"/>
          <w:u w:val="single"/>
        </w:rPr>
        <w:t>“</w:t>
      </w:r>
      <w:r>
        <w:rPr>
          <w:rFonts w:ascii="Arial" w:hAnsi="Arial" w:eastAsia="宋体" w:cs="Arial"/>
          <w:sz w:val="24"/>
          <w:szCs w:val="24"/>
          <w:u w:val="single"/>
        </w:rPr>
        <w:t>临床研究者</w:t>
      </w:r>
      <w:r>
        <w:rPr>
          <w:rFonts w:cs="Arial" w:asciiTheme="majorEastAsia" w:hAnsiTheme="majorEastAsia" w:eastAsiaTheme="majorEastAsia"/>
          <w:sz w:val="24"/>
          <w:szCs w:val="24"/>
          <w:u w:val="single"/>
        </w:rPr>
        <w:t>”</w:t>
      </w:r>
      <w:r>
        <w:rPr>
          <w:rFonts w:ascii="Arial" w:hAnsi="Arial" w:eastAsia="宋体" w:cs="Arial"/>
          <w:sz w:val="24"/>
          <w:szCs w:val="24"/>
        </w:rPr>
        <w:t>。即使没有全程参与研究的临床研究者，亦被纳入该定义。如果临床研究者没有参与研究全程，则收集的信息应该是他或她参与研究</w:t>
      </w:r>
      <w:r>
        <w:rPr>
          <w:rFonts w:hint="eastAsia" w:ascii="Arial" w:hAnsi="Arial" w:eastAsia="宋体" w:cs="Arial"/>
          <w:sz w:val="24"/>
          <w:szCs w:val="24"/>
        </w:rPr>
        <w:t>期间</w:t>
      </w:r>
      <w:r>
        <w:rPr>
          <w:rFonts w:ascii="Arial" w:hAnsi="Arial" w:eastAsia="宋体" w:cs="Arial"/>
          <w:sz w:val="24"/>
          <w:szCs w:val="24"/>
        </w:rPr>
        <w:t>，以及结束</w:t>
      </w:r>
      <w:r>
        <w:rPr>
          <w:rFonts w:hint="eastAsia" w:ascii="Arial" w:hAnsi="Arial" w:eastAsia="宋体" w:cs="Arial"/>
          <w:sz w:val="24"/>
          <w:szCs w:val="24"/>
        </w:rPr>
        <w:t>参与</w:t>
      </w:r>
      <w:r>
        <w:rPr>
          <w:rFonts w:ascii="Arial" w:hAnsi="Arial" w:eastAsia="宋体" w:cs="Arial"/>
          <w:sz w:val="24"/>
          <w:szCs w:val="24"/>
        </w:rPr>
        <w:t>研究后的一年。</w:t>
      </w:r>
    </w:p>
    <w:p w14:paraId="7F46DF78">
      <w:pPr>
        <w:spacing w:after="0" w:line="240" w:lineRule="auto"/>
        <w:rPr>
          <w:rFonts w:ascii="Arial" w:hAnsi="Arial" w:eastAsia="宋体" w:cs="Arial"/>
          <w:b/>
          <w:kern w:val="2"/>
          <w:sz w:val="24"/>
          <w:szCs w:val="24"/>
        </w:rPr>
      </w:pPr>
      <w:r>
        <w:rPr>
          <w:rFonts w:ascii="Arial" w:hAnsi="Arial" w:eastAsia="宋体" w:cs="Arial"/>
          <w:b/>
          <w:sz w:val="24"/>
          <w:szCs w:val="24"/>
        </w:rPr>
        <w:br w:type="page"/>
      </w:r>
    </w:p>
    <w:p w14:paraId="275989EB">
      <w:pPr>
        <w:pStyle w:val="50"/>
        <w:shd w:val="clear" w:color="auto" w:fill="auto"/>
        <w:overflowPunct w:val="0"/>
        <w:adjustRightInd w:val="0"/>
        <w:snapToGrid w:val="0"/>
        <w:spacing w:before="0" w:after="156" w:afterLines="50" w:line="300" w:lineRule="auto"/>
        <w:ind w:firstLine="0"/>
        <w:jc w:val="both"/>
        <w:rPr>
          <w:rFonts w:ascii="Arial" w:hAnsi="Arial" w:eastAsia="宋体" w:cs="Arial"/>
          <w:sz w:val="24"/>
          <w:szCs w:val="24"/>
        </w:rPr>
      </w:pPr>
      <w:r>
        <w:rPr>
          <w:rFonts w:ascii="Arial" w:hAnsi="Arial" w:eastAsia="宋体" w:cs="Arial"/>
          <w:b/>
          <w:sz w:val="24"/>
          <w:szCs w:val="24"/>
        </w:rPr>
        <w:t xml:space="preserve">涉及的临床研究 – </w:t>
      </w:r>
      <w:r>
        <w:rPr>
          <w:rFonts w:ascii="Arial" w:hAnsi="Arial" w:eastAsia="宋体" w:cs="Arial"/>
          <w:sz w:val="24"/>
          <w:szCs w:val="24"/>
        </w:rPr>
        <w:t>第54</w:t>
      </w:r>
      <w:r>
        <w:rPr>
          <w:rFonts w:hint="eastAsia" w:ascii="Arial" w:hAnsi="Arial" w:eastAsia="宋体" w:cs="Arial"/>
          <w:sz w:val="24"/>
          <w:szCs w:val="24"/>
        </w:rPr>
        <w:t>部分条例</w:t>
      </w:r>
      <w:r>
        <w:rPr>
          <w:rFonts w:ascii="Arial" w:hAnsi="Arial" w:eastAsia="宋体" w:cs="Arial"/>
          <w:sz w:val="24"/>
          <w:szCs w:val="24"/>
        </w:rPr>
        <w:t>将</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定义为</w:t>
      </w:r>
      <w:r>
        <w:rPr>
          <w:rFonts w:ascii="宋体" w:hAnsi="宋体" w:eastAsia="宋体" w:cs="Arial"/>
          <w:sz w:val="24"/>
          <w:szCs w:val="24"/>
        </w:rPr>
        <w:t>“</w:t>
      </w:r>
      <w:r>
        <w:rPr>
          <w:rFonts w:ascii="Arial" w:hAnsi="Arial" w:eastAsia="宋体" w:cs="Arial"/>
          <w:sz w:val="24"/>
          <w:szCs w:val="24"/>
        </w:rPr>
        <w:t>在上市申请中提交的任何人体药物或医疗器械的研究，或基于此</w:t>
      </w:r>
      <w:r>
        <w:rPr>
          <w:rFonts w:hint="eastAsia" w:ascii="Arial" w:hAnsi="Arial" w:eastAsia="宋体" w:cs="Arial"/>
          <w:sz w:val="24"/>
          <w:szCs w:val="24"/>
        </w:rPr>
        <w:t>部分</w:t>
      </w:r>
      <w:r>
        <w:rPr>
          <w:rFonts w:ascii="Arial" w:hAnsi="Arial" w:eastAsia="宋体" w:cs="Arial"/>
          <w:sz w:val="24"/>
          <w:szCs w:val="24"/>
        </w:rPr>
        <w:t>的重新分类申请，申请人或FDA据此而确认了该产品</w:t>
      </w:r>
      <w:r>
        <w:rPr>
          <w:rFonts w:hint="eastAsia" w:ascii="Arial" w:hAnsi="Arial" w:eastAsia="宋体" w:cs="Arial"/>
          <w:sz w:val="24"/>
          <w:szCs w:val="24"/>
        </w:rPr>
        <w:t>的有效性</w:t>
      </w:r>
      <w:r>
        <w:rPr>
          <w:rFonts w:ascii="Arial" w:hAnsi="Arial" w:eastAsia="宋体" w:cs="Arial"/>
          <w:sz w:val="24"/>
          <w:szCs w:val="24"/>
        </w:rPr>
        <w:t>（包括与有效产品的等同性研究），或由个别研究者对证明产品的安全性做出了重大贡献的任何研究。这通常不包括：1期耐受性研究或药代动力学研究、多数临床药理学研究（除非</w:t>
      </w:r>
      <w:r>
        <w:rPr>
          <w:rFonts w:hint="eastAsia" w:ascii="Arial" w:hAnsi="Arial" w:eastAsia="宋体" w:cs="Arial"/>
          <w:sz w:val="24"/>
          <w:szCs w:val="24"/>
        </w:rPr>
        <w:t>其</w:t>
      </w:r>
      <w:r>
        <w:rPr>
          <w:rFonts w:ascii="Arial" w:hAnsi="Arial" w:eastAsia="宋体" w:cs="Arial"/>
          <w:sz w:val="24"/>
          <w:szCs w:val="24"/>
        </w:rPr>
        <w:t>对疗效确定至关重要）、大型多中心开放的安全性研究、治疗方案和平行研究方案</w:t>
      </w:r>
      <w:r>
        <w:rPr>
          <w:rFonts w:cs="Arial" w:asciiTheme="majorEastAsia" w:hAnsiTheme="majorEastAsia" w:eastAsiaTheme="majorEastAsia"/>
          <w:sz w:val="24"/>
          <w:szCs w:val="24"/>
        </w:rPr>
        <w:t>”</w:t>
      </w:r>
      <w:r>
        <w:rPr>
          <w:rFonts w:ascii="Arial" w:hAnsi="Arial" w:eastAsia="宋体" w:cs="Arial"/>
          <w:sz w:val="24"/>
          <w:szCs w:val="24"/>
        </w:rPr>
        <w:t>（见21 CFR§54.2（e））。该定义包括支持以下申请提交的临床研究：根据</w:t>
      </w:r>
      <w:r>
        <w:rPr>
          <w:rFonts w:ascii="宋体" w:hAnsi="宋体" w:eastAsia="宋体" w:cs="Arial"/>
          <w:sz w:val="24"/>
          <w:szCs w:val="24"/>
        </w:rPr>
        <w:t>“</w:t>
      </w:r>
      <w:r>
        <w:rPr>
          <w:rFonts w:ascii="Arial" w:hAnsi="Arial" w:eastAsia="宋体" w:cs="Arial"/>
          <w:sz w:val="24"/>
          <w:szCs w:val="24"/>
        </w:rPr>
        <w:t>联邦食品、药品和化妆品法案</w:t>
      </w:r>
      <w:r>
        <w:rPr>
          <w:rFonts w:cs="Arial" w:asciiTheme="majorEastAsia" w:hAnsiTheme="majorEastAsia" w:eastAsiaTheme="majorEastAsia"/>
          <w:sz w:val="24"/>
          <w:szCs w:val="24"/>
        </w:rPr>
        <w:t>”</w:t>
      </w:r>
      <w:r>
        <w:rPr>
          <w:rFonts w:ascii="Arial" w:hAnsi="Arial" w:eastAsia="宋体" w:cs="Arial"/>
          <w:sz w:val="24"/>
          <w:szCs w:val="24"/>
        </w:rPr>
        <w:t xml:space="preserve">（FD&amp;C </w:t>
      </w:r>
      <w:r>
        <w:rPr>
          <w:rFonts w:hint="eastAsia" w:ascii="Arial" w:hAnsi="Arial" w:eastAsia="宋体" w:cs="Arial"/>
          <w:sz w:val="24"/>
          <w:szCs w:val="24"/>
        </w:rPr>
        <w:t>法案</w:t>
      </w:r>
      <w:r>
        <w:rPr>
          <w:rFonts w:ascii="Arial" w:hAnsi="Arial" w:eastAsia="宋体" w:cs="Arial"/>
          <w:sz w:val="24"/>
          <w:szCs w:val="24"/>
        </w:rPr>
        <w:t>）505（b）</w:t>
      </w:r>
      <w:r>
        <w:rPr>
          <w:rFonts w:hint="eastAsia" w:ascii="Arial" w:hAnsi="Arial" w:eastAsia="宋体" w:cs="Arial"/>
          <w:sz w:val="24"/>
          <w:szCs w:val="24"/>
        </w:rPr>
        <w:t>部分</w:t>
      </w:r>
      <w:r>
        <w:rPr>
          <w:rFonts w:ascii="Arial" w:hAnsi="Arial" w:eastAsia="宋体" w:cs="Arial"/>
          <w:sz w:val="24"/>
          <w:szCs w:val="24"/>
        </w:rPr>
        <w:t>的新药申请（NDA），根据FD&amp;C法案505（j）</w:t>
      </w:r>
      <w:r>
        <w:rPr>
          <w:rFonts w:hint="eastAsia" w:ascii="Arial" w:hAnsi="Arial" w:eastAsia="宋体" w:cs="Arial"/>
          <w:sz w:val="24"/>
          <w:szCs w:val="24"/>
        </w:rPr>
        <w:t>部分</w:t>
      </w:r>
      <w:r>
        <w:rPr>
          <w:rFonts w:ascii="Arial" w:hAnsi="Arial" w:eastAsia="宋体" w:cs="Arial"/>
          <w:sz w:val="24"/>
          <w:szCs w:val="24"/>
        </w:rPr>
        <w:t>的简略新药申请（ANDA），根据FD&amp;C法案510（k）</w:t>
      </w:r>
      <w:r>
        <w:rPr>
          <w:rFonts w:hint="eastAsia" w:ascii="Arial" w:hAnsi="Arial" w:eastAsia="宋体" w:cs="Arial"/>
          <w:sz w:val="24"/>
          <w:szCs w:val="24"/>
        </w:rPr>
        <w:t>部分提交的</w:t>
      </w:r>
      <w:r>
        <w:rPr>
          <w:rFonts w:ascii="Arial" w:hAnsi="Arial" w:eastAsia="宋体" w:cs="Arial"/>
          <w:sz w:val="24"/>
          <w:szCs w:val="24"/>
        </w:rPr>
        <w:t>上市前通告，根据FD&amp;C法案513</w:t>
      </w:r>
      <w:r>
        <w:rPr>
          <w:rFonts w:hint="eastAsia" w:ascii="Arial" w:hAnsi="Arial" w:eastAsia="宋体" w:cs="Arial"/>
          <w:sz w:val="24"/>
          <w:szCs w:val="24"/>
        </w:rPr>
        <w:t>部分</w:t>
      </w:r>
      <w:r>
        <w:rPr>
          <w:rFonts w:ascii="Arial" w:hAnsi="Arial" w:eastAsia="宋体" w:cs="Arial"/>
          <w:sz w:val="24"/>
          <w:szCs w:val="24"/>
        </w:rPr>
        <w:t>的重新分类申请，根据FD&amp;C法案515</w:t>
      </w:r>
      <w:r>
        <w:rPr>
          <w:rFonts w:hint="eastAsia" w:ascii="Arial" w:hAnsi="Arial" w:eastAsia="宋体" w:cs="Arial"/>
          <w:sz w:val="24"/>
          <w:szCs w:val="24"/>
        </w:rPr>
        <w:t>部分</w:t>
      </w:r>
      <w:r>
        <w:rPr>
          <w:rFonts w:ascii="Arial" w:hAnsi="Arial" w:eastAsia="宋体" w:cs="Arial"/>
          <w:sz w:val="24"/>
          <w:szCs w:val="24"/>
        </w:rPr>
        <w:t>的上市前批准申请（PMA），根据</w:t>
      </w:r>
      <w:r>
        <w:rPr>
          <w:rFonts w:ascii="宋体" w:hAnsi="宋体" w:eastAsia="宋体" w:cs="Arial"/>
          <w:sz w:val="24"/>
          <w:szCs w:val="24"/>
        </w:rPr>
        <w:t>“</w:t>
      </w:r>
      <w:r>
        <w:rPr>
          <w:rFonts w:ascii="Arial" w:hAnsi="Arial" w:eastAsia="宋体" w:cs="Arial"/>
          <w:sz w:val="24"/>
          <w:szCs w:val="24"/>
        </w:rPr>
        <w:t>公共卫生服务法</w:t>
      </w:r>
      <w:r>
        <w:rPr>
          <w:rFonts w:cs="Arial" w:asciiTheme="majorEastAsia" w:hAnsiTheme="majorEastAsia" w:eastAsiaTheme="majorEastAsia"/>
          <w:sz w:val="24"/>
          <w:szCs w:val="24"/>
        </w:rPr>
        <w:t>”</w:t>
      </w:r>
      <w:r>
        <w:rPr>
          <w:rFonts w:ascii="Arial" w:hAnsi="Arial" w:eastAsia="宋体" w:cs="Arial"/>
          <w:sz w:val="24"/>
          <w:szCs w:val="24"/>
        </w:rPr>
        <w:t xml:space="preserve">（PHS </w:t>
      </w:r>
      <w:r>
        <w:rPr>
          <w:rFonts w:hint="eastAsia" w:ascii="Arial" w:hAnsi="Arial" w:eastAsia="宋体" w:cs="Arial"/>
          <w:sz w:val="24"/>
          <w:szCs w:val="24"/>
        </w:rPr>
        <w:t>法案</w:t>
      </w:r>
      <w:r>
        <w:rPr>
          <w:rFonts w:ascii="Arial" w:hAnsi="Arial" w:eastAsia="宋体" w:cs="Arial"/>
          <w:sz w:val="24"/>
          <w:szCs w:val="24"/>
        </w:rPr>
        <w:t>）351</w:t>
      </w:r>
      <w:r>
        <w:rPr>
          <w:rFonts w:hint="eastAsia" w:ascii="Arial" w:hAnsi="Arial" w:eastAsia="宋体" w:cs="Arial"/>
          <w:sz w:val="24"/>
          <w:szCs w:val="24"/>
        </w:rPr>
        <w:t>部分</w:t>
      </w:r>
      <w:r>
        <w:rPr>
          <w:rFonts w:ascii="Arial" w:hAnsi="Arial" w:eastAsia="宋体" w:cs="Arial"/>
          <w:sz w:val="24"/>
          <w:szCs w:val="24"/>
        </w:rPr>
        <w:t>的生物制剂</w:t>
      </w:r>
      <w:r>
        <w:rPr>
          <w:rFonts w:hint="eastAsia" w:ascii="Arial" w:hAnsi="Arial" w:eastAsia="宋体" w:cs="Arial"/>
          <w:sz w:val="24"/>
          <w:szCs w:val="24"/>
        </w:rPr>
        <w:t>认证</w:t>
      </w:r>
      <w:r>
        <w:rPr>
          <w:rFonts w:ascii="Arial" w:hAnsi="Arial" w:eastAsia="宋体" w:cs="Arial"/>
          <w:sz w:val="24"/>
          <w:szCs w:val="24"/>
        </w:rPr>
        <w:t>申请（BLA），以及为支持任何此类申请的修订或补充而提交的临床研究（见21 CFR§§54.3和54.4（a））。涉及的临床研究一般不包括FD&amp;C法案561</w:t>
      </w:r>
      <w:r>
        <w:rPr>
          <w:rFonts w:hint="eastAsia" w:ascii="Arial" w:hAnsi="Arial" w:eastAsia="宋体" w:cs="Arial"/>
          <w:sz w:val="24"/>
          <w:szCs w:val="24"/>
        </w:rPr>
        <w:t>部分</w:t>
      </w:r>
      <w:r>
        <w:rPr>
          <w:rFonts w:ascii="Arial" w:hAnsi="Arial" w:eastAsia="宋体" w:cs="Arial"/>
          <w:sz w:val="24"/>
          <w:szCs w:val="24"/>
        </w:rPr>
        <w:t>的</w:t>
      </w:r>
      <w:r>
        <w:rPr>
          <w:rFonts w:hint="eastAsia" w:ascii="Arial" w:hAnsi="Arial" w:eastAsia="宋体" w:cs="Arial"/>
          <w:sz w:val="24"/>
          <w:szCs w:val="24"/>
        </w:rPr>
        <w:t>扩展性</w:t>
      </w:r>
      <w:r>
        <w:rPr>
          <w:rFonts w:ascii="Arial" w:hAnsi="Arial" w:eastAsia="宋体" w:cs="Arial"/>
          <w:sz w:val="24"/>
          <w:szCs w:val="24"/>
        </w:rPr>
        <w:t>应用。如果申请人不确定特定的研究是否包括在该定义中，则可以向FDA咨询，哪些临床研究为</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，以符合财务披露的要求。（21 CFR§54.2（e））。有关更多信息，请参见</w:t>
      </w:r>
      <w:r>
        <w:rPr>
          <w:rFonts w:hint="eastAsia" w:ascii="Arial" w:hAnsi="Arial" w:eastAsia="宋体" w:cs="Arial"/>
          <w:color w:val="0000FF"/>
          <w:sz w:val="24"/>
          <w:szCs w:val="24"/>
          <w:u w:val="single"/>
        </w:rPr>
        <w:t>章节</w:t>
      </w:r>
      <w:r>
        <w:rPr>
          <w:rFonts w:ascii="Arial" w:hAnsi="Arial" w:eastAsia="宋体" w:cs="Arial"/>
          <w:color w:val="0000FF"/>
          <w:sz w:val="24"/>
          <w:szCs w:val="24"/>
          <w:u w:val="single"/>
        </w:rPr>
        <w:t>IV.G</w:t>
      </w:r>
      <w:r>
        <w:rPr>
          <w:rFonts w:ascii="宋体" w:hAnsi="宋体" w:eastAsia="宋体" w:cs="Arial"/>
          <w:color w:val="0000FF"/>
          <w:sz w:val="24"/>
          <w:szCs w:val="24"/>
          <w:u w:val="single"/>
        </w:rPr>
        <w:t>“</w:t>
      </w:r>
      <w:r>
        <w:rPr>
          <w:rFonts w:ascii="Arial" w:hAnsi="Arial" w:eastAsia="宋体" w:cs="Arial"/>
          <w:color w:val="0000FF"/>
          <w:sz w:val="24"/>
          <w:szCs w:val="24"/>
          <w:u w:val="single"/>
        </w:rPr>
        <w:t>涉及的临床研究</w:t>
      </w:r>
      <w:r>
        <w:rPr>
          <w:rFonts w:cs="Arial" w:asciiTheme="majorEastAsia" w:hAnsiTheme="majorEastAsia" w:eastAsiaTheme="majorEastAsia"/>
          <w:color w:val="0000FF"/>
          <w:sz w:val="24"/>
          <w:szCs w:val="24"/>
          <w:u w:val="single"/>
        </w:rPr>
        <w:t>”</w:t>
      </w:r>
      <w:r>
        <w:rPr>
          <w:rFonts w:ascii="Arial" w:hAnsi="Arial" w:eastAsia="宋体" w:cs="Arial"/>
          <w:sz w:val="24"/>
          <w:szCs w:val="24"/>
        </w:rPr>
        <w:t>。</w:t>
      </w:r>
    </w:p>
    <w:p w14:paraId="11D16104">
      <w:pPr>
        <w:pStyle w:val="50"/>
        <w:shd w:val="clear" w:color="auto" w:fill="auto"/>
        <w:overflowPunct w:val="0"/>
        <w:adjustRightInd w:val="0"/>
        <w:snapToGrid w:val="0"/>
        <w:spacing w:before="0" w:after="156" w:afterLines="50" w:line="300" w:lineRule="auto"/>
        <w:ind w:firstLine="0"/>
        <w:jc w:val="both"/>
        <w:rPr>
          <w:rFonts w:ascii="Arial" w:hAnsi="Arial" w:eastAsia="宋体" w:cs="Arial"/>
          <w:sz w:val="24"/>
          <w:szCs w:val="24"/>
        </w:rPr>
      </w:pPr>
      <w:r>
        <w:rPr>
          <w:rFonts w:ascii="Arial" w:hAnsi="Arial" w:eastAsia="宋体" w:cs="Arial"/>
          <w:b/>
          <w:sz w:val="24"/>
          <w:szCs w:val="24"/>
        </w:rPr>
        <w:t xml:space="preserve">申请人 – </w:t>
      </w:r>
      <w:r>
        <w:rPr>
          <w:rFonts w:ascii="宋体" w:hAnsi="宋体" w:eastAsia="宋体" w:cs="Arial"/>
          <w:sz w:val="24"/>
          <w:szCs w:val="24"/>
        </w:rPr>
        <w:t>“</w:t>
      </w:r>
      <w:r>
        <w:rPr>
          <w:rFonts w:ascii="Arial" w:hAnsi="Arial" w:eastAsia="宋体" w:cs="Arial"/>
          <w:sz w:val="24"/>
          <w:szCs w:val="24"/>
        </w:rPr>
        <w:t>申请人</w:t>
      </w:r>
      <w:r>
        <w:rPr>
          <w:rFonts w:cs="Arial" w:asciiTheme="majorEastAsia" w:hAnsiTheme="majorEastAsia" w:eastAsiaTheme="majorEastAsia"/>
          <w:sz w:val="24"/>
          <w:szCs w:val="24"/>
        </w:rPr>
        <w:t>”</w:t>
      </w:r>
      <w:r>
        <w:rPr>
          <w:rFonts w:ascii="Arial" w:hAnsi="Arial" w:eastAsia="宋体" w:cs="Arial"/>
          <w:sz w:val="24"/>
          <w:szCs w:val="24"/>
        </w:rPr>
        <w:t>是指向FDA提交药品、医疗器械或生物制剂的上市申请，或提交重新分类申请的一方。申请人负责提交所需的证明和披露声明。（见21 CFR§54.2（g）。）注意，为了财务披露的目的，</w:t>
      </w:r>
      <w:r>
        <w:rPr>
          <w:rFonts w:ascii="宋体" w:hAnsi="宋体" w:eastAsia="宋体" w:cs="Arial"/>
          <w:sz w:val="24"/>
          <w:szCs w:val="24"/>
        </w:rPr>
        <w:t>“</w:t>
      </w:r>
      <w:r>
        <w:rPr>
          <w:rFonts w:ascii="Arial" w:hAnsi="Arial" w:eastAsia="宋体" w:cs="Arial"/>
          <w:sz w:val="24"/>
          <w:szCs w:val="24"/>
        </w:rPr>
        <w:t>申请人</w:t>
      </w:r>
      <w:r>
        <w:rPr>
          <w:rFonts w:cs="Arial" w:asciiTheme="majorEastAsia" w:hAnsiTheme="majorEastAsia" w:eastAsiaTheme="majorEastAsia"/>
          <w:sz w:val="24"/>
          <w:szCs w:val="24"/>
        </w:rPr>
        <w:t>”</w:t>
      </w:r>
      <w:r>
        <w:rPr>
          <w:rFonts w:ascii="Arial" w:hAnsi="Arial" w:eastAsia="宋体" w:cs="Arial"/>
          <w:sz w:val="24"/>
          <w:szCs w:val="24"/>
        </w:rPr>
        <w:t>一词包括了</w:t>
      </w:r>
      <w:r>
        <w:rPr>
          <w:rFonts w:ascii="宋体" w:hAnsi="宋体" w:eastAsia="宋体" w:cs="Arial"/>
          <w:sz w:val="24"/>
          <w:szCs w:val="24"/>
        </w:rPr>
        <w:t>“</w:t>
      </w:r>
      <w:r>
        <w:rPr>
          <w:rFonts w:ascii="Arial" w:hAnsi="Arial" w:eastAsia="宋体" w:cs="Arial"/>
          <w:sz w:val="24"/>
          <w:szCs w:val="24"/>
        </w:rPr>
        <w:t>提交者</w:t>
      </w:r>
      <w:r>
        <w:rPr>
          <w:rFonts w:cs="Arial" w:asciiTheme="majorEastAsia" w:hAnsiTheme="majorEastAsia" w:eastAsiaTheme="majorEastAsia"/>
          <w:sz w:val="24"/>
          <w:szCs w:val="24"/>
        </w:rPr>
        <w:t>”</w:t>
      </w:r>
      <w:r>
        <w:rPr>
          <w:rFonts w:ascii="Arial" w:hAnsi="Arial" w:eastAsia="宋体" w:cs="Arial"/>
          <w:sz w:val="24"/>
          <w:szCs w:val="24"/>
        </w:rPr>
        <w:t>，术语</w:t>
      </w:r>
      <w:r>
        <w:rPr>
          <w:rFonts w:ascii="宋体" w:hAnsi="宋体" w:eastAsia="宋体" w:cs="Arial"/>
          <w:sz w:val="24"/>
          <w:szCs w:val="24"/>
        </w:rPr>
        <w:t>“</w:t>
      </w:r>
      <w:r>
        <w:rPr>
          <w:rFonts w:ascii="Arial" w:hAnsi="Arial" w:eastAsia="宋体" w:cs="Arial"/>
          <w:sz w:val="24"/>
          <w:szCs w:val="24"/>
        </w:rPr>
        <w:t>申请</w:t>
      </w:r>
      <w:r>
        <w:rPr>
          <w:rFonts w:cs="Arial" w:asciiTheme="majorEastAsia" w:hAnsiTheme="majorEastAsia" w:eastAsiaTheme="majorEastAsia"/>
          <w:sz w:val="24"/>
          <w:szCs w:val="24"/>
        </w:rPr>
        <w:t>”</w:t>
      </w:r>
      <w:r>
        <w:rPr>
          <w:rFonts w:ascii="Arial" w:hAnsi="Arial" w:eastAsia="宋体" w:cs="Arial"/>
          <w:sz w:val="24"/>
          <w:szCs w:val="24"/>
        </w:rPr>
        <w:t>包括了</w:t>
      </w:r>
      <w:r>
        <w:rPr>
          <w:rFonts w:ascii="宋体" w:hAnsi="宋体" w:eastAsia="宋体" w:cs="Arial"/>
          <w:sz w:val="24"/>
          <w:szCs w:val="24"/>
        </w:rPr>
        <w:t>“</w:t>
      </w:r>
      <w:r>
        <w:rPr>
          <w:rFonts w:ascii="Arial" w:hAnsi="Arial" w:eastAsia="宋体" w:cs="Arial"/>
          <w:sz w:val="24"/>
          <w:szCs w:val="24"/>
        </w:rPr>
        <w:t>510（k）提交</w:t>
      </w:r>
      <w:r>
        <w:rPr>
          <w:rFonts w:cs="Arial" w:asciiTheme="majorEastAsia" w:hAnsiTheme="majorEastAsia" w:eastAsiaTheme="majorEastAsia"/>
          <w:sz w:val="24"/>
          <w:szCs w:val="24"/>
        </w:rPr>
        <w:t>”</w:t>
      </w:r>
      <w:r>
        <w:rPr>
          <w:rFonts w:ascii="Arial" w:hAnsi="Arial" w:eastAsia="宋体" w:cs="Arial"/>
          <w:sz w:val="24"/>
          <w:szCs w:val="24"/>
        </w:rPr>
        <w:t>。更多信息请参见</w:t>
      </w:r>
      <w:r>
        <w:rPr>
          <w:rFonts w:hint="eastAsia" w:ascii="Arial" w:hAnsi="Arial" w:eastAsia="宋体" w:cs="Arial"/>
          <w:color w:val="0000FF"/>
          <w:sz w:val="24"/>
          <w:szCs w:val="24"/>
          <w:u w:val="single"/>
        </w:rPr>
        <w:t>章节</w:t>
      </w:r>
      <w:r>
        <w:rPr>
          <w:rFonts w:ascii="Arial" w:hAnsi="Arial" w:eastAsia="宋体" w:cs="Arial"/>
          <w:color w:val="0000FF"/>
          <w:sz w:val="24"/>
          <w:szCs w:val="24"/>
          <w:u w:val="single"/>
        </w:rPr>
        <w:t>IV.F，申请人</w:t>
      </w:r>
      <w:r>
        <w:rPr>
          <w:rFonts w:ascii="Arial" w:hAnsi="Arial" w:eastAsia="宋体" w:cs="Arial"/>
          <w:sz w:val="24"/>
          <w:szCs w:val="24"/>
        </w:rPr>
        <w:t>。</w:t>
      </w:r>
    </w:p>
    <w:p w14:paraId="2099F1F8">
      <w:pPr>
        <w:pStyle w:val="50"/>
        <w:shd w:val="clear" w:color="auto" w:fill="auto"/>
        <w:overflowPunct w:val="0"/>
        <w:adjustRightInd w:val="0"/>
        <w:snapToGrid w:val="0"/>
        <w:spacing w:before="0" w:after="156" w:afterLines="50" w:line="300" w:lineRule="auto"/>
        <w:ind w:firstLine="0"/>
        <w:jc w:val="both"/>
        <w:rPr>
          <w:rFonts w:ascii="Arial" w:hAnsi="Arial" w:eastAsia="宋体" w:cs="Arial"/>
          <w:sz w:val="24"/>
          <w:szCs w:val="24"/>
        </w:rPr>
      </w:pPr>
      <w:r>
        <w:rPr>
          <w:rFonts w:ascii="Arial" w:hAnsi="Arial" w:eastAsia="宋体" w:cs="Arial"/>
          <w:b/>
          <w:sz w:val="24"/>
          <w:szCs w:val="24"/>
        </w:rPr>
        <w:t xml:space="preserve">涉及临床研究的申办方 – </w:t>
      </w:r>
      <w:r>
        <w:rPr>
          <w:rFonts w:hint="eastAsia" w:ascii="Arial" w:hAnsi="Arial" w:eastAsia="宋体" w:cs="Arial"/>
          <w:sz w:val="24"/>
          <w:szCs w:val="24"/>
        </w:rPr>
        <w:t>基于</w:t>
      </w:r>
      <w:r>
        <w:rPr>
          <w:rFonts w:ascii="Arial" w:hAnsi="Arial" w:eastAsia="宋体" w:cs="Arial"/>
          <w:sz w:val="24"/>
          <w:szCs w:val="24"/>
        </w:rPr>
        <w:t>第54</w:t>
      </w:r>
      <w:r>
        <w:rPr>
          <w:rFonts w:hint="eastAsia" w:ascii="Arial" w:hAnsi="Arial" w:eastAsia="宋体" w:cs="Arial"/>
          <w:sz w:val="24"/>
          <w:szCs w:val="24"/>
        </w:rPr>
        <w:t>部分</w:t>
      </w:r>
      <w:r>
        <w:rPr>
          <w:rFonts w:ascii="Arial" w:hAnsi="Arial" w:eastAsia="宋体" w:cs="Arial"/>
          <w:sz w:val="24"/>
          <w:szCs w:val="24"/>
        </w:rPr>
        <w:t>的目的，</w:t>
      </w:r>
      <w:r>
        <w:rPr>
          <w:rFonts w:ascii="宋体" w:hAnsi="宋体" w:eastAsia="宋体" w:cs="Arial"/>
          <w:sz w:val="24"/>
          <w:szCs w:val="24"/>
        </w:rPr>
        <w:t>“</w:t>
      </w:r>
      <w:r>
        <w:rPr>
          <w:rFonts w:ascii="Arial" w:hAnsi="Arial" w:eastAsia="宋体" w:cs="Arial"/>
          <w:sz w:val="24"/>
          <w:szCs w:val="24"/>
        </w:rPr>
        <w:t>涉及临床研究的申办方</w:t>
      </w:r>
      <w:r>
        <w:rPr>
          <w:rFonts w:cs="Arial" w:asciiTheme="majorEastAsia" w:hAnsiTheme="majorEastAsia" w:eastAsiaTheme="majorEastAsia"/>
          <w:sz w:val="24"/>
          <w:szCs w:val="24"/>
        </w:rPr>
        <w:t>”</w:t>
      </w:r>
      <w:r>
        <w:rPr>
          <w:rFonts w:ascii="Arial" w:hAnsi="Arial" w:eastAsia="宋体" w:cs="Arial"/>
          <w:sz w:val="24"/>
          <w:szCs w:val="24"/>
        </w:rPr>
        <w:t>是指</w:t>
      </w:r>
      <w:r>
        <w:rPr>
          <w:rFonts w:ascii="宋体" w:hAnsi="宋体" w:eastAsia="宋体" w:cs="Arial"/>
          <w:sz w:val="24"/>
          <w:szCs w:val="24"/>
        </w:rPr>
        <w:t>“</w:t>
      </w:r>
      <w:r>
        <w:rPr>
          <w:rFonts w:ascii="Arial" w:hAnsi="Arial" w:eastAsia="宋体" w:cs="Arial"/>
          <w:sz w:val="24"/>
          <w:szCs w:val="24"/>
        </w:rPr>
        <w:t>在进行特定的临床研究时提供支持的一方</w:t>
      </w:r>
      <w:r>
        <w:rPr>
          <w:rFonts w:cs="Arial" w:asciiTheme="majorEastAsia" w:hAnsiTheme="majorEastAsia" w:eastAsiaTheme="majorEastAsia"/>
          <w:sz w:val="24"/>
          <w:szCs w:val="24"/>
        </w:rPr>
        <w:t>”</w:t>
      </w:r>
      <w:r>
        <w:rPr>
          <w:rFonts w:ascii="Arial" w:hAnsi="Arial" w:eastAsia="宋体" w:cs="Arial"/>
          <w:sz w:val="24"/>
          <w:szCs w:val="24"/>
        </w:rPr>
        <w:t>（见21 CFR§54.2（h））。一项涉及的临床研究可能有多个申办方需要收集财务信息。例如，如果一方设计并执行了该项涉及的临床研究，第二方提供了资金，第三方提供了试验产品，则该项涉及的临床研究有三个申办方。然而，如果本</w:t>
      </w:r>
      <w:r>
        <w:rPr>
          <w:rFonts w:hint="eastAsia" w:ascii="Arial" w:hAnsi="Arial" w:eastAsia="宋体" w:cs="Arial"/>
          <w:sz w:val="24"/>
          <w:szCs w:val="24"/>
        </w:rPr>
        <w:t>示</w:t>
      </w:r>
      <w:r>
        <w:rPr>
          <w:rFonts w:ascii="Arial" w:hAnsi="Arial" w:eastAsia="宋体" w:cs="Arial"/>
          <w:sz w:val="24"/>
          <w:szCs w:val="24"/>
        </w:rPr>
        <w:t>例中的第三方为试验产品而获得了报销款，则不会视为该项涉及的临床研究的申办方，该研究将视为有两个申办方。还</w:t>
      </w:r>
      <w:r>
        <w:rPr>
          <w:rFonts w:hint="eastAsia" w:ascii="Arial" w:hAnsi="Arial" w:eastAsia="宋体" w:cs="Arial"/>
          <w:sz w:val="24"/>
          <w:szCs w:val="24"/>
        </w:rPr>
        <w:t>需</w:t>
      </w:r>
      <w:r>
        <w:rPr>
          <w:rFonts w:ascii="Arial" w:hAnsi="Arial" w:eastAsia="宋体" w:cs="Arial"/>
          <w:sz w:val="24"/>
          <w:szCs w:val="24"/>
        </w:rPr>
        <w:t>注意，第54</w:t>
      </w:r>
      <w:r>
        <w:rPr>
          <w:rFonts w:hint="eastAsia" w:ascii="Arial" w:hAnsi="Arial" w:eastAsia="宋体" w:cs="Arial"/>
          <w:sz w:val="24"/>
          <w:szCs w:val="24"/>
        </w:rPr>
        <w:t>部分</w:t>
      </w:r>
      <w:r>
        <w:rPr>
          <w:rFonts w:ascii="Arial" w:hAnsi="Arial" w:eastAsia="宋体" w:cs="Arial"/>
          <w:sz w:val="24"/>
          <w:szCs w:val="24"/>
        </w:rPr>
        <w:t>中提出的</w:t>
      </w:r>
      <w:r>
        <w:rPr>
          <w:rFonts w:ascii="宋体" w:hAnsi="宋体" w:eastAsia="宋体" w:cs="Arial"/>
          <w:sz w:val="24"/>
          <w:szCs w:val="24"/>
        </w:rPr>
        <w:t>“</w:t>
      </w:r>
      <w:r>
        <w:rPr>
          <w:rFonts w:ascii="Arial" w:hAnsi="Arial" w:eastAsia="宋体" w:cs="Arial"/>
          <w:sz w:val="24"/>
          <w:szCs w:val="24"/>
        </w:rPr>
        <w:t>申办方</w:t>
      </w:r>
      <w:r>
        <w:rPr>
          <w:rFonts w:cs="Arial" w:asciiTheme="majorEastAsia" w:hAnsiTheme="majorEastAsia" w:eastAsiaTheme="majorEastAsia"/>
          <w:sz w:val="24"/>
          <w:szCs w:val="24"/>
        </w:rPr>
        <w:t>”</w:t>
      </w:r>
      <w:r>
        <w:rPr>
          <w:rFonts w:ascii="Arial" w:hAnsi="Arial" w:eastAsia="宋体" w:cs="Arial"/>
          <w:sz w:val="24"/>
          <w:szCs w:val="24"/>
        </w:rPr>
        <w:t>定义不同于因研究用新药申请（IND）和研究用医疗器械豁免申请（IDE）而提出的</w:t>
      </w:r>
      <w:r>
        <w:rPr>
          <w:rFonts w:ascii="宋体" w:hAnsi="宋体" w:eastAsia="宋体" w:cs="Arial"/>
          <w:sz w:val="24"/>
          <w:szCs w:val="24"/>
        </w:rPr>
        <w:t>“</w:t>
      </w:r>
      <w:r>
        <w:rPr>
          <w:rFonts w:ascii="Arial" w:hAnsi="Arial" w:eastAsia="宋体" w:cs="Arial"/>
          <w:sz w:val="24"/>
          <w:szCs w:val="24"/>
        </w:rPr>
        <w:t>申办方</w:t>
      </w:r>
      <w:r>
        <w:rPr>
          <w:rFonts w:cs="Arial" w:asciiTheme="majorEastAsia" w:hAnsiTheme="majorEastAsia" w:eastAsiaTheme="majorEastAsia"/>
          <w:sz w:val="24"/>
          <w:szCs w:val="24"/>
        </w:rPr>
        <w:t>”</w:t>
      </w:r>
      <w:r>
        <w:rPr>
          <w:rFonts w:ascii="Arial" w:hAnsi="Arial" w:eastAsia="宋体" w:cs="Arial"/>
          <w:sz w:val="24"/>
          <w:szCs w:val="24"/>
        </w:rPr>
        <w:t>的定义（见21 CFR§§312.3（b） ）和812.3（n））。更多信息请参见</w:t>
      </w:r>
      <w:r>
        <w:rPr>
          <w:rFonts w:hint="eastAsia" w:ascii="Arial" w:hAnsi="Arial" w:eastAsia="宋体" w:cs="Arial"/>
          <w:color w:val="0000FF"/>
          <w:sz w:val="24"/>
          <w:szCs w:val="24"/>
          <w:u w:val="single"/>
        </w:rPr>
        <w:t>章节</w:t>
      </w:r>
      <w:r>
        <w:rPr>
          <w:rFonts w:ascii="Arial" w:hAnsi="Arial" w:eastAsia="宋体" w:cs="Arial"/>
          <w:color w:val="0000FF"/>
          <w:sz w:val="24"/>
          <w:szCs w:val="24"/>
          <w:u w:val="single"/>
        </w:rPr>
        <w:t>E，申办方</w:t>
      </w:r>
      <w:r>
        <w:rPr>
          <w:rFonts w:ascii="Arial" w:hAnsi="Arial" w:eastAsia="宋体" w:cs="Arial"/>
          <w:sz w:val="24"/>
          <w:szCs w:val="24"/>
        </w:rPr>
        <w:t>。</w:t>
      </w:r>
    </w:p>
    <w:p w14:paraId="5E475A76">
      <w:pPr>
        <w:spacing w:after="0" w:line="240" w:lineRule="auto"/>
        <w:rPr>
          <w:rFonts w:ascii="Arial" w:hAnsi="Arial" w:eastAsia="宋体" w:cs="Arial"/>
          <w:b/>
          <w:bCs/>
          <w:kern w:val="2"/>
          <w:sz w:val="24"/>
          <w:szCs w:val="24"/>
        </w:rPr>
      </w:pPr>
      <w:r>
        <w:rPr>
          <w:rFonts w:ascii="Arial" w:hAnsi="Arial" w:eastAsia="宋体" w:cs="Arial"/>
          <w:sz w:val="24"/>
          <w:szCs w:val="24"/>
        </w:rPr>
        <w:br w:type="page"/>
      </w:r>
    </w:p>
    <w:p w14:paraId="2C2546E9">
      <w:pPr>
        <w:pStyle w:val="44"/>
        <w:numPr>
          <w:ilvl w:val="0"/>
          <w:numId w:val="3"/>
        </w:numPr>
        <w:shd w:val="clear" w:color="auto" w:fill="auto"/>
        <w:overflowPunct w:val="0"/>
        <w:snapToGrid w:val="0"/>
        <w:spacing w:after="156" w:afterLines="50" w:line="300" w:lineRule="auto"/>
        <w:ind w:left="357" w:hanging="357"/>
        <w:jc w:val="both"/>
        <w:outlineLvl w:val="1"/>
        <w:rPr>
          <w:rFonts w:ascii="Arial" w:hAnsi="Arial" w:eastAsia="宋体" w:cs="Arial"/>
          <w:sz w:val="24"/>
          <w:szCs w:val="24"/>
        </w:rPr>
      </w:pPr>
      <w:bookmarkStart w:id="7" w:name="_Toc496025799"/>
      <w:r>
        <w:rPr>
          <w:rFonts w:ascii="Arial" w:hAnsi="Arial" w:eastAsia="宋体" w:cs="Arial"/>
          <w:sz w:val="24"/>
          <w:szCs w:val="24"/>
        </w:rPr>
        <w:t>需披露的经济利益和协议</w:t>
      </w:r>
      <w:bookmarkEnd w:id="7"/>
    </w:p>
    <w:p w14:paraId="41936DFD">
      <w:pPr>
        <w:pStyle w:val="44"/>
        <w:shd w:val="clear" w:color="auto" w:fill="auto"/>
        <w:overflowPunct w:val="0"/>
        <w:adjustRightInd w:val="0"/>
        <w:snapToGrid w:val="0"/>
        <w:spacing w:after="156" w:afterLines="50" w:line="300" w:lineRule="auto"/>
        <w:jc w:val="both"/>
        <w:rPr>
          <w:rFonts w:ascii="Arial" w:hAnsi="Arial" w:eastAsia="宋体" w:cs="Arial"/>
          <w:b w:val="0"/>
          <w:sz w:val="24"/>
          <w:szCs w:val="24"/>
        </w:rPr>
      </w:pPr>
      <w:r>
        <w:rPr>
          <w:rFonts w:ascii="Arial" w:hAnsi="Arial" w:eastAsia="宋体" w:cs="Arial"/>
          <w:b w:val="0"/>
          <w:sz w:val="24"/>
          <w:szCs w:val="24"/>
        </w:rPr>
        <w:t>必须披露的经济利益、协议和付款（见21 CFR§54.4（a）（3）），在此称为</w:t>
      </w:r>
      <w:r>
        <w:rPr>
          <w:rFonts w:ascii="宋体" w:hAnsi="宋体" w:eastAsia="宋体" w:cs="Arial"/>
          <w:b w:val="0"/>
          <w:sz w:val="24"/>
          <w:szCs w:val="24"/>
        </w:rPr>
        <w:t>“</w:t>
      </w:r>
      <w:r>
        <w:rPr>
          <w:rFonts w:ascii="Arial" w:hAnsi="Arial" w:eastAsia="宋体" w:cs="Arial"/>
          <w:b w:val="0"/>
          <w:sz w:val="24"/>
          <w:szCs w:val="24"/>
        </w:rPr>
        <w:t>需披露的经济利益和协议</w:t>
      </w:r>
      <w:r>
        <w:rPr>
          <w:rFonts w:cs="Arial" w:asciiTheme="majorEastAsia" w:hAnsiTheme="majorEastAsia" w:eastAsiaTheme="majorEastAsia"/>
          <w:b w:val="0"/>
          <w:sz w:val="24"/>
          <w:szCs w:val="24"/>
        </w:rPr>
        <w:t>”</w:t>
      </w:r>
      <w:r>
        <w:rPr>
          <w:rFonts w:ascii="Arial" w:hAnsi="Arial" w:eastAsia="宋体" w:cs="Arial"/>
          <w:b w:val="0"/>
          <w:sz w:val="24"/>
          <w:szCs w:val="24"/>
        </w:rPr>
        <w:t>）说明如下</w:t>
      </w:r>
      <w:r>
        <w:rPr>
          <w:rStyle w:val="24"/>
          <w:rFonts w:ascii="Arial" w:hAnsi="Arial" w:eastAsia="宋体" w:cs="Arial"/>
          <w:b w:val="0"/>
          <w:sz w:val="24"/>
          <w:szCs w:val="24"/>
        </w:rPr>
        <w:footnoteReference w:id="3"/>
      </w:r>
      <w:r>
        <w:rPr>
          <w:rFonts w:ascii="Arial" w:hAnsi="Arial" w:eastAsia="宋体" w:cs="Arial"/>
          <w:b w:val="0"/>
          <w:sz w:val="24"/>
          <w:szCs w:val="24"/>
        </w:rPr>
        <w:t>。请注意，触发报告的美元数额是研究者、配偶和受抚养子女的经济利益总额。</w:t>
      </w:r>
    </w:p>
    <w:p w14:paraId="463A0E1D">
      <w:pPr>
        <w:pStyle w:val="50"/>
        <w:numPr>
          <w:ilvl w:val="0"/>
          <w:numId w:val="4"/>
        </w:numPr>
        <w:tabs>
          <w:tab w:val="left" w:pos="514"/>
        </w:tabs>
        <w:overflowPunct w:val="0"/>
        <w:adjustRightInd w:val="0"/>
        <w:snapToGrid w:val="0"/>
        <w:spacing w:before="0" w:after="156" w:afterLines="50" w:line="300" w:lineRule="auto"/>
        <w:jc w:val="both"/>
        <w:rPr>
          <w:rFonts w:ascii="Arial" w:hAnsi="Arial" w:eastAsia="宋体" w:cs="Arial"/>
          <w:sz w:val="24"/>
          <w:szCs w:val="24"/>
        </w:rPr>
      </w:pPr>
      <w:r>
        <w:rPr>
          <w:rFonts w:ascii="Arial" w:hAnsi="Arial" w:eastAsia="宋体" w:cs="Arial"/>
          <w:sz w:val="24"/>
          <w:szCs w:val="24"/>
        </w:rPr>
        <w:t>任何所涉及临床研究的申办方给予研究者的任何报酬，其中，报酬值可能受到研究</w:t>
      </w:r>
      <w:r>
        <w:rPr>
          <w:rFonts w:hint="eastAsia" w:ascii="Arial" w:hAnsi="Arial" w:eastAsia="宋体" w:cs="Arial"/>
          <w:sz w:val="24"/>
          <w:szCs w:val="24"/>
        </w:rPr>
        <w:t>结果</w:t>
      </w:r>
      <w:r>
        <w:rPr>
          <w:rFonts w:ascii="Arial" w:hAnsi="Arial" w:eastAsia="宋体" w:cs="Arial"/>
          <w:sz w:val="24"/>
          <w:szCs w:val="24"/>
        </w:rPr>
        <w:t>影响。</w:t>
      </w:r>
    </w:p>
    <w:p w14:paraId="2F4B5AD6">
      <w:pPr>
        <w:pStyle w:val="50"/>
        <w:numPr>
          <w:ilvl w:val="0"/>
          <w:numId w:val="4"/>
        </w:numPr>
        <w:tabs>
          <w:tab w:val="left" w:pos="514"/>
        </w:tabs>
        <w:overflowPunct w:val="0"/>
        <w:adjustRightInd w:val="0"/>
        <w:snapToGrid w:val="0"/>
        <w:spacing w:before="0" w:after="156" w:afterLines="50" w:line="300" w:lineRule="auto"/>
        <w:jc w:val="both"/>
        <w:rPr>
          <w:rFonts w:ascii="Arial" w:hAnsi="Arial" w:eastAsia="宋体" w:cs="Arial"/>
          <w:sz w:val="24"/>
          <w:szCs w:val="24"/>
        </w:rPr>
      </w:pPr>
      <w:r>
        <w:rPr>
          <w:rFonts w:ascii="Arial" w:hAnsi="Arial" w:eastAsia="宋体" w:cs="Arial"/>
          <w:sz w:val="24"/>
          <w:szCs w:val="24"/>
        </w:rPr>
        <w:t>对试验产品的所有权，包括但不限于专利、商标、版权或许可协议。</w:t>
      </w:r>
    </w:p>
    <w:p w14:paraId="767FF909">
      <w:pPr>
        <w:pStyle w:val="50"/>
        <w:numPr>
          <w:ilvl w:val="0"/>
          <w:numId w:val="4"/>
        </w:numPr>
        <w:tabs>
          <w:tab w:val="left" w:pos="514"/>
        </w:tabs>
        <w:overflowPunct w:val="0"/>
        <w:adjustRightInd w:val="0"/>
        <w:snapToGrid w:val="0"/>
        <w:spacing w:before="0" w:after="156" w:afterLines="50" w:line="300" w:lineRule="auto"/>
        <w:jc w:val="both"/>
        <w:rPr>
          <w:rFonts w:ascii="Arial" w:hAnsi="Arial" w:eastAsia="宋体" w:cs="Arial"/>
          <w:sz w:val="24"/>
          <w:szCs w:val="24"/>
        </w:rPr>
      </w:pPr>
      <w:r>
        <w:rPr>
          <w:rFonts w:ascii="Arial" w:hAnsi="Arial" w:eastAsia="宋体" w:cs="Arial"/>
          <w:sz w:val="24"/>
          <w:szCs w:val="24"/>
        </w:rPr>
        <w:t>所涉及临床研究的任何申办方的任何股权，即任何所有权权益、股票期权或其他不能通过参考公定价格而确定其价值的经济利益。这项要求适用于临床研究者在进行研究期间和研究完成后一年内所持有的利益。</w:t>
      </w:r>
    </w:p>
    <w:p w14:paraId="4EAE005F">
      <w:pPr>
        <w:pStyle w:val="50"/>
        <w:numPr>
          <w:ilvl w:val="0"/>
          <w:numId w:val="4"/>
        </w:numPr>
        <w:tabs>
          <w:tab w:val="left" w:pos="514"/>
        </w:tabs>
        <w:overflowPunct w:val="0"/>
        <w:adjustRightInd w:val="0"/>
        <w:snapToGrid w:val="0"/>
        <w:spacing w:before="0" w:after="156" w:afterLines="50" w:line="300" w:lineRule="auto"/>
        <w:jc w:val="both"/>
        <w:rPr>
          <w:rFonts w:ascii="Arial" w:hAnsi="Arial" w:eastAsia="宋体" w:cs="Arial"/>
          <w:sz w:val="24"/>
          <w:szCs w:val="24"/>
        </w:rPr>
      </w:pPr>
      <w:r>
        <w:rPr>
          <w:rFonts w:ascii="Arial" w:hAnsi="Arial" w:eastAsia="宋体" w:cs="Arial"/>
          <w:sz w:val="24"/>
          <w:szCs w:val="24"/>
        </w:rPr>
        <w:t>所涉及临床研究的任何申办方的任何股权（如果申办方是上市公司，且利益价值超过50,000美元）。这项要求适用于临床研究者在进行研究期间和研究完成后一年内所持有的利益。</w:t>
      </w:r>
    </w:p>
    <w:p w14:paraId="7DAF780C">
      <w:pPr>
        <w:pStyle w:val="50"/>
        <w:numPr>
          <w:ilvl w:val="0"/>
          <w:numId w:val="4"/>
        </w:numPr>
        <w:shd w:val="clear" w:color="auto" w:fill="auto"/>
        <w:tabs>
          <w:tab w:val="left" w:pos="514"/>
        </w:tabs>
        <w:overflowPunct w:val="0"/>
        <w:adjustRightInd w:val="0"/>
        <w:snapToGrid w:val="0"/>
        <w:spacing w:before="0" w:after="156" w:afterLines="50" w:line="300" w:lineRule="auto"/>
        <w:jc w:val="both"/>
        <w:rPr>
          <w:rFonts w:ascii="Arial" w:hAnsi="Arial" w:eastAsia="宋体" w:cs="Arial"/>
          <w:sz w:val="24"/>
          <w:szCs w:val="24"/>
        </w:rPr>
      </w:pPr>
      <w:r>
        <w:rPr>
          <w:rFonts w:ascii="Arial" w:hAnsi="Arial" w:eastAsia="宋体" w:cs="Arial"/>
          <w:sz w:val="24"/>
          <w:szCs w:val="24"/>
        </w:rPr>
        <w:t>其他种类的巨额款项（SPOOS）是在临床研究期间和研究完成后一年内，由所涉及临床研究的任何申办方提供给研究者或研究机构的累积货币价值为25,000美元或更多的付款。这将包括支持研究者的活动（例如，向研究者或机构提供资金，以资助研究者正在进行的研究或以设备形式的补偿），不包括进行该临床研究或其他临床研究的费用，或者给予其他报销，例如长期咨询的预付聘金或酬金。有关SPOOS的更多信息，请参见第IV节中问题</w:t>
      </w:r>
      <w:r>
        <w:rPr>
          <w:rFonts w:ascii="Arial" w:hAnsi="Arial" w:eastAsia="宋体" w:cs="Arial"/>
          <w:color w:val="0000FF"/>
          <w:sz w:val="24"/>
          <w:szCs w:val="24"/>
          <w:u w:val="single"/>
        </w:rPr>
        <w:t>C.4、C.5</w:t>
      </w:r>
      <w:r>
        <w:rPr>
          <w:rFonts w:ascii="Arial" w:hAnsi="Arial" w:eastAsia="宋体" w:cs="Arial"/>
          <w:sz w:val="24"/>
          <w:szCs w:val="24"/>
        </w:rPr>
        <w:t>和</w:t>
      </w:r>
      <w:r>
        <w:rPr>
          <w:rFonts w:ascii="Arial" w:hAnsi="Arial" w:eastAsia="宋体" w:cs="Arial"/>
          <w:color w:val="0000FF"/>
          <w:sz w:val="24"/>
          <w:szCs w:val="24"/>
          <w:u w:val="single"/>
        </w:rPr>
        <w:t>C.6</w:t>
      </w:r>
      <w:r>
        <w:rPr>
          <w:rFonts w:ascii="Arial" w:hAnsi="Arial" w:eastAsia="宋体" w:cs="Arial"/>
          <w:sz w:val="24"/>
          <w:szCs w:val="24"/>
        </w:rPr>
        <w:t>。</w:t>
      </w:r>
    </w:p>
    <w:p w14:paraId="6F85F08E">
      <w:pPr>
        <w:pStyle w:val="44"/>
        <w:numPr>
          <w:ilvl w:val="0"/>
          <w:numId w:val="3"/>
        </w:numPr>
        <w:shd w:val="clear" w:color="auto" w:fill="auto"/>
        <w:overflowPunct w:val="0"/>
        <w:snapToGrid w:val="0"/>
        <w:spacing w:after="156" w:afterLines="50" w:line="300" w:lineRule="auto"/>
        <w:ind w:left="357" w:hanging="357"/>
        <w:jc w:val="both"/>
        <w:outlineLvl w:val="1"/>
        <w:rPr>
          <w:rFonts w:ascii="Arial" w:hAnsi="Arial" w:eastAsia="宋体" w:cs="Arial"/>
          <w:sz w:val="24"/>
          <w:szCs w:val="24"/>
        </w:rPr>
      </w:pPr>
      <w:bookmarkStart w:id="8" w:name="_Toc496025800"/>
      <w:r>
        <w:rPr>
          <w:rFonts w:hint="eastAsia" w:ascii="Arial" w:hAnsi="Arial" w:eastAsia="宋体" w:cs="Arial"/>
          <w:sz w:val="24"/>
          <w:szCs w:val="24"/>
        </w:rPr>
        <w:t>机构</w:t>
      </w:r>
      <w:r>
        <w:rPr>
          <w:rFonts w:ascii="Arial" w:hAnsi="Arial" w:eastAsia="宋体" w:cs="Arial"/>
          <w:sz w:val="24"/>
          <w:szCs w:val="24"/>
        </w:rPr>
        <w:t>行动</w:t>
      </w:r>
      <w:bookmarkEnd w:id="8"/>
    </w:p>
    <w:p w14:paraId="34614C4F">
      <w:pPr>
        <w:pStyle w:val="50"/>
        <w:shd w:val="clear" w:color="auto" w:fill="auto"/>
        <w:overflowPunct w:val="0"/>
        <w:adjustRightInd w:val="0"/>
        <w:snapToGrid w:val="0"/>
        <w:spacing w:before="0" w:after="156" w:afterLines="50" w:line="300" w:lineRule="auto"/>
        <w:ind w:firstLine="0"/>
        <w:jc w:val="both"/>
        <w:rPr>
          <w:rFonts w:ascii="Arial" w:hAnsi="Arial" w:eastAsia="宋体" w:cs="Arial"/>
          <w:sz w:val="24"/>
          <w:szCs w:val="24"/>
        </w:rPr>
      </w:pPr>
      <w:r>
        <w:rPr>
          <w:rFonts w:hint="eastAsia" w:ascii="Arial" w:hAnsi="Arial" w:eastAsia="宋体" w:cs="Arial"/>
          <w:sz w:val="24"/>
          <w:szCs w:val="24"/>
        </w:rPr>
        <w:t>机构</w:t>
      </w:r>
      <w:r>
        <w:rPr>
          <w:rFonts w:ascii="Arial" w:hAnsi="Arial" w:eastAsia="宋体" w:cs="Arial"/>
          <w:sz w:val="24"/>
          <w:szCs w:val="24"/>
        </w:rPr>
        <w:t>可以拒绝接收的上市申请提交：未包含21 CFR第54</w:t>
      </w:r>
      <w:r>
        <w:rPr>
          <w:rFonts w:hint="eastAsia" w:ascii="Arial" w:hAnsi="Arial" w:eastAsia="宋体" w:cs="Arial"/>
          <w:sz w:val="24"/>
          <w:szCs w:val="24"/>
        </w:rPr>
        <w:t>部分</w:t>
      </w:r>
      <w:r>
        <w:rPr>
          <w:rFonts w:ascii="Arial" w:hAnsi="Arial" w:eastAsia="宋体" w:cs="Arial"/>
          <w:sz w:val="24"/>
          <w:szCs w:val="24"/>
        </w:rPr>
        <w:t>所要求的财务信息或申请人对于已进行尽职调查但无法获得信息的充分理由的证明。（21 CFR§54.4（c））。</w:t>
      </w:r>
    </w:p>
    <w:p w14:paraId="0F148C18">
      <w:pPr>
        <w:pStyle w:val="50"/>
        <w:shd w:val="clear" w:color="auto" w:fill="auto"/>
        <w:overflowPunct w:val="0"/>
        <w:adjustRightInd w:val="0"/>
        <w:snapToGrid w:val="0"/>
        <w:spacing w:before="0" w:after="156" w:afterLines="50" w:line="300" w:lineRule="auto"/>
        <w:ind w:firstLine="0"/>
        <w:jc w:val="both"/>
        <w:rPr>
          <w:rFonts w:ascii="Arial" w:hAnsi="Arial" w:eastAsia="宋体" w:cs="Arial"/>
          <w:sz w:val="24"/>
          <w:szCs w:val="24"/>
        </w:rPr>
      </w:pPr>
    </w:p>
    <w:p w14:paraId="421FF94E">
      <w:pPr>
        <w:spacing w:after="0" w:line="240" w:lineRule="auto"/>
        <w:rPr>
          <w:rFonts w:ascii="Arial" w:hAnsi="Arial" w:eastAsia="宋体" w:cs="Arial"/>
          <w:kern w:val="2"/>
          <w:sz w:val="24"/>
          <w:szCs w:val="24"/>
        </w:rPr>
      </w:pPr>
      <w:r>
        <w:rPr>
          <w:rFonts w:ascii="Arial" w:hAnsi="Arial" w:eastAsia="宋体" w:cs="Arial"/>
          <w:sz w:val="24"/>
          <w:szCs w:val="24"/>
        </w:rPr>
        <w:br w:type="page"/>
      </w:r>
    </w:p>
    <w:p w14:paraId="57A4AFD4">
      <w:pPr>
        <w:pStyle w:val="50"/>
        <w:shd w:val="clear" w:color="auto" w:fill="auto"/>
        <w:overflowPunct w:val="0"/>
        <w:adjustRightInd w:val="0"/>
        <w:snapToGrid w:val="0"/>
        <w:spacing w:before="0" w:after="156" w:afterLines="50" w:line="360" w:lineRule="auto"/>
        <w:ind w:firstLine="0"/>
        <w:jc w:val="both"/>
        <w:rPr>
          <w:rFonts w:ascii="Arial" w:hAnsi="Arial" w:eastAsia="宋体" w:cs="Arial"/>
          <w:sz w:val="24"/>
          <w:szCs w:val="24"/>
        </w:rPr>
      </w:pPr>
      <w:r>
        <w:rPr>
          <w:rFonts w:ascii="Arial" w:hAnsi="Arial" w:eastAsia="宋体" w:cs="Arial"/>
          <w:sz w:val="24"/>
          <w:szCs w:val="24"/>
        </w:rPr>
        <w:t>如果FDA确定任何临床研究者的经济利益或协议引起关于数据完整性的严重问题，FDA将采取其认为必要的任何措施，以确保数据的可靠性（21 CFR§54.5（c）），包括：</w:t>
      </w:r>
    </w:p>
    <w:p w14:paraId="4BFFA937">
      <w:pPr>
        <w:pStyle w:val="50"/>
        <w:numPr>
          <w:ilvl w:val="1"/>
          <w:numId w:val="4"/>
        </w:numPr>
        <w:tabs>
          <w:tab w:val="left" w:pos="529"/>
        </w:tabs>
        <w:overflowPunct w:val="0"/>
        <w:adjustRightInd w:val="0"/>
        <w:snapToGrid w:val="0"/>
        <w:spacing w:before="0" w:after="156" w:afterLines="50" w:line="360" w:lineRule="auto"/>
        <w:jc w:val="both"/>
        <w:rPr>
          <w:rFonts w:ascii="Arial" w:hAnsi="Arial" w:eastAsia="宋体" w:cs="Arial"/>
          <w:sz w:val="24"/>
          <w:szCs w:val="24"/>
        </w:rPr>
      </w:pPr>
      <w:r>
        <w:rPr>
          <w:rFonts w:ascii="Arial" w:hAnsi="Arial" w:eastAsia="宋体" w:cs="Arial"/>
          <w:sz w:val="24"/>
          <w:szCs w:val="24"/>
        </w:rPr>
        <w:t>对有问题的临床研究者的数据</w:t>
      </w:r>
      <w:r>
        <w:rPr>
          <w:rFonts w:hint="eastAsia" w:ascii="Arial" w:hAnsi="Arial" w:eastAsia="宋体" w:cs="Arial"/>
          <w:sz w:val="24"/>
          <w:szCs w:val="24"/>
        </w:rPr>
        <w:t>发起机构</w:t>
      </w:r>
      <w:r>
        <w:rPr>
          <w:rFonts w:ascii="Arial" w:hAnsi="Arial" w:eastAsia="宋体" w:cs="Arial"/>
          <w:sz w:val="24"/>
          <w:szCs w:val="24"/>
        </w:rPr>
        <w:t>审计；</w:t>
      </w:r>
    </w:p>
    <w:p w14:paraId="6BDF121A">
      <w:pPr>
        <w:pStyle w:val="50"/>
        <w:numPr>
          <w:ilvl w:val="1"/>
          <w:numId w:val="4"/>
        </w:numPr>
        <w:tabs>
          <w:tab w:val="left" w:pos="529"/>
        </w:tabs>
        <w:overflowPunct w:val="0"/>
        <w:adjustRightInd w:val="0"/>
        <w:snapToGrid w:val="0"/>
        <w:spacing w:before="0" w:after="156" w:afterLines="50" w:line="360" w:lineRule="auto"/>
        <w:jc w:val="both"/>
        <w:rPr>
          <w:rFonts w:ascii="Arial" w:hAnsi="Arial" w:eastAsia="宋体" w:cs="Arial"/>
          <w:sz w:val="24"/>
          <w:szCs w:val="24"/>
        </w:rPr>
      </w:pPr>
      <w:r>
        <w:rPr>
          <w:rFonts w:ascii="Arial" w:hAnsi="Arial" w:eastAsia="宋体" w:cs="Arial"/>
          <w:sz w:val="24"/>
          <w:szCs w:val="24"/>
        </w:rPr>
        <w:t>要求申请人进一步提交数据分析，例如评估该临床研究者的数据对整体研究</w:t>
      </w:r>
      <w:r>
        <w:rPr>
          <w:rFonts w:hint="eastAsia" w:ascii="Arial" w:hAnsi="Arial" w:eastAsia="宋体" w:cs="Arial"/>
          <w:sz w:val="24"/>
          <w:szCs w:val="24"/>
        </w:rPr>
        <w:t>结果</w:t>
      </w:r>
      <w:r>
        <w:rPr>
          <w:rFonts w:ascii="Arial" w:hAnsi="Arial" w:eastAsia="宋体" w:cs="Arial"/>
          <w:sz w:val="24"/>
          <w:szCs w:val="24"/>
        </w:rPr>
        <w:t>的影响；</w:t>
      </w:r>
    </w:p>
    <w:p w14:paraId="5175BA7E">
      <w:pPr>
        <w:pStyle w:val="50"/>
        <w:numPr>
          <w:ilvl w:val="1"/>
          <w:numId w:val="4"/>
        </w:numPr>
        <w:tabs>
          <w:tab w:val="left" w:pos="529"/>
        </w:tabs>
        <w:overflowPunct w:val="0"/>
        <w:adjustRightInd w:val="0"/>
        <w:snapToGrid w:val="0"/>
        <w:spacing w:before="0" w:after="156" w:afterLines="50" w:line="360" w:lineRule="auto"/>
        <w:jc w:val="both"/>
        <w:rPr>
          <w:rFonts w:ascii="Arial" w:hAnsi="Arial" w:eastAsia="宋体" w:cs="Arial"/>
          <w:sz w:val="24"/>
          <w:szCs w:val="24"/>
        </w:rPr>
      </w:pPr>
      <w:r>
        <w:rPr>
          <w:rFonts w:ascii="Arial" w:hAnsi="Arial" w:eastAsia="宋体" w:cs="Arial"/>
          <w:sz w:val="24"/>
          <w:szCs w:val="24"/>
        </w:rPr>
        <w:t>要求申请人进行额外的独立研究，以确证该问题研究的结果；</w:t>
      </w:r>
      <w:r>
        <w:rPr>
          <w:rFonts w:hint="eastAsia" w:ascii="Arial" w:hAnsi="Arial" w:eastAsia="宋体" w:cs="Arial"/>
          <w:sz w:val="24"/>
          <w:szCs w:val="24"/>
        </w:rPr>
        <w:t>以及</w:t>
      </w:r>
    </w:p>
    <w:p w14:paraId="4C5373BA">
      <w:pPr>
        <w:pStyle w:val="50"/>
        <w:numPr>
          <w:ilvl w:val="1"/>
          <w:numId w:val="4"/>
        </w:numPr>
        <w:tabs>
          <w:tab w:val="left" w:pos="529"/>
        </w:tabs>
        <w:overflowPunct w:val="0"/>
        <w:adjustRightInd w:val="0"/>
        <w:snapToGrid w:val="0"/>
        <w:spacing w:before="0" w:after="156" w:afterLines="50" w:line="360" w:lineRule="auto"/>
        <w:jc w:val="both"/>
        <w:rPr>
          <w:rFonts w:ascii="Arial" w:hAnsi="Arial" w:eastAsia="宋体" w:cs="Arial"/>
          <w:sz w:val="24"/>
          <w:szCs w:val="24"/>
        </w:rPr>
      </w:pPr>
      <w:r>
        <w:rPr>
          <w:rFonts w:ascii="Arial" w:hAnsi="Arial" w:eastAsia="宋体" w:cs="Arial"/>
          <w:sz w:val="24"/>
          <w:szCs w:val="24"/>
        </w:rPr>
        <w:t>拒绝将所涉及的临床研究视为提供了可作为</w:t>
      </w:r>
      <w:r>
        <w:rPr>
          <w:rFonts w:hint="eastAsia" w:ascii="Arial" w:hAnsi="Arial" w:eastAsia="宋体" w:cs="Arial"/>
          <w:sz w:val="24"/>
          <w:szCs w:val="24"/>
        </w:rPr>
        <w:t>机构</w:t>
      </w:r>
      <w:r>
        <w:rPr>
          <w:rFonts w:ascii="Arial" w:hAnsi="Arial" w:eastAsia="宋体" w:cs="Arial"/>
          <w:sz w:val="24"/>
          <w:szCs w:val="24"/>
        </w:rPr>
        <w:t>行动基础的数据。</w:t>
      </w:r>
    </w:p>
    <w:p w14:paraId="1D9190CA">
      <w:pPr>
        <w:pStyle w:val="44"/>
        <w:numPr>
          <w:ilvl w:val="0"/>
          <w:numId w:val="2"/>
        </w:numPr>
        <w:shd w:val="clear" w:color="auto" w:fill="auto"/>
        <w:overflowPunct w:val="0"/>
        <w:snapToGrid w:val="0"/>
        <w:spacing w:after="156" w:afterLines="50" w:line="300" w:lineRule="auto"/>
        <w:outlineLvl w:val="0"/>
        <w:rPr>
          <w:rFonts w:ascii="Arial" w:hAnsi="Arial" w:eastAsia="宋体" w:cs="Arial"/>
          <w:sz w:val="28"/>
          <w:szCs w:val="28"/>
        </w:rPr>
      </w:pPr>
      <w:bookmarkStart w:id="9" w:name="_Toc496025801"/>
      <w:r>
        <w:rPr>
          <w:rFonts w:ascii="Arial" w:hAnsi="Arial" w:eastAsia="宋体" w:cs="Arial"/>
          <w:sz w:val="28"/>
          <w:szCs w:val="28"/>
        </w:rPr>
        <w:t>问答</w:t>
      </w:r>
      <w:bookmarkEnd w:id="9"/>
    </w:p>
    <w:p w14:paraId="0D477662">
      <w:pPr>
        <w:pStyle w:val="44"/>
        <w:numPr>
          <w:ilvl w:val="0"/>
          <w:numId w:val="5"/>
        </w:numPr>
        <w:shd w:val="clear" w:color="auto" w:fill="auto"/>
        <w:overflowPunct w:val="0"/>
        <w:snapToGrid w:val="0"/>
        <w:spacing w:after="156" w:afterLines="50" w:line="360" w:lineRule="auto"/>
        <w:ind w:left="357" w:hanging="357"/>
        <w:jc w:val="both"/>
        <w:outlineLvl w:val="1"/>
        <w:rPr>
          <w:rFonts w:ascii="Arial" w:hAnsi="Arial" w:eastAsia="宋体" w:cs="Arial"/>
          <w:sz w:val="24"/>
          <w:szCs w:val="24"/>
        </w:rPr>
      </w:pPr>
      <w:bookmarkStart w:id="10" w:name="_Toc496025802"/>
      <w:r>
        <w:rPr>
          <w:rFonts w:ascii="Arial" w:hAnsi="Arial" w:eastAsia="宋体" w:cs="Arial"/>
          <w:sz w:val="24"/>
          <w:szCs w:val="24"/>
        </w:rPr>
        <w:t>一般问题</w:t>
      </w:r>
      <w:bookmarkEnd w:id="10"/>
    </w:p>
    <w:p w14:paraId="281AD13C">
      <w:pPr>
        <w:pStyle w:val="54"/>
        <w:shd w:val="clear" w:color="auto" w:fill="auto"/>
        <w:overflowPunct w:val="0"/>
        <w:adjustRightInd w:val="0"/>
        <w:snapToGrid w:val="0"/>
        <w:spacing w:before="0" w:after="156" w:afterLines="50" w:line="360" w:lineRule="auto"/>
        <w:ind w:left="180" w:firstLine="0"/>
        <w:jc w:val="both"/>
        <w:rPr>
          <w:rFonts w:ascii="Arial" w:hAnsi="Arial" w:eastAsia="宋体" w:cs="Arial"/>
          <w:sz w:val="24"/>
          <w:szCs w:val="24"/>
        </w:rPr>
      </w:pPr>
      <w:r>
        <w:rPr>
          <w:rFonts w:hint="eastAsia" w:ascii="Arial" w:hAnsi="Arial" w:eastAsia="宋体" w:cs="Arial"/>
          <w:sz w:val="24"/>
          <w:szCs w:val="24"/>
        </w:rPr>
        <w:t>A.</w:t>
      </w:r>
      <w:r>
        <w:rPr>
          <w:rFonts w:ascii="Arial" w:hAnsi="Arial" w:eastAsia="宋体" w:cs="Arial"/>
          <w:sz w:val="24"/>
          <w:szCs w:val="24"/>
        </w:rPr>
        <w:t>1</w:t>
      </w:r>
      <w:r>
        <w:rPr>
          <w:rFonts w:hint="eastAsia" w:ascii="Arial" w:hAnsi="Arial" w:eastAsia="宋体" w:cs="Arial"/>
          <w:sz w:val="24"/>
          <w:szCs w:val="24"/>
        </w:rPr>
        <w:tab/>
      </w:r>
      <w:r>
        <w:rPr>
          <w:rFonts w:ascii="Arial" w:hAnsi="Arial" w:eastAsia="宋体" w:cs="Arial"/>
          <w:sz w:val="24"/>
          <w:szCs w:val="24"/>
        </w:rPr>
        <w:t>问：为什么FDA制定了财务披露条例？</w:t>
      </w:r>
    </w:p>
    <w:p w14:paraId="7F275D68">
      <w:pPr>
        <w:pStyle w:val="54"/>
        <w:shd w:val="clear" w:color="auto" w:fill="auto"/>
        <w:overflowPunct w:val="0"/>
        <w:adjustRightInd w:val="0"/>
        <w:snapToGrid w:val="0"/>
        <w:spacing w:before="0" w:after="156" w:afterLines="50" w:line="360" w:lineRule="auto"/>
        <w:ind w:left="785" w:leftChars="357" w:firstLine="0"/>
        <w:jc w:val="both"/>
        <w:rPr>
          <w:rFonts w:ascii="Arial" w:hAnsi="Arial" w:eastAsia="宋体" w:cs="Arial"/>
          <w:b w:val="0"/>
          <w:sz w:val="24"/>
          <w:szCs w:val="24"/>
        </w:rPr>
      </w:pPr>
      <w:r>
        <w:rPr>
          <w:rFonts w:ascii="Arial" w:hAnsi="Arial" w:eastAsia="宋体" w:cs="Arial"/>
          <w:sz w:val="24"/>
          <w:szCs w:val="24"/>
        </w:rPr>
        <w:t>答：</w:t>
      </w:r>
      <w:r>
        <w:rPr>
          <w:rFonts w:ascii="Arial" w:hAnsi="Arial" w:eastAsia="宋体" w:cs="Arial"/>
          <w:b w:val="0"/>
          <w:sz w:val="24"/>
          <w:szCs w:val="24"/>
        </w:rPr>
        <w:t>1991年6月，卫生</w:t>
      </w:r>
      <w:r>
        <w:rPr>
          <w:rFonts w:hint="eastAsia" w:ascii="Arial" w:hAnsi="Arial" w:eastAsia="宋体" w:cs="Arial"/>
          <w:b w:val="0"/>
          <w:sz w:val="24"/>
          <w:szCs w:val="24"/>
        </w:rPr>
        <w:t>与公众</w:t>
      </w:r>
      <w:r>
        <w:rPr>
          <w:rFonts w:ascii="Arial" w:hAnsi="Arial" w:eastAsia="宋体" w:cs="Arial"/>
          <w:b w:val="0"/>
          <w:sz w:val="24"/>
          <w:szCs w:val="24"/>
        </w:rPr>
        <w:t>服务部监察长向FDA提交了一份管理咨询报告</w:t>
      </w:r>
      <w:r>
        <w:rPr>
          <w:rStyle w:val="24"/>
          <w:rFonts w:ascii="Arial" w:hAnsi="Arial" w:eastAsia="宋体" w:cs="Arial"/>
          <w:b w:val="0"/>
          <w:sz w:val="24"/>
          <w:szCs w:val="24"/>
        </w:rPr>
        <w:footnoteReference w:id="4"/>
      </w:r>
      <w:r>
        <w:rPr>
          <w:rFonts w:ascii="Arial" w:hAnsi="Arial" w:eastAsia="宋体" w:cs="Arial"/>
          <w:b w:val="0"/>
          <w:sz w:val="24"/>
          <w:szCs w:val="24"/>
        </w:rPr>
        <w:t>，</w:t>
      </w:r>
      <w:r>
        <w:rPr>
          <w:rFonts w:hint="eastAsia" w:ascii="Arial" w:hAnsi="Arial" w:eastAsia="宋体" w:cs="Arial"/>
          <w:b w:val="0"/>
          <w:sz w:val="24"/>
          <w:szCs w:val="24"/>
        </w:rPr>
        <w:t>该报告</w:t>
      </w:r>
      <w:r>
        <w:rPr>
          <w:rFonts w:ascii="Arial" w:hAnsi="Arial" w:eastAsia="宋体" w:cs="Arial"/>
          <w:b w:val="0"/>
          <w:sz w:val="24"/>
          <w:szCs w:val="24"/>
        </w:rPr>
        <w:t>指出，FDA缺乏一项机制以收集临床研究者（其研究的产品接受FDA审查）的</w:t>
      </w:r>
      <w:r>
        <w:rPr>
          <w:rFonts w:ascii="宋体" w:hAnsi="宋体" w:eastAsia="宋体" w:cs="Arial"/>
          <w:b w:val="0"/>
          <w:sz w:val="24"/>
          <w:szCs w:val="24"/>
        </w:rPr>
        <w:t>“</w:t>
      </w:r>
      <w:r>
        <w:rPr>
          <w:rFonts w:ascii="Arial" w:hAnsi="Arial" w:eastAsia="宋体" w:cs="Arial"/>
          <w:b w:val="0"/>
          <w:sz w:val="24"/>
          <w:szCs w:val="24"/>
        </w:rPr>
        <w:t>经济利益冲突</w:t>
      </w:r>
      <w:r>
        <w:rPr>
          <w:rFonts w:cs="Arial" w:asciiTheme="majorEastAsia" w:hAnsiTheme="majorEastAsia" w:eastAsiaTheme="majorEastAsia"/>
          <w:b w:val="0"/>
          <w:sz w:val="24"/>
          <w:szCs w:val="24"/>
        </w:rPr>
        <w:t>”</w:t>
      </w:r>
      <w:r>
        <w:rPr>
          <w:rFonts w:ascii="Arial" w:hAnsi="Arial" w:eastAsia="宋体" w:cs="Arial"/>
          <w:b w:val="0"/>
          <w:sz w:val="24"/>
          <w:szCs w:val="24"/>
        </w:rPr>
        <w:t>信息，可能会构成</w:t>
      </w:r>
      <w:r>
        <w:rPr>
          <w:rFonts w:ascii="宋体" w:hAnsi="宋体" w:eastAsia="宋体" w:cs="Arial"/>
          <w:b w:val="0"/>
          <w:sz w:val="24"/>
          <w:szCs w:val="24"/>
        </w:rPr>
        <w:t>“</w:t>
      </w:r>
      <w:r>
        <w:rPr>
          <w:rFonts w:ascii="Arial" w:hAnsi="Arial" w:eastAsia="宋体" w:cs="Arial"/>
          <w:b w:val="0"/>
          <w:sz w:val="24"/>
          <w:szCs w:val="24"/>
        </w:rPr>
        <w:t>联邦管理财政综合法案</w:t>
      </w:r>
      <w:r>
        <w:rPr>
          <w:rFonts w:cs="Arial" w:asciiTheme="majorEastAsia" w:hAnsiTheme="majorEastAsia" w:eastAsiaTheme="majorEastAsia"/>
          <w:b w:val="0"/>
          <w:sz w:val="24"/>
          <w:szCs w:val="24"/>
        </w:rPr>
        <w:t>”</w:t>
      </w:r>
      <w:r>
        <w:rPr>
          <w:rFonts w:ascii="Arial" w:hAnsi="Arial" w:eastAsia="宋体" w:cs="Arial"/>
          <w:b w:val="0"/>
          <w:sz w:val="24"/>
          <w:szCs w:val="24"/>
        </w:rPr>
        <w:t>的重大缺陷。正如最终法规中的序言所述，虽然FDA认为不存在重大缺陷，但其确实认为有必要通过监管来解决</w:t>
      </w:r>
      <w:r>
        <w:rPr>
          <w:rFonts w:hint="eastAsia" w:ascii="Arial" w:hAnsi="Arial" w:eastAsia="宋体" w:cs="Arial"/>
          <w:b w:val="0"/>
          <w:sz w:val="24"/>
          <w:szCs w:val="24"/>
        </w:rPr>
        <w:t>该</w:t>
      </w:r>
      <w:r>
        <w:rPr>
          <w:rFonts w:ascii="Arial" w:hAnsi="Arial" w:eastAsia="宋体" w:cs="Arial"/>
          <w:b w:val="0"/>
          <w:sz w:val="24"/>
          <w:szCs w:val="24"/>
        </w:rPr>
        <w:t>问题</w:t>
      </w:r>
      <w:r>
        <w:rPr>
          <w:rStyle w:val="24"/>
          <w:rFonts w:ascii="Arial" w:hAnsi="Arial" w:eastAsia="宋体" w:cs="Arial"/>
          <w:b w:val="0"/>
          <w:sz w:val="24"/>
          <w:szCs w:val="24"/>
        </w:rPr>
        <w:footnoteReference w:id="5"/>
      </w:r>
      <w:r>
        <w:rPr>
          <w:rFonts w:ascii="Arial" w:hAnsi="Arial" w:eastAsia="宋体" w:cs="Arial"/>
          <w:b w:val="0"/>
          <w:sz w:val="24"/>
          <w:szCs w:val="24"/>
        </w:rPr>
        <w:t>。在条例制定过程中，FDA还通过在报纸上发布文章、国会调查和公众证词和评论，了解到可能会有问题的经济利益和协议。根据收集到的信息，FDA决定，要求在某种程度上依赖于临床数据的上市申请人提交某些财务信息是适当的。</w:t>
      </w:r>
    </w:p>
    <w:p w14:paraId="039FF5DC">
      <w:pPr>
        <w:spacing w:after="0" w:line="240" w:lineRule="auto"/>
        <w:rPr>
          <w:rFonts w:ascii="Arial" w:hAnsi="Arial" w:eastAsia="宋体" w:cs="Arial"/>
          <w:b/>
          <w:bCs/>
          <w:kern w:val="2"/>
          <w:sz w:val="24"/>
          <w:szCs w:val="24"/>
        </w:rPr>
      </w:pPr>
      <w:r>
        <w:rPr>
          <w:rFonts w:ascii="Arial" w:hAnsi="Arial" w:eastAsia="宋体" w:cs="Arial"/>
          <w:sz w:val="24"/>
          <w:szCs w:val="24"/>
        </w:rPr>
        <w:br w:type="page"/>
      </w:r>
    </w:p>
    <w:p w14:paraId="66A80F82">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hint="eastAsia" w:ascii="Arial" w:hAnsi="Arial" w:eastAsia="宋体" w:cs="Arial"/>
          <w:sz w:val="24"/>
          <w:szCs w:val="24"/>
        </w:rPr>
        <w:t>A.</w:t>
      </w:r>
      <w:r>
        <w:rPr>
          <w:rFonts w:ascii="Arial" w:hAnsi="Arial" w:eastAsia="宋体" w:cs="Arial"/>
          <w:sz w:val="24"/>
          <w:szCs w:val="24"/>
        </w:rPr>
        <w:t>2</w:t>
      </w:r>
      <w:r>
        <w:rPr>
          <w:rFonts w:hint="eastAsia" w:ascii="Arial" w:hAnsi="Arial" w:eastAsia="宋体" w:cs="Arial"/>
          <w:sz w:val="24"/>
          <w:szCs w:val="24"/>
        </w:rPr>
        <w:tab/>
      </w:r>
      <w:r>
        <w:rPr>
          <w:rFonts w:ascii="Arial" w:hAnsi="Arial" w:eastAsia="宋体" w:cs="Arial"/>
          <w:sz w:val="24"/>
          <w:szCs w:val="24"/>
        </w:rPr>
        <w:t>问：FDA对临床研究者财务信息披露审查的目的是什么？申办方如何将偏倚最小化？</w:t>
      </w:r>
    </w:p>
    <w:p w14:paraId="09901732">
      <w:pPr>
        <w:pStyle w:val="54"/>
        <w:shd w:val="clear" w:color="auto" w:fill="auto"/>
        <w:overflowPunct w:val="0"/>
        <w:adjustRightInd w:val="0"/>
        <w:snapToGrid w:val="0"/>
        <w:spacing w:before="0" w:after="156" w:afterLines="50" w:line="300" w:lineRule="auto"/>
        <w:ind w:left="785" w:leftChars="357" w:firstLine="0"/>
        <w:jc w:val="both"/>
        <w:rPr>
          <w:rFonts w:ascii="Arial" w:hAnsi="Arial" w:eastAsia="宋体" w:cs="Arial"/>
          <w:b w:val="0"/>
          <w:sz w:val="24"/>
          <w:szCs w:val="24"/>
        </w:rPr>
      </w:pPr>
      <w:r>
        <w:rPr>
          <w:rFonts w:ascii="Arial" w:hAnsi="Arial" w:eastAsia="宋体" w:cs="Arial"/>
          <w:sz w:val="24"/>
          <w:szCs w:val="24"/>
        </w:rPr>
        <w:t>答：</w:t>
      </w:r>
      <w:r>
        <w:rPr>
          <w:rFonts w:ascii="Arial" w:hAnsi="Arial" w:eastAsia="宋体" w:cs="Arial"/>
          <w:b w:val="0"/>
          <w:sz w:val="24"/>
          <w:szCs w:val="24"/>
        </w:rPr>
        <w:t>FDA对临床研究者财务披露信息的审查，提醒FDA工作人员注意有可能导致所涉及临床研究偏倚的经济利益和协议。财务披露程序还向FDA提供了关于申办方是否、以及在多大程度上采取了措施以将偏倚的风险最小化。通过适当的研究设计（见21 CFR§54.5（b）），是使此类由经济利益和协议而产生的偏倚最小化的一项重要手段。例如，使用随机化和盲法有助于最大限度地降低受试者接受试验用药或安慰剂的分配偏倚以及评价研究结局和分析结果时的潜在偏倚。同样，让没有经济利益或协议的人来评估研究终点，特别是在非盲法研究中，可以有助于将评估治疗</w:t>
      </w:r>
      <w:r>
        <w:rPr>
          <w:rFonts w:hint="eastAsia" w:ascii="Arial" w:hAnsi="Arial" w:eastAsia="宋体" w:cs="Arial"/>
          <w:b w:val="0"/>
          <w:sz w:val="24"/>
          <w:szCs w:val="24"/>
        </w:rPr>
        <w:t>结果</w:t>
      </w:r>
      <w:r>
        <w:rPr>
          <w:rFonts w:ascii="Arial" w:hAnsi="Arial" w:eastAsia="宋体" w:cs="Arial"/>
          <w:b w:val="0"/>
          <w:sz w:val="24"/>
          <w:szCs w:val="24"/>
        </w:rPr>
        <w:t>的潜在偏倚最小化。</w:t>
      </w:r>
    </w:p>
    <w:p w14:paraId="5DE1FE23">
      <w:pPr>
        <w:pStyle w:val="54"/>
        <w:shd w:val="clear" w:color="auto" w:fill="auto"/>
        <w:overflowPunct w:val="0"/>
        <w:adjustRightInd w:val="0"/>
        <w:snapToGrid w:val="0"/>
        <w:spacing w:before="0" w:after="156" w:afterLines="50" w:line="300" w:lineRule="auto"/>
        <w:ind w:left="785" w:leftChars="357" w:firstLine="0"/>
        <w:jc w:val="both"/>
        <w:rPr>
          <w:rFonts w:ascii="Arial" w:hAnsi="Arial" w:eastAsia="宋体" w:cs="Arial"/>
          <w:b w:val="0"/>
          <w:sz w:val="24"/>
          <w:szCs w:val="24"/>
        </w:rPr>
      </w:pPr>
      <w:r>
        <w:rPr>
          <w:rFonts w:ascii="Arial" w:hAnsi="Arial" w:eastAsia="宋体" w:cs="Arial"/>
          <w:b w:val="0"/>
          <w:sz w:val="24"/>
          <w:szCs w:val="24"/>
        </w:rPr>
        <w:t>FDA工作人员在审查上市申请以评估临床数据可靠性时，会考虑财务披露信息和申办方使偏倚最小化的方法（见21 CFR§54.1）。此外，由于在为IND和IDE而进行的研究开始之前</w:t>
      </w:r>
      <w:r>
        <w:rPr>
          <w:rStyle w:val="24"/>
          <w:rFonts w:ascii="Arial" w:hAnsi="Arial" w:eastAsia="宋体" w:cs="Arial"/>
          <w:b w:val="0"/>
          <w:sz w:val="24"/>
          <w:szCs w:val="24"/>
        </w:rPr>
        <w:footnoteReference w:id="6"/>
      </w:r>
      <w:r>
        <w:rPr>
          <w:rFonts w:ascii="Arial" w:hAnsi="Arial" w:eastAsia="宋体" w:cs="Arial"/>
          <w:b w:val="0"/>
          <w:sz w:val="24"/>
          <w:szCs w:val="24"/>
        </w:rPr>
        <w:t>，申办方需要</w:t>
      </w:r>
      <w:r>
        <w:rPr>
          <w:rFonts w:hint="eastAsia" w:ascii="Arial" w:hAnsi="Arial" w:eastAsia="宋体" w:cs="Arial"/>
          <w:b w:val="0"/>
          <w:sz w:val="24"/>
          <w:szCs w:val="24"/>
        </w:rPr>
        <w:t>收集</w:t>
      </w:r>
      <w:r>
        <w:rPr>
          <w:rFonts w:ascii="Arial" w:hAnsi="Arial" w:eastAsia="宋体" w:cs="Arial"/>
          <w:b w:val="0"/>
          <w:sz w:val="24"/>
          <w:szCs w:val="24"/>
        </w:rPr>
        <w:t>临床研究者财务信息，申办方可以与FDA合作以尽可能减少任何潜在的偏倚。出于同样的原因，FDA强烈鼓励申办方对于并非按照IND / IDE而进行的研究，在研究开始之前收集财务信息。</w:t>
      </w:r>
    </w:p>
    <w:p w14:paraId="7FDE41E2">
      <w:pPr>
        <w:pStyle w:val="44"/>
        <w:numPr>
          <w:ilvl w:val="0"/>
          <w:numId w:val="5"/>
        </w:numPr>
        <w:shd w:val="clear" w:color="auto" w:fill="auto"/>
        <w:overflowPunct w:val="0"/>
        <w:snapToGrid w:val="0"/>
        <w:spacing w:after="156" w:afterLines="50" w:line="360" w:lineRule="auto"/>
        <w:ind w:left="357" w:hanging="357"/>
        <w:jc w:val="both"/>
        <w:outlineLvl w:val="1"/>
        <w:rPr>
          <w:rFonts w:ascii="Arial" w:hAnsi="Arial" w:eastAsia="宋体" w:cs="Arial"/>
          <w:sz w:val="24"/>
          <w:szCs w:val="24"/>
        </w:rPr>
      </w:pPr>
      <w:bookmarkStart w:id="11" w:name="_Toc496025803"/>
      <w:r>
        <w:rPr>
          <w:rFonts w:ascii="Arial" w:hAnsi="Arial" w:eastAsia="宋体" w:cs="Arial"/>
          <w:sz w:val="24"/>
          <w:szCs w:val="24"/>
        </w:rPr>
        <w:t>需提交的表格和信息</w:t>
      </w:r>
      <w:bookmarkEnd w:id="11"/>
    </w:p>
    <w:p w14:paraId="6ABE4EEE">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ascii="Arial" w:hAnsi="Arial" w:eastAsia="宋体" w:cs="Arial"/>
          <w:sz w:val="24"/>
          <w:szCs w:val="24"/>
        </w:rPr>
        <w:t>B.1</w:t>
      </w:r>
      <w:r>
        <w:rPr>
          <w:rFonts w:hint="eastAsia" w:ascii="Arial" w:hAnsi="Arial" w:eastAsia="宋体" w:cs="Arial"/>
          <w:sz w:val="24"/>
          <w:szCs w:val="24"/>
        </w:rPr>
        <w:tab/>
      </w:r>
      <w:r>
        <w:rPr>
          <w:rFonts w:ascii="Arial" w:hAnsi="Arial" w:eastAsia="宋体" w:cs="Arial"/>
          <w:sz w:val="24"/>
          <w:szCs w:val="24"/>
        </w:rPr>
        <w:t>问：上市申请中需要包含哪些财务披露信息？</w:t>
      </w:r>
    </w:p>
    <w:p w14:paraId="33343132">
      <w:pPr>
        <w:pStyle w:val="54"/>
        <w:shd w:val="clear" w:color="auto" w:fill="auto"/>
        <w:overflowPunct w:val="0"/>
        <w:adjustRightInd w:val="0"/>
        <w:snapToGrid w:val="0"/>
        <w:spacing w:before="0" w:after="156" w:afterLines="50" w:line="300" w:lineRule="auto"/>
        <w:ind w:left="785" w:leftChars="357" w:firstLine="0"/>
        <w:jc w:val="both"/>
        <w:rPr>
          <w:rFonts w:ascii="Arial" w:hAnsi="Arial" w:eastAsia="宋体" w:cs="Arial"/>
          <w:b w:val="0"/>
          <w:sz w:val="24"/>
          <w:szCs w:val="24"/>
        </w:rPr>
      </w:pPr>
      <w:r>
        <w:rPr>
          <w:rFonts w:ascii="Arial" w:hAnsi="Arial" w:eastAsia="宋体" w:cs="Arial"/>
          <w:sz w:val="24"/>
          <w:szCs w:val="24"/>
        </w:rPr>
        <w:t>答：</w:t>
      </w:r>
      <w:r>
        <w:rPr>
          <w:rFonts w:ascii="Arial" w:hAnsi="Arial" w:eastAsia="宋体" w:cs="Arial"/>
          <w:b w:val="0"/>
          <w:sz w:val="24"/>
          <w:szCs w:val="24"/>
        </w:rPr>
        <w:t>该申请中必须包含进行每项所涉及临床研究的所有临床研究者的名单（21 CFR§54.4）， 该名单中必须包括符合21 CFR§54.2（d）中</w:t>
      </w:r>
      <w:r>
        <w:rPr>
          <w:rFonts w:ascii="宋体" w:hAnsi="宋体" w:eastAsia="宋体" w:cs="Arial"/>
          <w:b w:val="0"/>
          <w:sz w:val="24"/>
          <w:szCs w:val="24"/>
        </w:rPr>
        <w:t>“</w:t>
      </w:r>
      <w:r>
        <w:rPr>
          <w:rFonts w:ascii="Arial" w:hAnsi="Arial" w:eastAsia="宋体" w:cs="Arial"/>
          <w:b w:val="0"/>
          <w:sz w:val="24"/>
          <w:szCs w:val="24"/>
        </w:rPr>
        <w:t>临床研究者</w:t>
      </w:r>
      <w:r>
        <w:rPr>
          <w:rFonts w:cs="Arial" w:asciiTheme="majorEastAsia" w:hAnsiTheme="majorEastAsia" w:eastAsiaTheme="majorEastAsia"/>
          <w:b w:val="0"/>
          <w:sz w:val="24"/>
          <w:szCs w:val="24"/>
        </w:rPr>
        <w:t>”</w:t>
      </w:r>
      <w:r>
        <w:rPr>
          <w:rFonts w:ascii="Arial" w:hAnsi="Arial" w:eastAsia="宋体" w:cs="Arial"/>
          <w:b w:val="0"/>
          <w:sz w:val="24"/>
          <w:szCs w:val="24"/>
        </w:rPr>
        <w:t>定义的研究者和次要研究者。请注意，临床研究者一词包括了临床研究者的配偶和每名受抚养子女（21 CFR§54.2（d））。该名单还必须明确所涉及研究中作为申办方的全职或兼职员工的临床研究者（21 CFR§54.4）。如果临床研究者的配偶或受抚养子女是申办方的雇员，则该临床研究者应确定为雇员而进行财务披露。对于未确定为申办方雇员的每名临床研究者，必须提交以下项目之一（21 CFR§54.4（a））：</w:t>
      </w:r>
    </w:p>
    <w:p w14:paraId="6169916E">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73D1D149">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17DEEBFE">
      <w:pPr>
        <w:spacing w:after="0" w:line="240" w:lineRule="auto"/>
        <w:rPr>
          <w:rFonts w:ascii="Arial" w:hAnsi="Arial" w:eastAsia="宋体" w:cs="Arial"/>
          <w:kern w:val="2"/>
          <w:sz w:val="24"/>
          <w:szCs w:val="24"/>
        </w:rPr>
      </w:pPr>
      <w:r>
        <w:rPr>
          <w:rFonts w:ascii="Arial" w:hAnsi="Arial" w:eastAsia="宋体" w:cs="Arial"/>
          <w:sz w:val="24"/>
          <w:szCs w:val="24"/>
        </w:rPr>
        <w:br w:type="page"/>
      </w:r>
    </w:p>
    <w:p w14:paraId="43ACE1E7">
      <w:pPr>
        <w:pStyle w:val="50"/>
        <w:numPr>
          <w:ilvl w:val="1"/>
          <w:numId w:val="2"/>
        </w:numPr>
        <w:shd w:val="clear" w:color="auto" w:fill="auto"/>
        <w:overflowPunct w:val="0"/>
        <w:adjustRightInd w:val="0"/>
        <w:snapToGrid w:val="0"/>
        <w:spacing w:before="0" w:after="50" w:line="300" w:lineRule="auto"/>
        <w:jc w:val="both"/>
        <w:rPr>
          <w:rFonts w:ascii="Arial" w:hAnsi="Arial" w:eastAsia="宋体" w:cs="Arial"/>
          <w:sz w:val="24"/>
          <w:szCs w:val="24"/>
        </w:rPr>
      </w:pPr>
      <w:r>
        <w:rPr>
          <w:rFonts w:ascii="Arial" w:hAnsi="Arial" w:eastAsia="宋体" w:cs="Arial"/>
          <w:sz w:val="24"/>
          <w:szCs w:val="24"/>
        </w:rPr>
        <w:t>FDA 3455表，披露声明</w:t>
      </w:r>
      <w:r>
        <w:rPr>
          <w:rStyle w:val="24"/>
          <w:rFonts w:ascii="Arial" w:hAnsi="Arial" w:eastAsia="宋体" w:cs="Arial"/>
          <w:sz w:val="24"/>
          <w:szCs w:val="24"/>
        </w:rPr>
        <w:footnoteReference w:id="7"/>
      </w:r>
      <w:r>
        <w:rPr>
          <w:rFonts w:ascii="Arial" w:hAnsi="Arial" w:eastAsia="宋体" w:cs="Arial"/>
          <w:sz w:val="24"/>
          <w:szCs w:val="24"/>
        </w:rPr>
        <w:t>，对于每名临床研究者，或其配偶或受抚养子女，与所涉及临床研究的任何申办方有关的需披露的经济利益和/或协议。该表格应包括关于这些经济利益和协议的详细信息的附件（例如，研究者或研究者的配偶或受抚养子女</w:t>
      </w:r>
      <w:r>
        <w:rPr>
          <w:rFonts w:hint="eastAsia" w:ascii="Arial" w:hAnsi="Arial" w:eastAsia="宋体" w:cs="Arial"/>
          <w:sz w:val="24"/>
          <w:szCs w:val="24"/>
        </w:rPr>
        <w:t>有</w:t>
      </w:r>
      <w:r>
        <w:rPr>
          <w:rFonts w:ascii="Arial" w:hAnsi="Arial" w:eastAsia="宋体" w:cs="Arial"/>
          <w:sz w:val="24"/>
          <w:szCs w:val="24"/>
        </w:rPr>
        <w:t>支付</w:t>
      </w:r>
      <w:r>
        <w:rPr>
          <w:rFonts w:hint="eastAsia" w:ascii="Arial" w:hAnsi="Arial" w:eastAsia="宋体" w:cs="Arial"/>
          <w:sz w:val="24"/>
          <w:szCs w:val="24"/>
        </w:rPr>
        <w:t>性质或</w:t>
      </w:r>
      <w:r>
        <w:rPr>
          <w:rFonts w:ascii="Arial" w:hAnsi="Arial" w:eastAsia="宋体" w:cs="Arial"/>
          <w:sz w:val="24"/>
          <w:szCs w:val="24"/>
        </w:rPr>
        <w:t>持有超过</w:t>
      </w:r>
      <w:r>
        <w:rPr>
          <w:rFonts w:hint="eastAsia" w:ascii="Arial" w:hAnsi="Arial" w:eastAsia="宋体" w:cs="Arial"/>
          <w:sz w:val="24"/>
          <w:szCs w:val="24"/>
        </w:rPr>
        <w:t>阈值</w:t>
      </w:r>
      <w:r>
        <w:rPr>
          <w:rFonts w:ascii="Arial" w:hAnsi="Arial" w:eastAsia="宋体" w:cs="Arial"/>
          <w:sz w:val="24"/>
          <w:szCs w:val="24"/>
        </w:rPr>
        <w:t>的股权）以及因所披露的经济利益和协议可能造成的偏倚最小化而采取的措施（21 CFR§54.4（a）（3））。更多信息请参见第</w:t>
      </w:r>
      <w:r>
        <w:rPr>
          <w:rFonts w:ascii="Arial" w:hAnsi="Arial" w:eastAsia="宋体" w:cs="Arial"/>
          <w:color w:val="0000FF"/>
          <w:sz w:val="24"/>
          <w:szCs w:val="24"/>
          <w:u w:val="single"/>
        </w:rPr>
        <w:t>IV.C节</w:t>
      </w:r>
      <w:r>
        <w:rPr>
          <w:rFonts w:ascii="Arial" w:hAnsi="Arial" w:eastAsia="宋体" w:cs="Arial"/>
          <w:sz w:val="24"/>
          <w:szCs w:val="24"/>
        </w:rPr>
        <w:t>。</w:t>
      </w:r>
    </w:p>
    <w:p w14:paraId="0E6DC23F">
      <w:pPr>
        <w:pStyle w:val="50"/>
        <w:numPr>
          <w:ilvl w:val="1"/>
          <w:numId w:val="2"/>
        </w:numPr>
        <w:shd w:val="clear" w:color="auto" w:fill="auto"/>
        <w:tabs>
          <w:tab w:val="left" w:pos="1227"/>
        </w:tabs>
        <w:overflowPunct w:val="0"/>
        <w:adjustRightInd w:val="0"/>
        <w:snapToGrid w:val="0"/>
        <w:spacing w:before="0" w:after="50" w:line="300" w:lineRule="auto"/>
        <w:ind w:left="924" w:hanging="504"/>
        <w:jc w:val="both"/>
        <w:rPr>
          <w:rFonts w:ascii="Arial" w:hAnsi="Arial" w:eastAsia="宋体" w:cs="Arial"/>
          <w:sz w:val="24"/>
          <w:szCs w:val="24"/>
        </w:rPr>
      </w:pPr>
      <w:r>
        <w:rPr>
          <w:rFonts w:ascii="Arial" w:hAnsi="Arial" w:eastAsia="宋体" w:cs="Arial"/>
          <w:sz w:val="24"/>
          <w:szCs w:val="24"/>
        </w:rPr>
        <w:t>FDA 3454表</w:t>
      </w:r>
      <w:r>
        <w:rPr>
          <w:rFonts w:hint="eastAsia" w:ascii="Arial" w:hAnsi="Arial" w:eastAsia="宋体" w:cs="Arial"/>
          <w:sz w:val="24"/>
          <w:szCs w:val="24"/>
        </w:rPr>
        <w:t>（证明）</w:t>
      </w:r>
      <w:r>
        <w:rPr>
          <w:rFonts w:ascii="Arial" w:hAnsi="Arial" w:eastAsia="宋体" w:cs="Arial"/>
          <w:sz w:val="24"/>
          <w:szCs w:val="24"/>
        </w:rPr>
        <w:t>适用于任何与所涉及临床研究（21 CFR§54.4（a）（1））的申办方不具有需披露的经济利益或协议的临床研究者；申请人可以将</w:t>
      </w:r>
      <w:r>
        <w:rPr>
          <w:rFonts w:hint="eastAsia" w:ascii="Arial" w:hAnsi="Arial" w:eastAsia="宋体" w:cs="Arial"/>
          <w:sz w:val="24"/>
          <w:szCs w:val="24"/>
        </w:rPr>
        <w:t>无</w:t>
      </w:r>
      <w:r>
        <w:rPr>
          <w:rFonts w:ascii="Arial" w:hAnsi="Arial" w:eastAsia="宋体" w:cs="Arial"/>
          <w:sz w:val="24"/>
          <w:szCs w:val="24"/>
        </w:rPr>
        <w:t>需披露经济利益或协议的研究者附一份研究者名单于单独的一张FDA 3454表；或者</w:t>
      </w:r>
    </w:p>
    <w:p w14:paraId="02ED5173">
      <w:pPr>
        <w:pStyle w:val="50"/>
        <w:numPr>
          <w:ilvl w:val="1"/>
          <w:numId w:val="2"/>
        </w:numPr>
        <w:shd w:val="clear" w:color="auto" w:fill="auto"/>
        <w:tabs>
          <w:tab w:val="left" w:pos="1227"/>
        </w:tabs>
        <w:overflowPunct w:val="0"/>
        <w:adjustRightInd w:val="0"/>
        <w:snapToGrid w:val="0"/>
        <w:spacing w:before="0" w:after="50" w:line="300" w:lineRule="auto"/>
        <w:ind w:left="924" w:hanging="504"/>
        <w:jc w:val="both"/>
        <w:rPr>
          <w:rFonts w:ascii="Arial" w:hAnsi="Arial" w:eastAsia="宋体" w:cs="Arial"/>
          <w:sz w:val="24"/>
          <w:szCs w:val="24"/>
        </w:rPr>
      </w:pPr>
      <w:r>
        <w:rPr>
          <w:rFonts w:ascii="Arial" w:hAnsi="Arial" w:eastAsia="宋体" w:cs="Arial"/>
          <w:sz w:val="24"/>
          <w:szCs w:val="24"/>
        </w:rPr>
        <w:t>如果申请人无法获得需披露的部分或全部财务信息，或临床研究者的证明，申请人必须说明其所知悉的任何需披露的经济利益或协议，证明其已进行了尽职调查以获取信息（在FDA 3454表上列为选项3），并</w:t>
      </w:r>
      <w:r>
        <w:rPr>
          <w:rFonts w:hint="eastAsia" w:ascii="Arial" w:hAnsi="Arial" w:eastAsia="宋体" w:cs="Arial"/>
          <w:sz w:val="24"/>
          <w:szCs w:val="24"/>
        </w:rPr>
        <w:t>附上</w:t>
      </w:r>
      <w:r>
        <w:rPr>
          <w:rFonts w:ascii="Arial" w:hAnsi="Arial" w:eastAsia="宋体" w:cs="Arial"/>
          <w:sz w:val="24"/>
          <w:szCs w:val="24"/>
        </w:rPr>
        <w:t>附件，明确无法获得任何缺失信息的原因（21 CFR§54.4）。FDA希望在绝大多数情况下，申请人能够提供完整的财务证明或披露声明，且需要他们进行尽职调查的情况会是罕见的。有关尽职调查的更多信息，请参见</w:t>
      </w:r>
      <w:r>
        <w:rPr>
          <w:rFonts w:ascii="Arial" w:hAnsi="Arial" w:eastAsia="宋体" w:cs="Arial"/>
          <w:color w:val="0000FF"/>
          <w:sz w:val="24"/>
          <w:szCs w:val="24"/>
          <w:u w:val="single"/>
        </w:rPr>
        <w:t>问题B.7</w:t>
      </w:r>
      <w:r>
        <w:rPr>
          <w:rFonts w:ascii="Arial" w:hAnsi="Arial" w:eastAsia="宋体" w:cs="Arial"/>
          <w:sz w:val="24"/>
          <w:szCs w:val="24"/>
        </w:rPr>
        <w:t>和</w:t>
      </w:r>
      <w:r>
        <w:rPr>
          <w:rFonts w:ascii="Arial" w:hAnsi="Arial" w:eastAsia="宋体" w:cs="Arial"/>
          <w:color w:val="0000FF"/>
          <w:sz w:val="24"/>
          <w:szCs w:val="24"/>
          <w:u w:val="single"/>
        </w:rPr>
        <w:t>问题F.2</w:t>
      </w:r>
      <w:r>
        <w:rPr>
          <w:rFonts w:ascii="Arial" w:hAnsi="Arial" w:eastAsia="宋体" w:cs="Arial"/>
          <w:sz w:val="24"/>
          <w:szCs w:val="24"/>
        </w:rPr>
        <w:t>。</w:t>
      </w:r>
    </w:p>
    <w:p w14:paraId="254A5D1F">
      <w:pPr>
        <w:pStyle w:val="50"/>
        <w:shd w:val="clear" w:color="auto" w:fill="auto"/>
        <w:overflowPunct w:val="0"/>
        <w:adjustRightInd w:val="0"/>
        <w:snapToGrid w:val="0"/>
        <w:spacing w:before="156" w:beforeLines="50" w:after="0" w:line="300" w:lineRule="auto"/>
        <w:ind w:firstLine="0"/>
        <w:jc w:val="both"/>
        <w:rPr>
          <w:rFonts w:ascii="Arial" w:hAnsi="Arial" w:eastAsia="宋体" w:cs="Arial"/>
          <w:sz w:val="24"/>
          <w:szCs w:val="24"/>
        </w:rPr>
      </w:pPr>
      <w:r>
        <w:rPr>
          <w:rFonts w:ascii="Arial" w:hAnsi="Arial" w:eastAsia="宋体" w:cs="Arial"/>
          <w:sz w:val="24"/>
          <w:szCs w:val="24"/>
        </w:rPr>
        <w:t>FDA鼓励申请人以确保列出所有必需信息格式</w:t>
      </w:r>
      <w:r>
        <w:rPr>
          <w:rFonts w:hint="eastAsia" w:ascii="Arial" w:hAnsi="Arial" w:eastAsia="宋体" w:cs="Arial"/>
          <w:sz w:val="24"/>
          <w:szCs w:val="24"/>
        </w:rPr>
        <w:t>提交</w:t>
      </w:r>
      <w:r>
        <w:rPr>
          <w:rFonts w:ascii="Arial" w:hAnsi="Arial" w:eastAsia="宋体" w:cs="Arial"/>
          <w:sz w:val="24"/>
          <w:szCs w:val="24"/>
        </w:rPr>
        <w:t>财务披露信息。例如，申请人应提供研究者的总人数</w:t>
      </w:r>
      <w:r>
        <w:rPr>
          <w:rFonts w:hint="eastAsia" w:ascii="Arial" w:hAnsi="Arial" w:eastAsia="宋体" w:cs="Arial"/>
          <w:sz w:val="24"/>
          <w:szCs w:val="24"/>
        </w:rPr>
        <w:t>和</w:t>
      </w:r>
      <w:r>
        <w:rPr>
          <w:rFonts w:ascii="Arial" w:hAnsi="Arial" w:eastAsia="宋体" w:cs="Arial"/>
          <w:sz w:val="24"/>
          <w:szCs w:val="24"/>
        </w:rPr>
        <w:t>一份表格，说明对于确定为雇员</w:t>
      </w:r>
      <w:r>
        <w:rPr>
          <w:rFonts w:hint="eastAsia" w:ascii="Arial" w:hAnsi="Arial" w:eastAsia="宋体" w:cs="Arial"/>
          <w:sz w:val="24"/>
          <w:szCs w:val="24"/>
        </w:rPr>
        <w:t>的</w:t>
      </w:r>
      <w:r>
        <w:rPr>
          <w:rFonts w:ascii="Arial" w:hAnsi="Arial" w:eastAsia="宋体" w:cs="Arial"/>
          <w:sz w:val="24"/>
          <w:szCs w:val="24"/>
        </w:rPr>
        <w:t>每名临床研究者，是否提供了证明（FDA 3454表）</w:t>
      </w:r>
      <w:r>
        <w:rPr>
          <w:rFonts w:hint="eastAsia" w:ascii="Arial" w:hAnsi="Arial" w:eastAsia="宋体" w:cs="Arial"/>
          <w:sz w:val="24"/>
          <w:szCs w:val="24"/>
        </w:rPr>
        <w:t>、</w:t>
      </w:r>
      <w:r>
        <w:rPr>
          <w:rFonts w:ascii="Arial" w:hAnsi="Arial" w:eastAsia="宋体" w:cs="Arial"/>
          <w:sz w:val="24"/>
          <w:szCs w:val="24"/>
        </w:rPr>
        <w:t>披露声明（FDA 3455表）或</w:t>
      </w:r>
      <w:r>
        <w:rPr>
          <w:rFonts w:hint="eastAsia" w:ascii="Arial" w:hAnsi="Arial" w:eastAsia="宋体" w:cs="Arial"/>
          <w:sz w:val="24"/>
          <w:szCs w:val="24"/>
        </w:rPr>
        <w:t>其</w:t>
      </w:r>
      <w:r>
        <w:rPr>
          <w:rFonts w:ascii="Arial" w:hAnsi="Arial" w:eastAsia="宋体" w:cs="Arial"/>
          <w:sz w:val="24"/>
          <w:szCs w:val="24"/>
        </w:rPr>
        <w:t>已进行了尽职调查但无法获取信息（FDA 3454表的选项3）</w:t>
      </w:r>
      <w:r>
        <w:rPr>
          <w:rFonts w:hint="eastAsia" w:ascii="Arial" w:hAnsi="Arial" w:eastAsia="宋体" w:cs="Arial"/>
          <w:sz w:val="24"/>
          <w:szCs w:val="24"/>
        </w:rPr>
        <w:t>的证明</w:t>
      </w:r>
      <w:r>
        <w:rPr>
          <w:rFonts w:ascii="Arial" w:hAnsi="Arial" w:eastAsia="宋体" w:cs="Arial"/>
          <w:sz w:val="24"/>
          <w:szCs w:val="24"/>
        </w:rPr>
        <w:t>。申请人还应确保如上所述的所有必需附件均已纳入。有关提交财务信息披露的可接受格式问题，申请人应与指定的中心代表联系，请见</w:t>
      </w:r>
      <w:r>
        <w:rPr>
          <w:rFonts w:ascii="Arial" w:hAnsi="Arial" w:eastAsia="宋体" w:cs="Arial"/>
          <w:color w:val="0000FF"/>
          <w:sz w:val="24"/>
          <w:szCs w:val="24"/>
          <w:u w:val="single"/>
        </w:rPr>
        <w:t>问题K.1</w:t>
      </w:r>
      <w:r>
        <w:rPr>
          <w:rFonts w:ascii="Arial" w:hAnsi="Arial" w:eastAsia="宋体" w:cs="Arial"/>
          <w:sz w:val="24"/>
          <w:szCs w:val="24"/>
        </w:rPr>
        <w:t>。</w:t>
      </w:r>
    </w:p>
    <w:p w14:paraId="6C367501">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3467E8D9">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1A9E1818">
      <w:pPr>
        <w:spacing w:after="0" w:line="240" w:lineRule="auto"/>
        <w:rPr>
          <w:rFonts w:ascii="Arial" w:hAnsi="Arial" w:eastAsia="宋体" w:cs="Arial"/>
          <w:b/>
          <w:bCs/>
          <w:kern w:val="2"/>
          <w:sz w:val="24"/>
          <w:szCs w:val="24"/>
        </w:rPr>
      </w:pPr>
      <w:r>
        <w:rPr>
          <w:rFonts w:ascii="Arial" w:hAnsi="Arial" w:eastAsia="宋体" w:cs="Arial"/>
          <w:sz w:val="24"/>
          <w:szCs w:val="24"/>
        </w:rPr>
        <w:br w:type="page"/>
      </w:r>
    </w:p>
    <w:p w14:paraId="692ECDD7">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ascii="Arial" w:hAnsi="Arial" w:eastAsia="宋体" w:cs="Arial"/>
          <w:sz w:val="24"/>
          <w:szCs w:val="24"/>
        </w:rPr>
        <w:t>B.2</w:t>
      </w:r>
      <w:r>
        <w:rPr>
          <w:rFonts w:hint="eastAsia" w:ascii="Arial" w:hAnsi="Arial" w:eastAsia="宋体" w:cs="Arial"/>
          <w:sz w:val="24"/>
          <w:szCs w:val="24"/>
        </w:rPr>
        <w:tab/>
      </w:r>
      <w:r>
        <w:rPr>
          <w:rFonts w:ascii="Arial" w:hAnsi="Arial" w:eastAsia="宋体" w:cs="Arial"/>
          <w:sz w:val="24"/>
          <w:szCs w:val="24"/>
        </w:rPr>
        <w:t>问：申请人</w:t>
      </w:r>
      <w:r>
        <w:rPr>
          <w:rFonts w:hint="eastAsia" w:ascii="Arial" w:hAnsi="Arial" w:eastAsia="宋体" w:cs="Arial"/>
          <w:sz w:val="24"/>
          <w:szCs w:val="24"/>
        </w:rPr>
        <w:t>是否</w:t>
      </w:r>
      <w:r>
        <w:rPr>
          <w:rFonts w:ascii="Arial" w:hAnsi="Arial" w:eastAsia="宋体" w:cs="Arial"/>
          <w:sz w:val="24"/>
          <w:szCs w:val="24"/>
        </w:rPr>
        <w:t>可以</w:t>
      </w:r>
      <w:r>
        <w:rPr>
          <w:rFonts w:hint="eastAsia" w:ascii="Arial" w:hAnsi="Arial" w:eastAsia="宋体" w:cs="Arial"/>
          <w:sz w:val="24"/>
          <w:szCs w:val="24"/>
        </w:rPr>
        <w:t>依靠</w:t>
      </w:r>
      <w:r>
        <w:rPr>
          <w:rFonts w:ascii="Arial" w:hAnsi="Arial" w:eastAsia="宋体" w:cs="Arial"/>
          <w:sz w:val="24"/>
          <w:szCs w:val="24"/>
        </w:rPr>
        <w:t>临床</w:t>
      </w:r>
      <w:r>
        <w:rPr>
          <w:rFonts w:hint="eastAsia" w:ascii="Arial" w:hAnsi="Arial" w:eastAsia="宋体" w:cs="Arial"/>
          <w:sz w:val="24"/>
          <w:szCs w:val="24"/>
        </w:rPr>
        <w:t>调查</w:t>
      </w:r>
      <w:r>
        <w:rPr>
          <w:rFonts w:ascii="Arial" w:hAnsi="Arial" w:eastAsia="宋体" w:cs="Arial"/>
          <w:sz w:val="24"/>
          <w:szCs w:val="24"/>
        </w:rPr>
        <w:t>机构对于披露、审查和管理员工（包括配偶和受抚养子女）经济利益冲突的政策和程序？</w:t>
      </w:r>
    </w:p>
    <w:p w14:paraId="71061818">
      <w:pPr>
        <w:pStyle w:val="54"/>
        <w:shd w:val="clear" w:color="auto" w:fill="auto"/>
        <w:overflowPunct w:val="0"/>
        <w:adjustRightInd w:val="0"/>
        <w:snapToGrid w:val="0"/>
        <w:spacing w:before="0" w:after="156" w:afterLines="50" w:line="300" w:lineRule="auto"/>
        <w:ind w:left="785" w:leftChars="357" w:firstLine="0"/>
        <w:jc w:val="both"/>
        <w:rPr>
          <w:rFonts w:ascii="Arial" w:hAnsi="Arial" w:eastAsia="宋体" w:cs="Arial"/>
          <w:b w:val="0"/>
          <w:sz w:val="24"/>
          <w:szCs w:val="24"/>
        </w:rPr>
      </w:pPr>
      <w:r>
        <w:rPr>
          <w:rFonts w:ascii="Arial" w:hAnsi="Arial" w:eastAsia="宋体" w:cs="Arial"/>
          <w:sz w:val="24"/>
          <w:szCs w:val="24"/>
        </w:rPr>
        <w:t>答：</w:t>
      </w:r>
      <w:r>
        <w:rPr>
          <w:rFonts w:ascii="Arial" w:hAnsi="Arial" w:eastAsia="宋体" w:cs="Arial"/>
          <w:b w:val="0"/>
          <w:sz w:val="24"/>
          <w:szCs w:val="24"/>
        </w:rPr>
        <w:t>每</w:t>
      </w:r>
      <w:r>
        <w:rPr>
          <w:rFonts w:hint="eastAsia" w:ascii="Arial" w:hAnsi="Arial" w:eastAsia="宋体" w:cs="Arial"/>
          <w:b w:val="0"/>
          <w:sz w:val="24"/>
          <w:szCs w:val="24"/>
        </w:rPr>
        <w:t>名</w:t>
      </w:r>
      <w:r>
        <w:rPr>
          <w:rFonts w:ascii="Arial" w:hAnsi="Arial" w:eastAsia="宋体" w:cs="Arial"/>
          <w:b w:val="0"/>
          <w:sz w:val="24"/>
          <w:szCs w:val="24"/>
        </w:rPr>
        <w:t>申请</w:t>
      </w:r>
      <w:r>
        <w:rPr>
          <w:rFonts w:hint="eastAsia" w:ascii="Arial" w:hAnsi="Arial" w:eastAsia="宋体" w:cs="Arial"/>
          <w:b w:val="0"/>
          <w:sz w:val="24"/>
          <w:szCs w:val="24"/>
        </w:rPr>
        <w:t>人</w:t>
      </w:r>
      <w:r>
        <w:rPr>
          <w:rFonts w:ascii="Arial" w:hAnsi="Arial" w:eastAsia="宋体" w:cs="Arial"/>
          <w:b w:val="0"/>
          <w:sz w:val="24"/>
          <w:szCs w:val="24"/>
        </w:rPr>
        <w:t>均有责任根据21 CFR第54</w:t>
      </w:r>
      <w:r>
        <w:rPr>
          <w:rFonts w:hint="eastAsia" w:ascii="Arial" w:hAnsi="Arial" w:eastAsia="宋体" w:cs="Arial"/>
          <w:b w:val="0"/>
          <w:sz w:val="24"/>
          <w:szCs w:val="24"/>
        </w:rPr>
        <w:t>部分</w:t>
      </w:r>
      <w:r>
        <w:rPr>
          <w:rFonts w:ascii="Arial" w:hAnsi="Arial" w:eastAsia="宋体" w:cs="Arial"/>
          <w:b w:val="0"/>
          <w:sz w:val="24"/>
          <w:szCs w:val="24"/>
        </w:rPr>
        <w:t>的要求进行披露或证明。研究者遵守机构的政策或程序不能取代其遵守第54</w:t>
      </w:r>
      <w:r>
        <w:rPr>
          <w:rFonts w:hint="eastAsia" w:ascii="Arial" w:hAnsi="Arial" w:eastAsia="宋体" w:cs="Arial"/>
          <w:b w:val="0"/>
          <w:sz w:val="24"/>
          <w:szCs w:val="24"/>
        </w:rPr>
        <w:t>部分</w:t>
      </w:r>
      <w:r>
        <w:rPr>
          <w:rFonts w:ascii="Arial" w:hAnsi="Arial" w:eastAsia="宋体" w:cs="Arial"/>
          <w:b w:val="0"/>
          <w:sz w:val="24"/>
          <w:szCs w:val="24"/>
        </w:rPr>
        <w:t>的规定。</w:t>
      </w:r>
    </w:p>
    <w:p w14:paraId="00DDFAF0">
      <w:pPr>
        <w:pStyle w:val="54"/>
        <w:shd w:val="clear" w:color="auto" w:fill="auto"/>
        <w:overflowPunct w:val="0"/>
        <w:adjustRightInd w:val="0"/>
        <w:snapToGrid w:val="0"/>
        <w:spacing w:before="0" w:after="156" w:afterLines="50" w:line="300" w:lineRule="auto"/>
        <w:ind w:left="785" w:leftChars="357" w:firstLine="0"/>
        <w:jc w:val="both"/>
        <w:rPr>
          <w:rFonts w:ascii="Arial" w:hAnsi="Arial" w:eastAsia="宋体" w:cs="Arial"/>
          <w:b w:val="0"/>
          <w:sz w:val="24"/>
          <w:szCs w:val="24"/>
        </w:rPr>
      </w:pPr>
      <w:r>
        <w:rPr>
          <w:rFonts w:ascii="Arial" w:hAnsi="Arial" w:eastAsia="宋体" w:cs="Arial"/>
          <w:b w:val="0"/>
          <w:sz w:val="24"/>
          <w:szCs w:val="24"/>
        </w:rPr>
        <w:t>虽然临床</w:t>
      </w:r>
      <w:r>
        <w:rPr>
          <w:rFonts w:hint="eastAsia" w:ascii="Arial" w:hAnsi="Arial" w:eastAsia="宋体" w:cs="Arial"/>
          <w:b w:val="0"/>
          <w:sz w:val="24"/>
          <w:szCs w:val="24"/>
        </w:rPr>
        <w:t>调查</w:t>
      </w:r>
      <w:r>
        <w:rPr>
          <w:rFonts w:ascii="Arial" w:hAnsi="Arial" w:eastAsia="宋体" w:cs="Arial"/>
          <w:b w:val="0"/>
          <w:sz w:val="24"/>
          <w:szCs w:val="24"/>
        </w:rPr>
        <w:t>机构可能会采取措施对临床研究者的经济利益和协议进行管理，为了尽量减少研究偏倚，FDA必须对临床研究者的经济利益和协议进行</w:t>
      </w:r>
      <w:r>
        <w:rPr>
          <w:rFonts w:hint="eastAsia" w:ascii="Arial" w:hAnsi="Arial" w:eastAsia="宋体" w:cs="Arial"/>
          <w:b w:val="0"/>
          <w:sz w:val="24"/>
          <w:szCs w:val="24"/>
        </w:rPr>
        <w:t>所有权</w:t>
      </w:r>
      <w:r>
        <w:rPr>
          <w:rFonts w:ascii="Arial" w:hAnsi="Arial" w:eastAsia="宋体" w:cs="Arial"/>
          <w:b w:val="0"/>
          <w:sz w:val="24"/>
          <w:szCs w:val="24"/>
        </w:rPr>
        <w:t>评估（21 CFR§54.5）。当临床研究者具有需披露的经济利益和协议时，向FDA提交的披露声明中必须包括对任何所披露的经济利益和协议造成的潜在偏倚最小化的措施描述（21 CFR 54.4（a）（3）（v））。如相关，披露声明中应包括该机构为使偏倚最小化而采取的措施说明。更多信息请参见第IV节，</w:t>
      </w:r>
      <w:r>
        <w:rPr>
          <w:rFonts w:ascii="Arial" w:hAnsi="Arial" w:eastAsia="宋体" w:cs="Arial"/>
          <w:b w:val="0"/>
          <w:color w:val="0000FF"/>
          <w:sz w:val="24"/>
          <w:szCs w:val="24"/>
          <w:u w:val="single"/>
        </w:rPr>
        <w:t>问题D.7</w:t>
      </w:r>
      <w:r>
        <w:rPr>
          <w:rFonts w:ascii="Arial" w:hAnsi="Arial" w:eastAsia="宋体" w:cs="Arial"/>
          <w:b w:val="0"/>
          <w:sz w:val="24"/>
          <w:szCs w:val="24"/>
        </w:rPr>
        <w:t>。</w:t>
      </w:r>
    </w:p>
    <w:p w14:paraId="69B2A0F4">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ascii="Arial" w:hAnsi="Arial" w:eastAsia="宋体" w:cs="Arial"/>
          <w:sz w:val="24"/>
          <w:szCs w:val="24"/>
        </w:rPr>
        <w:t>B.3</w:t>
      </w:r>
      <w:r>
        <w:rPr>
          <w:rFonts w:hint="eastAsia" w:ascii="Arial" w:hAnsi="Arial" w:eastAsia="宋体" w:cs="Arial"/>
          <w:sz w:val="24"/>
          <w:szCs w:val="24"/>
        </w:rPr>
        <w:tab/>
      </w:r>
      <w:r>
        <w:rPr>
          <w:rFonts w:ascii="Arial" w:hAnsi="Arial" w:eastAsia="宋体" w:cs="Arial"/>
          <w:sz w:val="24"/>
          <w:szCs w:val="24"/>
        </w:rPr>
        <w:t>问：申请人在药品或生物制剂的上市申请中，应在何处纳入证明或披露的表格和附件？</w:t>
      </w:r>
    </w:p>
    <w:p w14:paraId="2B2EBD9A">
      <w:pPr>
        <w:pStyle w:val="54"/>
        <w:shd w:val="clear" w:color="auto" w:fill="auto"/>
        <w:overflowPunct w:val="0"/>
        <w:adjustRightInd w:val="0"/>
        <w:snapToGrid w:val="0"/>
        <w:spacing w:before="0" w:after="156" w:afterLines="50" w:line="300" w:lineRule="auto"/>
        <w:ind w:left="785" w:leftChars="357" w:firstLine="0"/>
        <w:jc w:val="both"/>
        <w:rPr>
          <w:rFonts w:ascii="Arial" w:hAnsi="Arial" w:eastAsia="宋体" w:cs="Arial"/>
          <w:b w:val="0"/>
          <w:sz w:val="24"/>
          <w:szCs w:val="24"/>
        </w:rPr>
      </w:pPr>
      <w:r>
        <w:rPr>
          <w:rFonts w:ascii="Arial" w:hAnsi="Arial" w:eastAsia="宋体" w:cs="Arial"/>
          <w:sz w:val="24"/>
          <w:szCs w:val="24"/>
        </w:rPr>
        <w:t>答：</w:t>
      </w:r>
      <w:r>
        <w:rPr>
          <w:rFonts w:ascii="Arial" w:hAnsi="Arial" w:eastAsia="宋体" w:cs="Arial"/>
          <w:b w:val="0"/>
          <w:sz w:val="24"/>
          <w:szCs w:val="24"/>
        </w:rPr>
        <w:t>使用FDA 356h表（适用于新药、生物制剂或抗生素类药物用于人体的上市申请）中所述格式的申请人，应将临床研究者名单和财务证明和/或披露表格及附件作为申请项19（财务信息）的一部</w:t>
      </w:r>
      <w:r>
        <w:rPr>
          <w:rFonts w:hint="eastAsia" w:ascii="Arial" w:hAnsi="Arial" w:eastAsia="宋体" w:cs="Arial"/>
          <w:b w:val="0"/>
          <w:sz w:val="24"/>
          <w:szCs w:val="24"/>
        </w:rPr>
        <w:t>分</w:t>
      </w:r>
      <w:r>
        <w:rPr>
          <w:rStyle w:val="24"/>
          <w:rFonts w:ascii="Arial" w:hAnsi="Arial" w:eastAsia="宋体" w:cs="Arial"/>
          <w:b w:val="0"/>
          <w:sz w:val="24"/>
          <w:szCs w:val="24"/>
        </w:rPr>
        <w:footnoteReference w:id="8"/>
      </w:r>
      <w:r>
        <w:rPr>
          <w:rFonts w:ascii="Arial" w:hAnsi="Arial" w:eastAsia="宋体" w:cs="Arial"/>
          <w:b w:val="0"/>
          <w:sz w:val="24"/>
          <w:szCs w:val="24"/>
        </w:rPr>
        <w:t>。使用通用技术文档（CTD）格式的申请人应在模块1.3.4中包含此信息</w:t>
      </w:r>
      <w:r>
        <w:rPr>
          <w:rStyle w:val="24"/>
          <w:rFonts w:ascii="Arial" w:hAnsi="Arial" w:eastAsia="宋体" w:cs="Arial"/>
          <w:b w:val="0"/>
          <w:sz w:val="24"/>
          <w:szCs w:val="24"/>
        </w:rPr>
        <w:footnoteReference w:id="9"/>
      </w:r>
      <w:r>
        <w:rPr>
          <w:rFonts w:ascii="Arial" w:hAnsi="Arial" w:eastAsia="宋体" w:cs="Arial"/>
          <w:b w:val="0"/>
          <w:sz w:val="24"/>
          <w:szCs w:val="24"/>
        </w:rPr>
        <w:t>。</w:t>
      </w:r>
    </w:p>
    <w:p w14:paraId="5E8CCE51">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ascii="Arial" w:hAnsi="Arial" w:eastAsia="宋体" w:cs="Arial"/>
          <w:sz w:val="24"/>
          <w:szCs w:val="24"/>
        </w:rPr>
        <w:t>B.4</w:t>
      </w:r>
      <w:r>
        <w:rPr>
          <w:rFonts w:hint="eastAsia" w:ascii="Arial" w:hAnsi="Arial" w:eastAsia="宋体" w:cs="Arial"/>
          <w:sz w:val="24"/>
          <w:szCs w:val="24"/>
        </w:rPr>
        <w:tab/>
      </w:r>
      <w:r>
        <w:rPr>
          <w:rFonts w:ascii="Arial" w:hAnsi="Arial" w:eastAsia="宋体" w:cs="Arial"/>
          <w:sz w:val="24"/>
          <w:szCs w:val="24"/>
        </w:rPr>
        <w:t>问：在医疗器械的上市申请中，应在何处纳入该信息？</w:t>
      </w:r>
    </w:p>
    <w:p w14:paraId="490305D2">
      <w:pPr>
        <w:pStyle w:val="54"/>
        <w:shd w:val="clear" w:color="auto" w:fill="auto"/>
        <w:overflowPunct w:val="0"/>
        <w:adjustRightInd w:val="0"/>
        <w:snapToGrid w:val="0"/>
        <w:spacing w:before="0" w:after="156" w:afterLines="50" w:line="300" w:lineRule="auto"/>
        <w:ind w:left="785" w:leftChars="357" w:firstLine="0"/>
        <w:jc w:val="both"/>
        <w:rPr>
          <w:rFonts w:ascii="Arial" w:hAnsi="Arial" w:eastAsia="宋体" w:cs="Arial"/>
          <w:b w:val="0"/>
          <w:sz w:val="24"/>
          <w:szCs w:val="24"/>
        </w:rPr>
      </w:pPr>
      <w:r>
        <w:rPr>
          <w:rFonts w:ascii="Arial" w:hAnsi="Arial" w:eastAsia="宋体" w:cs="Arial"/>
          <w:sz w:val="24"/>
          <w:szCs w:val="24"/>
        </w:rPr>
        <w:t>答：</w:t>
      </w:r>
      <w:r>
        <w:rPr>
          <w:rFonts w:ascii="Arial" w:hAnsi="Arial" w:eastAsia="宋体" w:cs="Arial"/>
          <w:b w:val="0"/>
          <w:sz w:val="24"/>
          <w:szCs w:val="24"/>
        </w:rPr>
        <w:t>申请人应根据适当的申请提交指南中列出的格式，提交临床研究者名单和财务证明/披露表格及附件</w:t>
      </w:r>
      <w:r>
        <w:rPr>
          <w:rStyle w:val="24"/>
          <w:rFonts w:ascii="Arial" w:hAnsi="Arial" w:eastAsia="宋体" w:cs="Arial"/>
          <w:b w:val="0"/>
          <w:sz w:val="24"/>
          <w:szCs w:val="24"/>
        </w:rPr>
        <w:footnoteReference w:id="10"/>
      </w:r>
      <w:r>
        <w:rPr>
          <w:rFonts w:ascii="Arial" w:hAnsi="Arial" w:eastAsia="宋体" w:cs="Arial"/>
          <w:b w:val="0"/>
          <w:sz w:val="24"/>
          <w:szCs w:val="24"/>
        </w:rPr>
        <w:t>。</w:t>
      </w:r>
    </w:p>
    <w:p w14:paraId="27E22404">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59527560">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5AE952F2">
      <w:pPr>
        <w:spacing w:after="0" w:line="240" w:lineRule="auto"/>
        <w:rPr>
          <w:rFonts w:ascii="Arial" w:hAnsi="Arial" w:eastAsia="宋体" w:cs="Arial"/>
          <w:b/>
          <w:bCs/>
          <w:kern w:val="2"/>
          <w:sz w:val="24"/>
          <w:szCs w:val="24"/>
        </w:rPr>
      </w:pPr>
      <w:r>
        <w:rPr>
          <w:rFonts w:ascii="Arial" w:hAnsi="Arial" w:eastAsia="宋体" w:cs="Arial"/>
          <w:sz w:val="24"/>
          <w:szCs w:val="24"/>
        </w:rPr>
        <w:br w:type="page"/>
      </w:r>
    </w:p>
    <w:p w14:paraId="193C2E18">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ascii="Arial" w:hAnsi="Arial" w:eastAsia="宋体" w:cs="Arial"/>
          <w:sz w:val="24"/>
          <w:szCs w:val="24"/>
        </w:rPr>
        <w:t>B.5</w:t>
      </w:r>
      <w:r>
        <w:rPr>
          <w:rFonts w:hint="eastAsia" w:ascii="Arial" w:hAnsi="Arial" w:eastAsia="宋体" w:cs="Arial"/>
          <w:sz w:val="24"/>
          <w:szCs w:val="24"/>
        </w:rPr>
        <w:tab/>
      </w:r>
      <w:r>
        <w:rPr>
          <w:rFonts w:ascii="Arial" w:hAnsi="Arial" w:eastAsia="宋体" w:cs="Arial"/>
          <w:sz w:val="24"/>
          <w:szCs w:val="24"/>
        </w:rPr>
        <w:t>问：如何提交财务信息？</w:t>
      </w:r>
    </w:p>
    <w:p w14:paraId="41C19F9B">
      <w:pPr>
        <w:pStyle w:val="54"/>
        <w:shd w:val="clear" w:color="auto" w:fill="auto"/>
        <w:overflowPunct w:val="0"/>
        <w:adjustRightInd w:val="0"/>
        <w:snapToGrid w:val="0"/>
        <w:spacing w:before="0" w:after="156" w:afterLines="50" w:line="300" w:lineRule="auto"/>
        <w:ind w:left="785" w:leftChars="357" w:firstLine="0"/>
        <w:jc w:val="left"/>
        <w:rPr>
          <w:rFonts w:ascii="Arial" w:hAnsi="Arial" w:eastAsia="宋体" w:cs="Arial"/>
          <w:sz w:val="24"/>
          <w:szCs w:val="24"/>
        </w:rPr>
      </w:pPr>
      <w:r>
        <w:rPr>
          <w:rFonts w:ascii="Arial" w:hAnsi="Arial" w:eastAsia="宋体" w:cs="Arial"/>
          <w:sz w:val="24"/>
          <w:szCs w:val="24"/>
        </w:rPr>
        <w:t>答：</w:t>
      </w:r>
      <w:r>
        <w:rPr>
          <w:rFonts w:ascii="Arial" w:hAnsi="Arial" w:eastAsia="宋体" w:cs="Arial"/>
          <w:b w:val="0"/>
          <w:sz w:val="24"/>
          <w:szCs w:val="24"/>
        </w:rPr>
        <w:t>财务信息需使用FDA 3454表和/或3455表（21 CFR§54.4（a））提交，可见于如下网址：</w:t>
      </w:r>
      <w:r>
        <w:fldChar w:fldCharType="begin"/>
      </w:r>
      <w:r>
        <w:instrText xml:space="preserve"> HYPERLINK "http://www.fda.gov/AboutFDA/ReportsManualsForms/Forms/default.htm" </w:instrText>
      </w:r>
      <w:r>
        <w:fldChar w:fldCharType="separate"/>
      </w:r>
      <w:r>
        <w:rPr>
          <w:rStyle w:val="23"/>
          <w:rFonts w:ascii="Arial" w:hAnsi="Arial" w:eastAsia="宋体" w:cs="Arial"/>
          <w:b w:val="0"/>
          <w:color w:val="0000FF"/>
          <w:sz w:val="24"/>
          <w:szCs w:val="24"/>
        </w:rPr>
        <w:t>http://www.fda.gov/AboutFDA/ReportsManualsForms/Forms/default.htm</w:t>
      </w:r>
      <w:r>
        <w:rPr>
          <w:rStyle w:val="23"/>
          <w:rFonts w:ascii="Arial" w:hAnsi="Arial" w:eastAsia="宋体" w:cs="Arial"/>
          <w:b w:val="0"/>
          <w:color w:val="0000FF"/>
          <w:sz w:val="24"/>
          <w:szCs w:val="24"/>
        </w:rPr>
        <w:fldChar w:fldCharType="end"/>
      </w:r>
    </w:p>
    <w:p w14:paraId="031EF72C">
      <w:pPr>
        <w:pStyle w:val="54"/>
        <w:shd w:val="clear" w:color="auto" w:fill="auto"/>
        <w:overflowPunct w:val="0"/>
        <w:adjustRightInd w:val="0"/>
        <w:snapToGrid w:val="0"/>
        <w:spacing w:before="0" w:after="50" w:line="300" w:lineRule="auto"/>
        <w:ind w:firstLine="782" w:firstLineChars="326"/>
        <w:jc w:val="both"/>
        <w:rPr>
          <w:rFonts w:ascii="Arial" w:hAnsi="Arial" w:eastAsia="宋体" w:cs="Arial"/>
          <w:b w:val="0"/>
          <w:sz w:val="24"/>
          <w:szCs w:val="24"/>
        </w:rPr>
      </w:pPr>
      <w:r>
        <w:rPr>
          <w:rFonts w:ascii="Arial" w:hAnsi="Arial" w:eastAsia="宋体" w:cs="Arial"/>
          <w:b w:val="0"/>
          <w:sz w:val="24"/>
          <w:szCs w:val="24"/>
        </w:rPr>
        <w:t>（表格按数字顺序列出）。</w:t>
      </w:r>
    </w:p>
    <w:p w14:paraId="04AD458C">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ascii="Arial" w:hAnsi="Arial" w:eastAsia="宋体" w:cs="Arial"/>
          <w:sz w:val="24"/>
          <w:szCs w:val="24"/>
        </w:rPr>
        <w:t>B.6</w:t>
      </w:r>
      <w:r>
        <w:rPr>
          <w:rFonts w:hint="eastAsia" w:ascii="Arial" w:hAnsi="Arial" w:eastAsia="宋体" w:cs="Arial"/>
          <w:sz w:val="24"/>
          <w:szCs w:val="24"/>
        </w:rPr>
        <w:tab/>
      </w:r>
      <w:r>
        <w:rPr>
          <w:rFonts w:ascii="Arial" w:hAnsi="Arial" w:eastAsia="宋体" w:cs="Arial"/>
          <w:sz w:val="24"/>
          <w:szCs w:val="24"/>
        </w:rPr>
        <w:t>问：签署财务证明/披露表格</w:t>
      </w:r>
      <w:r>
        <w:rPr>
          <w:rFonts w:hint="eastAsia" w:ascii="Arial" w:hAnsi="Arial" w:eastAsia="宋体" w:cs="Arial"/>
          <w:sz w:val="24"/>
          <w:szCs w:val="24"/>
        </w:rPr>
        <w:t>的具体负责人</w:t>
      </w:r>
      <w:r>
        <w:rPr>
          <w:rFonts w:ascii="Arial" w:hAnsi="Arial" w:eastAsia="宋体" w:cs="Arial"/>
          <w:sz w:val="24"/>
          <w:szCs w:val="24"/>
        </w:rPr>
        <w:t>？</w:t>
      </w:r>
    </w:p>
    <w:p w14:paraId="36BFA82B">
      <w:pPr>
        <w:pStyle w:val="54"/>
        <w:shd w:val="clear" w:color="auto" w:fill="auto"/>
        <w:overflowPunct w:val="0"/>
        <w:adjustRightInd w:val="0"/>
        <w:snapToGrid w:val="0"/>
        <w:spacing w:before="0" w:after="156" w:afterLines="50" w:line="300" w:lineRule="auto"/>
        <w:ind w:left="785" w:leftChars="357" w:firstLine="0"/>
        <w:jc w:val="left"/>
        <w:rPr>
          <w:rFonts w:ascii="Arial" w:hAnsi="Arial" w:eastAsia="宋体" w:cs="Arial"/>
          <w:b w:val="0"/>
          <w:sz w:val="24"/>
          <w:szCs w:val="24"/>
        </w:rPr>
      </w:pPr>
      <w:r>
        <w:rPr>
          <w:rFonts w:ascii="Arial" w:hAnsi="Arial" w:eastAsia="宋体" w:cs="Arial"/>
          <w:sz w:val="24"/>
          <w:szCs w:val="24"/>
        </w:rPr>
        <w:t>答：</w:t>
      </w:r>
      <w:r>
        <w:rPr>
          <w:rFonts w:ascii="Arial" w:hAnsi="Arial" w:eastAsia="宋体" w:cs="Arial"/>
          <w:b w:val="0"/>
          <w:sz w:val="24"/>
          <w:szCs w:val="24"/>
        </w:rPr>
        <w:t>表格将由申请人的首席财务官或其他的公司官方负责人或代表签署并注明日期。FDA建议</w:t>
      </w:r>
      <w:r>
        <w:rPr>
          <w:rFonts w:ascii="宋体" w:hAnsi="宋体" w:eastAsia="宋体" w:cs="Arial"/>
          <w:b w:val="0"/>
          <w:sz w:val="24"/>
          <w:szCs w:val="24"/>
        </w:rPr>
        <w:t>“</w:t>
      </w:r>
      <w:r>
        <w:rPr>
          <w:rFonts w:ascii="Arial" w:hAnsi="Arial" w:eastAsia="宋体" w:cs="Arial"/>
          <w:b w:val="0"/>
          <w:sz w:val="24"/>
          <w:szCs w:val="24"/>
        </w:rPr>
        <w:t>其他的公司官方负责人或代表</w:t>
      </w:r>
      <w:r>
        <w:rPr>
          <w:rFonts w:cs="Arial" w:asciiTheme="majorEastAsia" w:hAnsiTheme="majorEastAsia" w:eastAsiaTheme="majorEastAsia"/>
          <w:b w:val="0"/>
          <w:sz w:val="24"/>
          <w:szCs w:val="24"/>
        </w:rPr>
        <w:t>”</w:t>
      </w:r>
      <w:r>
        <w:rPr>
          <w:rFonts w:ascii="Arial" w:hAnsi="Arial" w:eastAsia="宋体" w:cs="Arial"/>
          <w:b w:val="0"/>
          <w:sz w:val="24"/>
          <w:szCs w:val="24"/>
        </w:rPr>
        <w:t>为公司高层，其有权确保</w:t>
      </w:r>
      <w:r>
        <w:rPr>
          <w:rFonts w:hint="eastAsia" w:ascii="Arial" w:hAnsi="Arial" w:eastAsia="宋体" w:cs="Arial"/>
          <w:b w:val="0"/>
          <w:sz w:val="24"/>
          <w:szCs w:val="24"/>
        </w:rPr>
        <w:t>将</w:t>
      </w:r>
      <w:r>
        <w:rPr>
          <w:rFonts w:ascii="Arial" w:hAnsi="Arial" w:eastAsia="宋体" w:cs="Arial"/>
          <w:b w:val="0"/>
          <w:sz w:val="24"/>
          <w:szCs w:val="24"/>
        </w:rPr>
        <w:t>信息准确地收集和报告。根据公司架构，此类人员可以是负责法规或临床事务的人员。</w:t>
      </w:r>
    </w:p>
    <w:p w14:paraId="41CC8172">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ascii="Arial" w:hAnsi="Arial" w:eastAsia="宋体" w:cs="Arial"/>
          <w:sz w:val="24"/>
          <w:szCs w:val="24"/>
        </w:rPr>
        <w:t>B.7</w:t>
      </w:r>
      <w:r>
        <w:rPr>
          <w:rFonts w:hint="eastAsia" w:ascii="Arial" w:hAnsi="Arial" w:eastAsia="宋体" w:cs="Arial"/>
          <w:sz w:val="24"/>
          <w:szCs w:val="24"/>
        </w:rPr>
        <w:tab/>
      </w:r>
      <w:r>
        <w:rPr>
          <w:rFonts w:ascii="Arial" w:hAnsi="Arial" w:eastAsia="宋体" w:cs="Arial"/>
          <w:sz w:val="24"/>
          <w:szCs w:val="24"/>
        </w:rPr>
        <w:t xml:space="preserve">问：FDA所述 </w:t>
      </w:r>
      <w:r>
        <w:rPr>
          <w:rFonts w:ascii="宋体" w:hAnsi="宋体" w:eastAsia="宋体" w:cs="Arial"/>
          <w:bCs w:val="0"/>
          <w:sz w:val="24"/>
          <w:szCs w:val="24"/>
        </w:rPr>
        <w:t>“</w:t>
      </w:r>
      <w:r>
        <w:rPr>
          <w:rFonts w:ascii="Arial" w:hAnsi="Arial" w:eastAsia="宋体" w:cs="Arial"/>
          <w:bCs w:val="0"/>
          <w:sz w:val="24"/>
          <w:szCs w:val="24"/>
        </w:rPr>
        <w:t>尽职调查</w:t>
      </w:r>
      <w:r>
        <w:rPr>
          <w:rFonts w:cs="Arial" w:asciiTheme="majorEastAsia" w:hAnsiTheme="majorEastAsia" w:eastAsiaTheme="majorEastAsia"/>
          <w:bCs w:val="0"/>
          <w:sz w:val="24"/>
          <w:szCs w:val="24"/>
        </w:rPr>
        <w:t>”</w:t>
      </w:r>
      <w:r>
        <w:rPr>
          <w:rFonts w:ascii="Arial" w:hAnsi="Arial" w:eastAsia="宋体" w:cs="Arial"/>
          <w:bCs w:val="0"/>
          <w:sz w:val="24"/>
          <w:szCs w:val="24"/>
        </w:rPr>
        <w:t>一词是什么意思</w:t>
      </w:r>
      <w:r>
        <w:rPr>
          <w:rFonts w:ascii="Arial" w:hAnsi="Arial" w:eastAsia="宋体" w:cs="Arial"/>
          <w:sz w:val="24"/>
          <w:szCs w:val="24"/>
        </w:rPr>
        <w:t>？</w:t>
      </w:r>
    </w:p>
    <w:p w14:paraId="0381FF02">
      <w:pPr>
        <w:pStyle w:val="54"/>
        <w:shd w:val="clear" w:color="auto" w:fill="auto"/>
        <w:overflowPunct w:val="0"/>
        <w:adjustRightInd w:val="0"/>
        <w:snapToGrid w:val="0"/>
        <w:spacing w:before="0" w:after="156" w:afterLines="50" w:line="300" w:lineRule="auto"/>
        <w:ind w:left="785" w:leftChars="357" w:firstLine="0"/>
        <w:jc w:val="both"/>
        <w:rPr>
          <w:rFonts w:ascii="Arial" w:hAnsi="Arial" w:eastAsia="宋体" w:cs="Arial"/>
          <w:b w:val="0"/>
          <w:sz w:val="24"/>
          <w:szCs w:val="24"/>
        </w:rPr>
      </w:pPr>
      <w:r>
        <w:rPr>
          <w:rFonts w:ascii="Arial" w:hAnsi="Arial" w:eastAsia="宋体" w:cs="Arial"/>
          <w:sz w:val="24"/>
          <w:szCs w:val="24"/>
        </w:rPr>
        <w:t>答：</w:t>
      </w:r>
      <w:r>
        <w:rPr>
          <w:rFonts w:ascii="宋体" w:hAnsi="宋体" w:eastAsia="宋体" w:cs="Arial"/>
          <w:b w:val="0"/>
          <w:sz w:val="24"/>
          <w:szCs w:val="24"/>
        </w:rPr>
        <w:t>“</w:t>
      </w:r>
      <w:r>
        <w:rPr>
          <w:rFonts w:ascii="Arial" w:hAnsi="Arial" w:eastAsia="宋体" w:cs="Arial"/>
          <w:b w:val="0"/>
          <w:sz w:val="24"/>
          <w:szCs w:val="24"/>
        </w:rPr>
        <w:t>尽职调查</w:t>
      </w:r>
      <w:r>
        <w:rPr>
          <w:rFonts w:cs="Arial" w:asciiTheme="majorEastAsia" w:hAnsiTheme="majorEastAsia" w:eastAsiaTheme="majorEastAsia"/>
          <w:b w:val="0"/>
          <w:sz w:val="24"/>
          <w:szCs w:val="24"/>
        </w:rPr>
        <w:t>”</w:t>
      </w:r>
      <w:r>
        <w:rPr>
          <w:rFonts w:ascii="Arial" w:hAnsi="Arial" w:eastAsia="宋体" w:cs="Arial"/>
          <w:b w:val="0"/>
          <w:sz w:val="24"/>
          <w:szCs w:val="24"/>
        </w:rPr>
        <w:t>是在特定情况下对合理</w:t>
      </w:r>
      <w:r>
        <w:rPr>
          <w:rFonts w:hint="eastAsia" w:ascii="Arial" w:hAnsi="Arial" w:eastAsia="宋体" w:cs="Arial"/>
          <w:b w:val="0"/>
          <w:sz w:val="24"/>
          <w:szCs w:val="24"/>
        </w:rPr>
        <w:t>和</w:t>
      </w:r>
      <w:r>
        <w:rPr>
          <w:rFonts w:ascii="Arial" w:hAnsi="Arial" w:eastAsia="宋体" w:cs="Arial"/>
          <w:b w:val="0"/>
          <w:sz w:val="24"/>
          <w:szCs w:val="24"/>
        </w:rPr>
        <w:t>审慎的人员预期活动的量度，在这种情况下，收集关于经济利益或协议的信息。FDA希望申请人通常可以获得所需的信息，因为研究者必须在参与临床研究之前向申办方提供财务披露信息。（21 CFR§§54.4</w:t>
      </w:r>
      <w:r>
        <w:rPr>
          <w:rFonts w:hint="eastAsia" w:ascii="Arial" w:hAnsi="Arial" w:eastAsia="宋体" w:cs="Arial"/>
          <w:b w:val="0"/>
          <w:sz w:val="24"/>
          <w:szCs w:val="24"/>
        </w:rPr>
        <w:t>，</w:t>
      </w:r>
      <w:r>
        <w:rPr>
          <w:rFonts w:ascii="Arial" w:hAnsi="Arial" w:eastAsia="宋体" w:cs="Arial"/>
          <w:b w:val="0"/>
          <w:sz w:val="24"/>
          <w:szCs w:val="24"/>
        </w:rPr>
        <w:t>312.53（c），812.43（c）和812.20（b）（5））。在申请人无法获得所需财务信息的罕见情况下，申请人必须证明</w:t>
      </w:r>
      <w:r>
        <w:rPr>
          <w:rFonts w:hint="eastAsia" w:ascii="Arial" w:hAnsi="Arial" w:eastAsia="宋体" w:cs="Arial"/>
          <w:b w:val="0"/>
          <w:sz w:val="24"/>
          <w:szCs w:val="24"/>
        </w:rPr>
        <w:t>其</w:t>
      </w:r>
      <w:r>
        <w:rPr>
          <w:rFonts w:ascii="Arial" w:hAnsi="Arial" w:eastAsia="宋体" w:cs="Arial"/>
          <w:b w:val="0"/>
          <w:sz w:val="24"/>
          <w:szCs w:val="24"/>
        </w:rPr>
        <w:t>进行了尽职调查，并解释无法获得信息</w:t>
      </w:r>
      <w:r>
        <w:rPr>
          <w:rFonts w:hint="eastAsia" w:ascii="Arial" w:hAnsi="Arial" w:eastAsia="宋体" w:cs="Arial"/>
          <w:b w:val="0"/>
          <w:sz w:val="24"/>
          <w:szCs w:val="24"/>
        </w:rPr>
        <w:t>的理由</w:t>
      </w:r>
      <w:r>
        <w:rPr>
          <w:rFonts w:ascii="Arial" w:hAnsi="Arial" w:eastAsia="宋体" w:cs="Arial"/>
          <w:b w:val="0"/>
          <w:sz w:val="24"/>
          <w:szCs w:val="24"/>
        </w:rPr>
        <w:t>（21 CFR§54.4）。</w:t>
      </w:r>
    </w:p>
    <w:p w14:paraId="1957253D">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sz w:val="24"/>
          <w:szCs w:val="24"/>
        </w:rPr>
        <w:t>如果无法获得来自申办方的完整证明或披露所需的所有信息，申请人应当以其他方式尽力去获取信息，这可能</w:t>
      </w:r>
      <w:r>
        <w:rPr>
          <w:rFonts w:hint="eastAsia" w:ascii="Arial" w:hAnsi="Arial" w:eastAsia="宋体" w:cs="Arial"/>
          <w:sz w:val="24"/>
          <w:szCs w:val="24"/>
        </w:rPr>
        <w:t>表示</w:t>
      </w:r>
      <w:r>
        <w:rPr>
          <w:rFonts w:ascii="Arial" w:hAnsi="Arial" w:eastAsia="宋体" w:cs="Arial"/>
          <w:sz w:val="24"/>
          <w:szCs w:val="24"/>
        </w:rPr>
        <w:t>与个别研究者或次要研究者直接联系。如果研究者的行踪不明，例如因为研究者在研究完成前或在研究完成后一年内离开，FDA建议申办方和/或申请人尝试去找到临床研究者。申办方和申请人应在尝试联系研究者时，对需耗费的努力程度进行合理判断，其中可以包括对该研究者在研究中的作用以及研究者数据贡献的重要性进行考虑。</w:t>
      </w:r>
    </w:p>
    <w:p w14:paraId="024F7276">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sz w:val="24"/>
          <w:szCs w:val="24"/>
        </w:rPr>
        <w:t>在大多数情况下，FDA建议，尝试联系研究者的次数超过一次</w:t>
      </w:r>
      <w:r>
        <w:rPr>
          <w:rFonts w:hint="eastAsia" w:ascii="Arial" w:hAnsi="Arial" w:eastAsia="宋体" w:cs="Arial"/>
          <w:sz w:val="24"/>
          <w:szCs w:val="24"/>
        </w:rPr>
        <w:t>是</w:t>
      </w:r>
      <w:r>
        <w:rPr>
          <w:rFonts w:ascii="Arial" w:hAnsi="Arial" w:eastAsia="宋体" w:cs="Arial"/>
          <w:sz w:val="24"/>
          <w:szCs w:val="24"/>
        </w:rPr>
        <w:t>适当</w:t>
      </w:r>
      <w:r>
        <w:rPr>
          <w:rFonts w:hint="eastAsia" w:ascii="Arial" w:hAnsi="Arial" w:eastAsia="宋体" w:cs="Arial"/>
          <w:sz w:val="24"/>
          <w:szCs w:val="24"/>
        </w:rPr>
        <w:t>的</w:t>
      </w:r>
      <w:r>
        <w:rPr>
          <w:rFonts w:ascii="Arial" w:hAnsi="Arial" w:eastAsia="宋体" w:cs="Arial"/>
          <w:sz w:val="24"/>
          <w:szCs w:val="24"/>
        </w:rPr>
        <w:t>，且应尝试多种联系方法。FDA还建议每一次联系研究者的尝试均应记录在案，例如，保留电子邮件和信件的副本，并通过书面备忘录对电话和沟通进行记录。FDA还建议申办方和申请人应考虑使用一种联系研究者的方法以允许收件验证，例如提供邮件的收件确认或可靠的快递服务，可提供收件人收到信件的通知。使用此类方法时，应保留交货运单或无法送达的通知副本。</w:t>
      </w:r>
    </w:p>
    <w:p w14:paraId="7F9196C2">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40E24FD2">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sz w:val="24"/>
          <w:szCs w:val="24"/>
        </w:rPr>
        <w:t>如果研究者不再在进行研究的机构，FDA建议申办方或申请人合理地尝试去找到临床研究者，例如，向进行研究的机构或研究者隶属的机构请求获取联系信息，联系研究者可能隶属的专业协会和/或进行互联网搜索。</w:t>
      </w:r>
    </w:p>
    <w:p w14:paraId="110717DB">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sz w:val="24"/>
          <w:szCs w:val="24"/>
        </w:rPr>
        <w:t>如果无法找到临床研究者，或者因某些其他原因而无法从研究者处获得信息，则申办方应利用某些公开的财务信息和协议，例如，专门支付给该研究者的款项或与产品销售相关的信息（因该研究者而产生的稿酬）。应申请人的要求，申办方应检查此类信息的记录，且应受制于任何隐私法律（注意，其他国家的法律可能与美国法律有所不同），申办方应向申请人提供需披露的信息。另外，在必要时还应努力从其他合理可靠的公共信息来源获取需披露的财务信息。例如，关于试验产品的专有权益信息，如专利和商标，应从公开来源获得</w:t>
      </w:r>
      <w:r>
        <w:rPr>
          <w:rStyle w:val="24"/>
          <w:rFonts w:ascii="Arial" w:hAnsi="Arial" w:eastAsia="宋体" w:cs="Arial"/>
          <w:sz w:val="24"/>
          <w:szCs w:val="24"/>
        </w:rPr>
        <w:footnoteReference w:id="11"/>
      </w:r>
      <w:r>
        <w:rPr>
          <w:rFonts w:ascii="Arial" w:hAnsi="Arial" w:eastAsia="宋体" w:cs="Arial"/>
          <w:sz w:val="24"/>
          <w:szCs w:val="24"/>
        </w:rPr>
        <w:t>。另一个可能的信息来源是临床</w:t>
      </w:r>
      <w:r>
        <w:rPr>
          <w:rFonts w:hint="eastAsia" w:ascii="Arial" w:hAnsi="Arial" w:eastAsia="宋体" w:cs="Arial"/>
          <w:sz w:val="24"/>
          <w:szCs w:val="24"/>
        </w:rPr>
        <w:t>调查</w:t>
      </w:r>
      <w:r>
        <w:rPr>
          <w:rFonts w:ascii="Arial" w:hAnsi="Arial" w:eastAsia="宋体" w:cs="Arial"/>
          <w:sz w:val="24"/>
          <w:szCs w:val="24"/>
        </w:rPr>
        <w:t>机构，可能已经收集了财务信息，并且，如果符合他们的政策则可以根据要求向申请人提供此信息。根据获得的信息，应向FDA提供适当的证明、披露和/或解释。更多信息请参见</w:t>
      </w:r>
      <w:r>
        <w:rPr>
          <w:rFonts w:ascii="Arial" w:hAnsi="Arial" w:eastAsia="宋体" w:cs="Arial"/>
          <w:color w:val="0000FF"/>
          <w:sz w:val="24"/>
          <w:szCs w:val="24"/>
          <w:u w:val="single"/>
        </w:rPr>
        <w:t>问题F.2</w:t>
      </w:r>
      <w:r>
        <w:rPr>
          <w:rFonts w:ascii="Arial" w:hAnsi="Arial" w:eastAsia="宋体" w:cs="Arial"/>
          <w:sz w:val="24"/>
          <w:szCs w:val="24"/>
        </w:rPr>
        <w:t>。</w:t>
      </w:r>
    </w:p>
    <w:p w14:paraId="072C05E7">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sz w:val="24"/>
          <w:szCs w:val="24"/>
        </w:rPr>
        <w:t>对所涉及的研究是否在国外或国内的中心进行，申请人必须进行尽职调查。</w:t>
      </w:r>
      <w:r>
        <w:rPr>
          <w:rFonts w:hint="eastAsia" w:ascii="Arial" w:hAnsi="Arial" w:eastAsia="宋体" w:cs="Arial"/>
          <w:sz w:val="24"/>
          <w:szCs w:val="24"/>
        </w:rPr>
        <w:t>机构</w:t>
      </w:r>
      <w:r>
        <w:rPr>
          <w:rFonts w:ascii="Arial" w:hAnsi="Arial" w:eastAsia="宋体" w:cs="Arial"/>
          <w:sz w:val="24"/>
          <w:szCs w:val="24"/>
        </w:rPr>
        <w:t>希望合理</w:t>
      </w:r>
      <w:r>
        <w:rPr>
          <w:rFonts w:hint="eastAsia" w:ascii="Arial" w:hAnsi="Arial" w:eastAsia="宋体" w:cs="Arial"/>
          <w:sz w:val="24"/>
          <w:szCs w:val="24"/>
        </w:rPr>
        <w:t>和</w:t>
      </w:r>
      <w:r>
        <w:rPr>
          <w:rFonts w:ascii="Arial" w:hAnsi="Arial" w:eastAsia="宋体" w:cs="Arial"/>
          <w:sz w:val="24"/>
          <w:szCs w:val="24"/>
        </w:rPr>
        <w:t>审慎的申请人应在第一时机采取积极措施，</w:t>
      </w:r>
      <w:r>
        <w:rPr>
          <w:rFonts w:hint="eastAsia" w:ascii="Arial" w:hAnsi="Arial" w:eastAsia="宋体" w:cs="Arial"/>
          <w:sz w:val="24"/>
          <w:szCs w:val="24"/>
        </w:rPr>
        <w:t>以了解根据第54部分</w:t>
      </w:r>
      <w:r>
        <w:rPr>
          <w:rFonts w:ascii="Arial" w:hAnsi="Arial" w:eastAsia="宋体" w:cs="Arial"/>
          <w:sz w:val="24"/>
          <w:szCs w:val="24"/>
        </w:rPr>
        <w:t>完整的证明或披露所需的财务资料（第54</w:t>
      </w:r>
      <w:r>
        <w:rPr>
          <w:rFonts w:hint="eastAsia" w:ascii="Arial" w:hAnsi="Arial" w:eastAsia="宋体" w:cs="Arial"/>
          <w:sz w:val="24"/>
          <w:szCs w:val="24"/>
        </w:rPr>
        <w:t>部分</w:t>
      </w:r>
      <w:r>
        <w:rPr>
          <w:rFonts w:ascii="Arial" w:hAnsi="Arial" w:eastAsia="宋体" w:cs="Arial"/>
          <w:sz w:val="24"/>
          <w:szCs w:val="24"/>
        </w:rPr>
        <w:t>）的收集和维护。这不仅是为了确保申请人能够提交完整的资料，而且还确保了研究申办方需采取措施以防止研究发生</w:t>
      </w:r>
      <w:bookmarkStart w:id="12" w:name="OLE_LINK52"/>
      <w:bookmarkStart w:id="13" w:name="OLE_LINK53"/>
      <w:r>
        <w:rPr>
          <w:rFonts w:ascii="Arial" w:hAnsi="Arial" w:eastAsia="宋体" w:cs="Arial"/>
          <w:sz w:val="24"/>
          <w:szCs w:val="24"/>
        </w:rPr>
        <w:t>偏倚</w:t>
      </w:r>
      <w:bookmarkEnd w:id="12"/>
      <w:bookmarkEnd w:id="13"/>
      <w:r>
        <w:rPr>
          <w:rFonts w:ascii="Arial" w:hAnsi="Arial" w:eastAsia="宋体" w:cs="Arial"/>
          <w:sz w:val="24"/>
          <w:szCs w:val="24"/>
        </w:rPr>
        <w:t>的可能性。更多信息请参见问题</w:t>
      </w:r>
      <w:r>
        <w:rPr>
          <w:rFonts w:ascii="Arial" w:hAnsi="Arial" w:eastAsia="宋体" w:cs="Arial"/>
          <w:color w:val="0000FF"/>
          <w:sz w:val="24"/>
          <w:szCs w:val="24"/>
          <w:u w:val="single"/>
        </w:rPr>
        <w:t>E.3</w:t>
      </w:r>
      <w:r>
        <w:rPr>
          <w:rFonts w:hint="eastAsia" w:ascii="Arial" w:hAnsi="Arial" w:eastAsia="宋体" w:cs="Arial"/>
          <w:sz w:val="24"/>
          <w:szCs w:val="24"/>
        </w:rPr>
        <w:t>、</w:t>
      </w:r>
      <w:r>
        <w:rPr>
          <w:rFonts w:ascii="Arial" w:hAnsi="Arial" w:eastAsia="宋体" w:cs="Arial"/>
          <w:color w:val="0000FF"/>
          <w:sz w:val="24"/>
          <w:szCs w:val="24"/>
          <w:u w:val="single"/>
        </w:rPr>
        <w:t>E.5</w:t>
      </w:r>
      <w:r>
        <w:rPr>
          <w:rFonts w:ascii="Arial" w:hAnsi="Arial" w:eastAsia="宋体" w:cs="Arial"/>
          <w:sz w:val="24"/>
          <w:szCs w:val="24"/>
        </w:rPr>
        <w:t>和</w:t>
      </w:r>
      <w:r>
        <w:rPr>
          <w:rFonts w:ascii="Arial" w:hAnsi="Arial" w:eastAsia="宋体" w:cs="Arial"/>
          <w:color w:val="0000FF"/>
          <w:sz w:val="24"/>
          <w:szCs w:val="24"/>
          <w:u w:val="single"/>
        </w:rPr>
        <w:t>F.3</w:t>
      </w:r>
      <w:r>
        <w:rPr>
          <w:rFonts w:ascii="Arial" w:hAnsi="Arial" w:eastAsia="宋体" w:cs="Arial"/>
          <w:sz w:val="24"/>
          <w:szCs w:val="24"/>
        </w:rPr>
        <w:t>。</w:t>
      </w:r>
    </w:p>
    <w:p w14:paraId="663F443D">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ascii="Arial" w:hAnsi="Arial" w:eastAsia="宋体" w:cs="Arial"/>
          <w:sz w:val="24"/>
          <w:szCs w:val="24"/>
        </w:rPr>
        <w:t>B.8</w:t>
      </w:r>
      <w:r>
        <w:rPr>
          <w:rFonts w:hint="eastAsia" w:ascii="Arial" w:hAnsi="Arial" w:eastAsia="宋体" w:cs="Arial"/>
          <w:sz w:val="24"/>
          <w:szCs w:val="24"/>
        </w:rPr>
        <w:tab/>
      </w:r>
      <w:r>
        <w:rPr>
          <w:rFonts w:ascii="Arial" w:hAnsi="Arial" w:eastAsia="宋体" w:cs="Arial"/>
          <w:sz w:val="24"/>
          <w:szCs w:val="24"/>
        </w:rPr>
        <w:t>问：在IND或IDE申请中是否需要临床研究者的财务披露信息？</w:t>
      </w:r>
    </w:p>
    <w:p w14:paraId="02279F7D">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：不需要，IND/IDE的申办方无需在IND或IDE申请中提交有关临床研究者的经济利益或协议的信息。然而，在临床研究者参与临床研究之前（见21 CFR§§312.53（c）（4）</w:t>
      </w:r>
      <w:r>
        <w:rPr>
          <w:rFonts w:hint="eastAsia" w:ascii="Arial" w:hAnsi="Arial" w:eastAsia="宋体" w:cs="Arial"/>
          <w:sz w:val="24"/>
          <w:szCs w:val="24"/>
        </w:rPr>
        <w:t>、</w:t>
      </w:r>
      <w:r>
        <w:rPr>
          <w:rFonts w:ascii="Arial" w:hAnsi="Arial" w:eastAsia="宋体" w:cs="Arial"/>
          <w:sz w:val="24"/>
          <w:szCs w:val="24"/>
        </w:rPr>
        <w:t>812.20（b）（5）和812.43（c）（5）），需要收集这些信息。而且临床研究者必须向申办方披露财务信息（见21 CFR§§312.64（d）和812.110（d））。在提交包含所涉临床研究结果（21 CFR§54.4）的上市申请之前，该信息不需要提交给FDA （21 CFR § 54.4）。</w:t>
      </w:r>
    </w:p>
    <w:p w14:paraId="7CDDA0CB">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0D1FD4F5">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078E90AC">
      <w:pPr>
        <w:spacing w:after="0" w:line="240" w:lineRule="auto"/>
        <w:rPr>
          <w:rFonts w:ascii="Arial" w:hAnsi="Arial" w:eastAsia="宋体" w:cs="Arial"/>
          <w:b/>
          <w:bCs/>
          <w:kern w:val="2"/>
          <w:sz w:val="24"/>
          <w:szCs w:val="24"/>
        </w:rPr>
      </w:pPr>
      <w:r>
        <w:rPr>
          <w:rFonts w:ascii="Arial" w:hAnsi="Arial" w:eastAsia="宋体" w:cs="Arial"/>
          <w:sz w:val="24"/>
          <w:szCs w:val="24"/>
        </w:rPr>
        <w:br w:type="page"/>
      </w:r>
    </w:p>
    <w:p w14:paraId="151F84EC">
      <w:pPr>
        <w:pStyle w:val="44"/>
        <w:shd w:val="clear" w:color="auto" w:fill="auto"/>
        <w:overflowPunct w:val="0"/>
        <w:snapToGrid w:val="0"/>
        <w:spacing w:after="156" w:afterLines="50" w:line="300" w:lineRule="auto"/>
        <w:jc w:val="both"/>
        <w:rPr>
          <w:rFonts w:ascii="Arial" w:hAnsi="Arial" w:cs="Arial" w:eastAsiaTheme="minorEastAsia"/>
          <w:b w:val="0"/>
          <w:sz w:val="24"/>
          <w:szCs w:val="24"/>
        </w:rPr>
      </w:pPr>
      <w:bookmarkStart w:id="14" w:name="OLE_LINK51"/>
      <w:bookmarkStart w:id="15" w:name="OLE_LINK50"/>
      <w:r>
        <w:rPr>
          <w:rFonts w:hint="eastAsia" w:ascii="Arial" w:hAnsi="Arial" w:cs="Arial" w:eastAsiaTheme="minorEastAsia"/>
          <w:b w:val="0"/>
          <w:sz w:val="23"/>
          <w:szCs w:val="23"/>
        </w:rPr>
        <w:t>FDA鼓励研究申办方在临床研究前和临床研究期间对关于</w:t>
      </w:r>
      <w:r>
        <w:rPr>
          <w:rFonts w:hint="eastAsia" w:ascii="宋体" w:hAnsi="宋体" w:eastAsia="宋体" w:cs="宋体"/>
          <w:b w:val="0"/>
          <w:sz w:val="23"/>
          <w:szCs w:val="23"/>
        </w:rPr>
        <w:t>临床研究者可能存在潜在</w:t>
      </w:r>
      <w:bookmarkStart w:id="16" w:name="OLE_LINK55"/>
      <w:bookmarkStart w:id="17" w:name="OLE_LINK54"/>
      <w:r>
        <w:rPr>
          <w:rFonts w:hint="eastAsia" w:ascii="Arial" w:hAnsi="Arial" w:eastAsia="宋体" w:cs="Arial"/>
          <w:b w:val="0"/>
          <w:sz w:val="24"/>
          <w:szCs w:val="24"/>
        </w:rPr>
        <w:t>偏倚</w:t>
      </w:r>
      <w:bookmarkEnd w:id="16"/>
      <w:bookmarkEnd w:id="17"/>
      <w:r>
        <w:rPr>
          <w:rFonts w:hint="eastAsia" w:ascii="宋体" w:hAnsi="宋体" w:eastAsia="宋体" w:cs="宋体"/>
          <w:b w:val="0"/>
          <w:sz w:val="23"/>
          <w:szCs w:val="23"/>
        </w:rPr>
        <w:t>的具体情况的管理进行咨询。</w:t>
      </w:r>
      <w:r>
        <w:rPr>
          <w:rFonts w:hint="eastAsia" w:ascii="Arial" w:hAnsi="Arial" w:cs="Arial" w:eastAsiaTheme="minorEastAsia"/>
          <w:b w:val="0"/>
          <w:sz w:val="23"/>
          <w:szCs w:val="23"/>
        </w:rPr>
        <w:t>在这些咨询期间，</w:t>
      </w:r>
      <w:r>
        <w:rPr>
          <w:rFonts w:ascii="Arial" w:hAnsi="Arial" w:cs="Arial"/>
          <w:b w:val="0"/>
          <w:sz w:val="23"/>
          <w:szCs w:val="23"/>
        </w:rPr>
        <w:t xml:space="preserve"> FDA</w:t>
      </w:r>
      <w:r>
        <w:rPr>
          <w:rFonts w:hint="eastAsia" w:ascii="Arial" w:hAnsi="Arial" w:cs="Arial" w:eastAsiaTheme="minorEastAsia"/>
          <w:b w:val="0"/>
          <w:sz w:val="23"/>
          <w:szCs w:val="23"/>
        </w:rPr>
        <w:t>工作人员</w:t>
      </w:r>
      <w:r>
        <w:rPr>
          <w:rFonts w:hint="eastAsia" w:ascii="宋体" w:hAnsi="宋体" w:eastAsia="宋体" w:cs="宋体"/>
          <w:b w:val="0"/>
          <w:sz w:val="23"/>
          <w:szCs w:val="23"/>
        </w:rPr>
        <w:t>应注重对研究主题的保护，并尽量减少所有潜在来源的</w:t>
      </w:r>
      <w:r>
        <w:rPr>
          <w:rFonts w:ascii="Arial" w:hAnsi="Arial" w:eastAsia="宋体" w:cs="Arial"/>
          <w:b w:val="0"/>
          <w:sz w:val="24"/>
          <w:szCs w:val="24"/>
        </w:rPr>
        <w:t>偏倚</w:t>
      </w:r>
      <w:r>
        <w:rPr>
          <w:rFonts w:hint="eastAsia" w:ascii="宋体" w:hAnsi="宋体" w:eastAsia="宋体" w:cs="宋体"/>
          <w:b w:val="0"/>
          <w:sz w:val="23"/>
          <w:szCs w:val="23"/>
        </w:rPr>
        <w:t>。</w:t>
      </w:r>
      <w:bookmarkEnd w:id="14"/>
      <w:bookmarkEnd w:id="15"/>
    </w:p>
    <w:p w14:paraId="6726B2FA">
      <w:pPr>
        <w:pStyle w:val="44"/>
        <w:numPr>
          <w:ilvl w:val="0"/>
          <w:numId w:val="5"/>
        </w:numPr>
        <w:shd w:val="clear" w:color="auto" w:fill="auto"/>
        <w:overflowPunct w:val="0"/>
        <w:snapToGrid w:val="0"/>
        <w:spacing w:after="156" w:afterLines="50" w:line="360" w:lineRule="auto"/>
        <w:ind w:left="357" w:hanging="357"/>
        <w:jc w:val="both"/>
        <w:outlineLvl w:val="1"/>
        <w:rPr>
          <w:rFonts w:ascii="Arial" w:hAnsi="Arial" w:eastAsia="宋体" w:cs="Arial"/>
          <w:sz w:val="24"/>
          <w:szCs w:val="24"/>
        </w:rPr>
      </w:pPr>
      <w:bookmarkStart w:id="18" w:name="_Toc496025804"/>
      <w:r>
        <w:rPr>
          <w:rFonts w:ascii="Arial" w:hAnsi="Arial" w:eastAsia="宋体" w:cs="Arial"/>
          <w:sz w:val="24"/>
          <w:szCs w:val="24"/>
        </w:rPr>
        <w:t>必须披露的经济利益和协议</w:t>
      </w:r>
      <w:bookmarkEnd w:id="18"/>
    </w:p>
    <w:p w14:paraId="27F5B7BA">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ascii="Arial" w:hAnsi="Arial" w:eastAsia="宋体" w:cs="Arial"/>
          <w:sz w:val="24"/>
          <w:szCs w:val="24"/>
        </w:rPr>
        <w:t>C.1</w:t>
      </w:r>
      <w:r>
        <w:rPr>
          <w:rFonts w:hint="eastAsia" w:ascii="Arial" w:hAnsi="Arial" w:eastAsia="宋体" w:cs="Arial"/>
          <w:sz w:val="24"/>
          <w:szCs w:val="24"/>
        </w:rPr>
        <w:tab/>
      </w:r>
      <w:r>
        <w:rPr>
          <w:rFonts w:ascii="Arial" w:hAnsi="Arial" w:eastAsia="宋体" w:cs="Arial"/>
          <w:sz w:val="24"/>
          <w:szCs w:val="24"/>
        </w:rPr>
        <w:t>问：应向</w:t>
      </w:r>
      <w:r>
        <w:rPr>
          <w:rFonts w:hint="eastAsia" w:ascii="Arial" w:hAnsi="Arial" w:eastAsia="宋体" w:cs="Arial"/>
          <w:sz w:val="24"/>
          <w:szCs w:val="24"/>
        </w:rPr>
        <w:t>机构</w:t>
      </w:r>
      <w:r>
        <w:rPr>
          <w:rFonts w:ascii="Arial" w:hAnsi="Arial" w:eastAsia="宋体" w:cs="Arial"/>
          <w:sz w:val="24"/>
          <w:szCs w:val="24"/>
        </w:rPr>
        <w:t>披露哪些经济利益或协议的信息？例如，如果个别研究者在一家上市公司拥有超过50,000美元的股票，申请人是否可以仅披露超过50,000美元</w:t>
      </w:r>
      <w:r>
        <w:rPr>
          <w:rFonts w:hint="eastAsia" w:ascii="Arial" w:hAnsi="Arial" w:eastAsia="宋体" w:cs="Arial"/>
          <w:sz w:val="24"/>
          <w:szCs w:val="24"/>
        </w:rPr>
        <w:t>阈值</w:t>
      </w:r>
      <w:r>
        <w:rPr>
          <w:rFonts w:ascii="Arial" w:hAnsi="Arial" w:eastAsia="宋体" w:cs="Arial"/>
          <w:sz w:val="24"/>
          <w:szCs w:val="24"/>
        </w:rPr>
        <w:t>的收益，还是有必要以书面方式详细披露上述收益或协议？</w:t>
      </w:r>
    </w:p>
    <w:p w14:paraId="09FE1056">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：申请人必须做出完整而准确的披露（21 CFR§54.4（a）（3））。应披露经济利益或协议的具体细节，包括其规模和性质，应采取任何措施尽量减少因利益或协议而产生研究偏倚的可能性。例如，在说明经济利益时，申请人可以列出：价值77,000美元的股票，7,500美元的发言费，22,000美元的咨询费和125,000美元的</w:t>
      </w:r>
      <w:r>
        <w:rPr>
          <w:rFonts w:hint="eastAsia" w:ascii="Arial" w:hAnsi="Arial" w:eastAsia="宋体" w:cs="Arial"/>
          <w:sz w:val="24"/>
          <w:szCs w:val="24"/>
        </w:rPr>
        <w:t>拨款</w:t>
      </w:r>
      <w:r>
        <w:rPr>
          <w:rFonts w:ascii="Arial" w:hAnsi="Arial" w:eastAsia="宋体" w:cs="Arial"/>
          <w:sz w:val="24"/>
          <w:szCs w:val="24"/>
        </w:rPr>
        <w:t>，并包括为减少</w:t>
      </w:r>
      <w:r>
        <w:rPr>
          <w:rFonts w:hint="eastAsia" w:ascii="Arial" w:hAnsi="Arial" w:eastAsia="宋体" w:cs="Arial"/>
          <w:sz w:val="24"/>
          <w:szCs w:val="24"/>
        </w:rPr>
        <w:t>潜在</w:t>
      </w:r>
      <w:r>
        <w:rPr>
          <w:rFonts w:ascii="Arial" w:hAnsi="Arial" w:eastAsia="宋体" w:cs="Arial"/>
          <w:sz w:val="24"/>
          <w:szCs w:val="24"/>
        </w:rPr>
        <w:t>偏倚而采取的具体措施。申办方应要求临床研究者提供有关其财务披露信息的充分细节，以允许进行适当的披露。</w:t>
      </w:r>
    </w:p>
    <w:p w14:paraId="04B4CFAF">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C.2</w:t>
      </w:r>
      <w:r>
        <w:rPr>
          <w:rFonts w:hint="eastAsia" w:ascii="Arial" w:hAnsi="Arial" w:eastAsia="宋体" w:cs="Arial"/>
          <w:sz w:val="24"/>
          <w:szCs w:val="24"/>
        </w:rPr>
        <w:tab/>
      </w:r>
      <w:r>
        <w:rPr>
          <w:rFonts w:ascii="Arial" w:hAnsi="Arial" w:eastAsia="宋体" w:cs="Arial"/>
          <w:sz w:val="24"/>
          <w:szCs w:val="24"/>
        </w:rPr>
        <w:t>问：在临床研究过程中和研究完成后一年内，临床研究者是否应报告所有在50,000美元上下的波动？</w:t>
      </w:r>
    </w:p>
    <w:p w14:paraId="4A96489E">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鉴于股价的潜在波动，FDA认为，在研究过程中，研究者所持有的申办方公司股权可能会出现美元价值的波动。临床研究者应知悉，在持有量超过</w:t>
      </w:r>
      <w:r>
        <w:rPr>
          <w:rFonts w:hint="eastAsia" w:ascii="Arial" w:hAnsi="Arial" w:eastAsia="宋体" w:cs="Arial"/>
          <w:sz w:val="24"/>
          <w:szCs w:val="24"/>
        </w:rPr>
        <w:t>阈值</w:t>
      </w:r>
      <w:r>
        <w:rPr>
          <w:rFonts w:ascii="Arial" w:hAnsi="Arial" w:eastAsia="宋体" w:cs="Arial"/>
          <w:sz w:val="24"/>
          <w:szCs w:val="24"/>
        </w:rPr>
        <w:t>时应报告股权收益，以及研究者应在股权超过50</w:t>
      </w:r>
      <w:r>
        <w:rPr>
          <w:rFonts w:hint="eastAsia" w:ascii="Arial" w:hAnsi="Arial" w:eastAsia="宋体" w:cs="Arial"/>
          <w:sz w:val="24"/>
          <w:szCs w:val="24"/>
        </w:rPr>
        <w:t>,</w:t>
      </w:r>
      <w:r>
        <w:rPr>
          <w:rFonts w:ascii="Arial" w:hAnsi="Arial" w:eastAsia="宋体" w:cs="Arial"/>
          <w:sz w:val="24"/>
          <w:szCs w:val="24"/>
        </w:rPr>
        <w:t>000美元时做出更新和报告股权波动的判断。FDA不希望研究者在股权波动低于</w:t>
      </w:r>
      <w:r>
        <w:rPr>
          <w:rFonts w:hint="eastAsia" w:ascii="Arial" w:hAnsi="Arial" w:eastAsia="宋体" w:cs="Arial"/>
          <w:sz w:val="24"/>
          <w:szCs w:val="24"/>
        </w:rPr>
        <w:t>阈值</w:t>
      </w:r>
      <w:r>
        <w:rPr>
          <w:rFonts w:ascii="Arial" w:hAnsi="Arial" w:eastAsia="宋体" w:cs="Arial"/>
          <w:sz w:val="24"/>
          <w:szCs w:val="24"/>
        </w:rPr>
        <w:t>时进行报告。更多信息请参见</w:t>
      </w:r>
      <w:r>
        <w:rPr>
          <w:rFonts w:ascii="Arial" w:hAnsi="Arial" w:eastAsia="宋体" w:cs="Arial"/>
          <w:color w:val="0000FF"/>
          <w:sz w:val="24"/>
          <w:szCs w:val="24"/>
          <w:u w:val="single"/>
        </w:rPr>
        <w:t>问题E.4</w:t>
      </w:r>
      <w:r>
        <w:rPr>
          <w:rFonts w:ascii="Arial" w:hAnsi="Arial" w:eastAsia="宋体" w:cs="Arial"/>
          <w:sz w:val="24"/>
          <w:szCs w:val="24"/>
        </w:rPr>
        <w:t>。</w:t>
      </w:r>
    </w:p>
    <w:p w14:paraId="5C5625C8">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ascii="Arial" w:hAnsi="Arial" w:eastAsia="宋体" w:cs="Arial"/>
          <w:sz w:val="24"/>
          <w:szCs w:val="24"/>
        </w:rPr>
        <w:t>C.3</w:t>
      </w:r>
      <w:r>
        <w:rPr>
          <w:rFonts w:hint="eastAsia" w:ascii="Arial" w:hAnsi="Arial" w:eastAsia="宋体" w:cs="Arial"/>
          <w:sz w:val="24"/>
          <w:szCs w:val="24"/>
        </w:rPr>
        <w:tab/>
      </w:r>
      <w:r>
        <w:rPr>
          <w:rFonts w:ascii="Arial" w:hAnsi="Arial" w:eastAsia="宋体" w:cs="Arial"/>
          <w:sz w:val="24"/>
          <w:szCs w:val="24"/>
        </w:rPr>
        <w:t>问：共同基金和401（k）的股权收益是否需要报告？</w:t>
      </w:r>
    </w:p>
    <w:p w14:paraId="679ED11C">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FDA希望在绝大多数情况下，持有公开交易的共同基金的股权收益不必报告。但是，如果研究者能够在共同基金中支配股票买卖，则此类公开交易的共同基金股权收益需要报告。</w:t>
      </w:r>
    </w:p>
    <w:p w14:paraId="78665B7D">
      <w:pPr>
        <w:overflowPunct w:val="0"/>
        <w:snapToGrid w:val="0"/>
        <w:spacing w:after="50" w:line="300" w:lineRule="auto"/>
        <w:jc w:val="both"/>
        <w:rPr>
          <w:rFonts w:ascii="Arial" w:hAnsi="Arial" w:eastAsia="宋体" w:cs="Arial"/>
          <w:kern w:val="2"/>
          <w:sz w:val="24"/>
          <w:szCs w:val="24"/>
        </w:rPr>
      </w:pPr>
      <w:r>
        <w:rPr>
          <w:rFonts w:ascii="Arial" w:hAnsi="Arial" w:eastAsia="宋体" w:cs="Arial"/>
          <w:sz w:val="24"/>
          <w:szCs w:val="24"/>
        </w:rPr>
        <w:br w:type="page"/>
      </w:r>
    </w:p>
    <w:p w14:paraId="78D6A003">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sz w:val="24"/>
          <w:szCs w:val="24"/>
        </w:rPr>
        <w:t>如果研究者在401（k）或相当账户中持有超过50,000美元的申办方股权，并且可以支配是否购买或出售收益，则该收益需要报告。</w:t>
      </w:r>
    </w:p>
    <w:p w14:paraId="37C2E71B">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C.4</w:t>
      </w:r>
      <w:r>
        <w:rPr>
          <w:rFonts w:hint="eastAsia" w:ascii="Arial" w:hAnsi="Arial" w:eastAsia="宋体" w:cs="Arial"/>
          <w:sz w:val="24"/>
          <w:szCs w:val="24"/>
        </w:rPr>
        <w:tab/>
      </w:r>
      <w:r>
        <w:rPr>
          <w:rFonts w:ascii="Arial" w:hAnsi="Arial" w:eastAsia="宋体" w:cs="Arial"/>
          <w:sz w:val="24"/>
          <w:szCs w:val="24"/>
        </w:rPr>
        <w:t>问：其他种类的巨额款项（SPOOS）如何与申办方可能支付给个人或机构用以进行各种活动的款项相关联？</w:t>
      </w:r>
    </w:p>
    <w:p w14:paraId="3AF1C146">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宋体" w:hAnsi="宋体" w:eastAsia="宋体" w:cs="Arial"/>
          <w:sz w:val="24"/>
          <w:szCs w:val="24"/>
        </w:rPr>
        <w:t>“</w:t>
      </w:r>
      <w:r>
        <w:rPr>
          <w:rFonts w:ascii="Arial" w:hAnsi="Arial" w:eastAsia="宋体" w:cs="Arial"/>
          <w:sz w:val="24"/>
          <w:szCs w:val="24"/>
        </w:rPr>
        <w:t>其他种类的巨额款项</w:t>
      </w:r>
      <w:r>
        <w:rPr>
          <w:rFonts w:cs="Arial" w:asciiTheme="majorEastAsia" w:hAnsiTheme="majorEastAsia" w:eastAsiaTheme="majorEastAsia"/>
          <w:sz w:val="24"/>
          <w:szCs w:val="24"/>
        </w:rPr>
        <w:t>”</w:t>
      </w:r>
      <w:r>
        <w:rPr>
          <w:rFonts w:ascii="Arial" w:hAnsi="Arial" w:eastAsia="宋体" w:cs="Arial"/>
          <w:sz w:val="24"/>
          <w:szCs w:val="24"/>
        </w:rPr>
        <w:t>一词旨在捕捉到向研究者或机构提供价值超过25,000美元的大量付款或其他支持，使研究者或机构可能会对申办方产生一种义务感。</w:t>
      </w:r>
    </w:p>
    <w:p w14:paraId="66A7BA59">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sz w:val="24"/>
          <w:szCs w:val="24"/>
        </w:rPr>
        <w:t>这些付款不包括根据合同协议对正在考虑的产品进行临床研究或其他产品的临床研究所支付的费用，但包括支付给研究者或支付给机构用于直接支持研究者的其他款项。</w:t>
      </w:r>
    </w:p>
    <w:p w14:paraId="29DC56E3">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其他种类的巨额款项</w:t>
      </w:r>
      <w:r>
        <w:rPr>
          <w:rFonts w:cs="Arial" w:asciiTheme="majorEastAsia" w:hAnsiTheme="majorEastAsia" w:eastAsiaTheme="majorEastAsia"/>
          <w:sz w:val="24"/>
          <w:szCs w:val="24"/>
        </w:rPr>
        <w:t>”</w:t>
      </w:r>
      <w:r>
        <w:rPr>
          <w:rFonts w:ascii="Arial" w:hAnsi="Arial" w:eastAsia="宋体" w:cs="Arial"/>
          <w:sz w:val="24"/>
          <w:szCs w:val="24"/>
        </w:rPr>
        <w:t>将包括，例如，申办方向临床研究者支付的款项、预付费用和酬金用于诸如参加委员会、提供咨询或指导服务等活动（21 CFR§54.2（f））。对持续研究的资助基金，包括实验室活动和设备以及以实验室/诊所的实物设备为形式的报酬，也将视为其他种类的巨额款项。这</w:t>
      </w:r>
      <w:r>
        <w:rPr>
          <w:rFonts w:hint="eastAsia" w:ascii="Arial" w:hAnsi="Arial" w:eastAsia="宋体" w:cs="Arial"/>
          <w:sz w:val="24"/>
          <w:szCs w:val="24"/>
        </w:rPr>
        <w:t>表示</w:t>
      </w:r>
      <w:r>
        <w:rPr>
          <w:rFonts w:ascii="Arial" w:hAnsi="Arial" w:eastAsia="宋体" w:cs="Arial"/>
          <w:sz w:val="24"/>
          <w:szCs w:val="24"/>
        </w:rPr>
        <w:t>如果研究者获得设备或获得资金用于购买在实验室/诊所使用的设备，但与进行的临床研究无关，则该笔款项将视为其他种类的巨额款项（21 CFR§54.4（a）（3）（II））。然而，如果研究者获得计算机软件或者获得资金来购买临床研究所需的软件，则该笔款项就无需报告。</w:t>
      </w:r>
    </w:p>
    <w:p w14:paraId="3F86CBB5">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sz w:val="24"/>
          <w:szCs w:val="24"/>
        </w:rPr>
        <w:t>支付给机构的款项（不是为了向研究者支付），以及不是专门针对研究者的付款，</w:t>
      </w:r>
      <w:r>
        <w:rPr>
          <w:rFonts w:hint="eastAsia" w:ascii="Arial" w:hAnsi="Arial" w:eastAsia="宋体" w:cs="Arial"/>
          <w:sz w:val="24"/>
          <w:szCs w:val="24"/>
        </w:rPr>
        <w:t>通常</w:t>
      </w:r>
      <w:r>
        <w:rPr>
          <w:rFonts w:ascii="Arial" w:hAnsi="Arial" w:eastAsia="宋体" w:cs="Arial"/>
          <w:sz w:val="24"/>
          <w:szCs w:val="24"/>
        </w:rPr>
        <w:t>无需报告。然而，在某些情况下，拨付给机构的捐款将视为针对研究者的支付（因此认为需要报告）；例如，若该捐款的措词方式是只有该研究者才能完成。</w:t>
      </w:r>
    </w:p>
    <w:p w14:paraId="33D1AC41">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sz w:val="24"/>
          <w:szCs w:val="24"/>
        </w:rPr>
        <w:t>最后，符合</w:t>
      </w:r>
      <w:r>
        <w:rPr>
          <w:rFonts w:ascii="宋体" w:hAnsi="宋体" w:eastAsia="宋体" w:cs="Arial"/>
          <w:sz w:val="24"/>
          <w:szCs w:val="24"/>
        </w:rPr>
        <w:t>“</w:t>
      </w:r>
      <w:r>
        <w:rPr>
          <w:rFonts w:ascii="Arial" w:hAnsi="Arial" w:eastAsia="宋体" w:cs="Arial"/>
          <w:sz w:val="24"/>
          <w:szCs w:val="24"/>
        </w:rPr>
        <w:t>其他种类的巨额款项</w:t>
      </w:r>
      <w:r>
        <w:rPr>
          <w:rFonts w:cs="Arial" w:asciiTheme="majorEastAsia" w:hAnsiTheme="majorEastAsia" w:eastAsiaTheme="majorEastAsia"/>
          <w:sz w:val="24"/>
          <w:szCs w:val="24"/>
        </w:rPr>
        <w:t>”</w:t>
      </w:r>
      <w:r>
        <w:rPr>
          <w:rFonts w:ascii="Arial" w:hAnsi="Arial" w:eastAsia="宋体" w:cs="Arial"/>
          <w:sz w:val="24"/>
          <w:szCs w:val="24"/>
        </w:rPr>
        <w:t>标准、支付给该机构中其他研究者（未参与所涉及的研究）的款项，无需报告。</w:t>
      </w:r>
    </w:p>
    <w:p w14:paraId="0532ABF6">
      <w:pPr>
        <w:overflowPunct w:val="0"/>
        <w:snapToGrid w:val="0"/>
        <w:spacing w:after="50" w:line="300" w:lineRule="auto"/>
        <w:jc w:val="both"/>
        <w:rPr>
          <w:rFonts w:ascii="Arial" w:hAnsi="Arial" w:eastAsia="宋体" w:cs="Arial"/>
          <w:kern w:val="2"/>
          <w:sz w:val="24"/>
          <w:szCs w:val="24"/>
        </w:rPr>
      </w:pPr>
      <w:r>
        <w:rPr>
          <w:rFonts w:ascii="Arial" w:hAnsi="Arial" w:eastAsia="宋体" w:cs="Arial"/>
          <w:sz w:val="24"/>
          <w:szCs w:val="24"/>
        </w:rPr>
        <w:br w:type="page"/>
      </w:r>
    </w:p>
    <w:p w14:paraId="05603A99">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sz w:val="24"/>
          <w:szCs w:val="24"/>
        </w:rPr>
      </w:pPr>
      <w:r>
        <w:rPr>
          <w:rFonts w:ascii="Arial" w:hAnsi="Arial" w:eastAsia="宋体" w:cs="Arial"/>
          <w:sz w:val="24"/>
          <w:szCs w:val="24"/>
        </w:rPr>
        <w:t>C.5</w:t>
      </w:r>
      <w:r>
        <w:rPr>
          <w:rFonts w:hint="eastAsia" w:ascii="Arial" w:hAnsi="Arial" w:eastAsia="宋体" w:cs="Arial"/>
          <w:sz w:val="24"/>
          <w:szCs w:val="24"/>
        </w:rPr>
        <w:tab/>
      </w:r>
      <w:r>
        <w:rPr>
          <w:rFonts w:ascii="Arial" w:hAnsi="Arial" w:eastAsia="宋体" w:cs="Arial"/>
          <w:sz w:val="24"/>
          <w:szCs w:val="24"/>
        </w:rPr>
        <w:t>问：向研究者支付的差旅费（如交通、住宿和餐费）</w:t>
      </w:r>
      <w:r>
        <w:rPr>
          <w:rFonts w:hint="eastAsia" w:ascii="Arial" w:hAnsi="Arial" w:eastAsia="宋体" w:cs="Arial"/>
          <w:sz w:val="24"/>
          <w:szCs w:val="24"/>
        </w:rPr>
        <w:t>是否</w:t>
      </w:r>
      <w:r>
        <w:rPr>
          <w:rFonts w:ascii="Arial" w:hAnsi="Arial" w:eastAsia="宋体" w:cs="Arial"/>
          <w:sz w:val="24"/>
          <w:szCs w:val="24"/>
        </w:rPr>
        <w:t>需要作为其他种类的巨额款项（SPOOS）报告？</w:t>
      </w:r>
    </w:p>
    <w:p w14:paraId="54B0A6A3">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一般来说，向研究者支付的合理报销费用，如交通、住宿和餐费等不属于SPOOS的定义，因此无需报告。通常认为的超出正常报销范围且并非研究所需的费用，将视为SPOOS。这些款项将包括，例如娱乐支出与家庭成员旅行相关的交通和/或提供的住宿和餐费，以及超出合理预期的其他付款（例如，如研究者</w:t>
      </w:r>
      <w:r>
        <w:rPr>
          <w:rFonts w:hint="eastAsia" w:ascii="Arial" w:hAnsi="Arial" w:eastAsia="宋体" w:cs="Arial"/>
          <w:sz w:val="24"/>
          <w:szCs w:val="24"/>
        </w:rPr>
        <w:t>在规定时间外的度假周</w:t>
      </w:r>
      <w:r>
        <w:rPr>
          <w:rFonts w:ascii="Arial" w:hAnsi="Arial" w:eastAsia="宋体" w:cs="Arial"/>
          <w:sz w:val="24"/>
          <w:szCs w:val="24"/>
        </w:rPr>
        <w:t>）。这些类型的费用需要报告，应以SPOOS进行追溯。FDA知悉，此类支付可能会受到行业道德规范的限制或禁止</w:t>
      </w:r>
      <w:r>
        <w:rPr>
          <w:rStyle w:val="24"/>
          <w:rFonts w:ascii="Arial" w:hAnsi="Arial" w:eastAsia="宋体" w:cs="Arial"/>
          <w:sz w:val="24"/>
          <w:szCs w:val="24"/>
        </w:rPr>
        <w:footnoteReference w:id="12"/>
      </w:r>
      <w:r>
        <w:rPr>
          <w:rFonts w:ascii="Arial" w:hAnsi="Arial" w:eastAsia="宋体" w:cs="Arial"/>
          <w:sz w:val="24"/>
          <w:szCs w:val="24"/>
        </w:rPr>
        <w:t>。此类付款的程度将是SPOOS。</w:t>
      </w:r>
    </w:p>
    <w:p w14:paraId="639CCD41">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C.6</w:t>
      </w:r>
      <w:r>
        <w:rPr>
          <w:rFonts w:hint="eastAsia" w:ascii="Arial" w:hAnsi="Arial" w:eastAsia="宋体" w:cs="Arial"/>
          <w:bCs w:val="0"/>
          <w:sz w:val="24"/>
          <w:szCs w:val="24"/>
        </w:rPr>
        <w:tab/>
      </w:r>
      <w:r>
        <w:rPr>
          <w:rFonts w:ascii="Arial" w:hAnsi="Arial" w:eastAsia="宋体" w:cs="Arial"/>
          <w:bCs w:val="0"/>
          <w:sz w:val="24"/>
          <w:szCs w:val="24"/>
        </w:rPr>
        <w:t>问：在研究过程中累积的美元数额</w:t>
      </w:r>
      <w:r>
        <w:rPr>
          <w:rFonts w:hint="eastAsia" w:ascii="Arial" w:hAnsi="Arial" w:eastAsia="宋体" w:cs="Arial"/>
          <w:bCs w:val="0"/>
          <w:sz w:val="24"/>
          <w:szCs w:val="24"/>
        </w:rPr>
        <w:t>是否</w:t>
      </w:r>
      <w:r>
        <w:rPr>
          <w:rFonts w:ascii="Arial" w:hAnsi="Arial" w:eastAsia="宋体" w:cs="Arial"/>
          <w:bCs w:val="0"/>
          <w:sz w:val="24"/>
          <w:szCs w:val="24"/>
        </w:rPr>
        <w:t>会触发其他种类的巨额款项（SPOOS）报告？还是以每年收到的金额为基础？</w:t>
      </w:r>
    </w:p>
    <w:p w14:paraId="695BEB87">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b/>
          <w:bCs/>
          <w:sz w:val="24"/>
          <w:szCs w:val="24"/>
        </w:rPr>
      </w:pPr>
      <w:r>
        <w:rPr>
          <w:rFonts w:ascii="Arial" w:hAnsi="Arial" w:eastAsia="宋体" w:cs="Arial"/>
          <w:b/>
          <w:sz w:val="24"/>
          <w:szCs w:val="24"/>
        </w:rPr>
        <w:t>答：</w:t>
      </w:r>
      <w:r>
        <w:rPr>
          <w:rFonts w:ascii="Arial" w:hAnsi="Arial" w:eastAsia="宋体" w:cs="Arial"/>
          <w:sz w:val="24"/>
          <w:szCs w:val="24"/>
        </w:rPr>
        <w:t>报告SPOOS的25,000美元</w:t>
      </w:r>
      <w:r>
        <w:rPr>
          <w:rFonts w:hint="eastAsia" w:ascii="Arial" w:hAnsi="Arial" w:eastAsia="宋体" w:cs="Arial"/>
          <w:sz w:val="24"/>
          <w:szCs w:val="24"/>
        </w:rPr>
        <w:t>阈值</w:t>
      </w:r>
      <w:r>
        <w:rPr>
          <w:rFonts w:ascii="Arial" w:hAnsi="Arial" w:eastAsia="宋体" w:cs="Arial"/>
          <w:sz w:val="24"/>
          <w:szCs w:val="24"/>
        </w:rPr>
        <w:t>是根据临床研究者在研究过程中和研究完成后一年内所收到的SPOOS累积金额（包括支付给其配偶和受扶养子女的款项）。</w:t>
      </w:r>
    </w:p>
    <w:p w14:paraId="435E9652">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C.7</w:t>
      </w:r>
      <w:r>
        <w:rPr>
          <w:rFonts w:hint="eastAsia" w:ascii="Arial" w:hAnsi="Arial" w:eastAsia="宋体" w:cs="Arial"/>
          <w:bCs w:val="0"/>
          <w:sz w:val="24"/>
          <w:szCs w:val="24"/>
        </w:rPr>
        <w:tab/>
      </w:r>
      <w:r>
        <w:rPr>
          <w:rFonts w:ascii="Arial" w:hAnsi="Arial" w:eastAsia="宋体" w:cs="Arial"/>
          <w:bCs w:val="0"/>
          <w:sz w:val="24"/>
          <w:szCs w:val="24"/>
        </w:rPr>
        <w:t>问：FDA希望如何收集财务信息？对于公司采用调查问卷来收集研究者的财务信息，而不是建立内部系统来收集和报告这些信息，FDA认为是否可以接受？</w:t>
      </w:r>
    </w:p>
    <w:p w14:paraId="2E66834C">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b/>
          <w:bCs/>
          <w:sz w:val="24"/>
          <w:szCs w:val="24"/>
        </w:rPr>
      </w:pPr>
      <w:r>
        <w:rPr>
          <w:rFonts w:ascii="Arial" w:hAnsi="Arial" w:eastAsia="宋体" w:cs="Arial"/>
          <w:b/>
          <w:sz w:val="24"/>
          <w:szCs w:val="24"/>
        </w:rPr>
        <w:t>答：</w:t>
      </w:r>
      <w:r>
        <w:rPr>
          <w:rFonts w:ascii="Arial" w:hAnsi="Arial" w:eastAsia="宋体" w:cs="Arial"/>
          <w:sz w:val="24"/>
          <w:szCs w:val="24"/>
        </w:rPr>
        <w:t>FDA法规中没有规定收集研究者财务信息的特定方法。申办方/申请人可以灵活地以最有效和负担最小化的方式收集信息，使其可以完整而准确地证明和披露。可以酌情使用由临床研究者完成的调查问卷和/或已经向申办方提供的信息。FDA未要求申办方建立精细化的系统去收集和跟踪财务信息。</w:t>
      </w:r>
    </w:p>
    <w:p w14:paraId="5057DABA">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sz w:val="24"/>
          <w:szCs w:val="24"/>
        </w:rPr>
        <w:t>如果申办方计划使用调查问卷来收集研究者的财务信息，FDA建议制定适合于此目的的表格。FDA 3455表旨在让申请人将其从临床研究者</w:t>
      </w:r>
      <w:r>
        <w:rPr>
          <w:rFonts w:hint="eastAsia" w:ascii="Arial" w:hAnsi="Arial" w:eastAsia="宋体" w:cs="Arial"/>
          <w:sz w:val="24"/>
          <w:szCs w:val="24"/>
        </w:rPr>
        <w:t>处</w:t>
      </w:r>
      <w:r>
        <w:rPr>
          <w:rFonts w:ascii="Arial" w:hAnsi="Arial" w:eastAsia="宋体" w:cs="Arial"/>
          <w:sz w:val="24"/>
          <w:szCs w:val="24"/>
        </w:rPr>
        <w:t>收集的财务信息报告给FDA，该表格中未包括使临床研究者了解提供财务信息所需的背景信息。</w:t>
      </w:r>
    </w:p>
    <w:p w14:paraId="58E6E94E">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45B20015">
      <w:pPr>
        <w:spacing w:after="0" w:line="240" w:lineRule="auto"/>
        <w:rPr>
          <w:rFonts w:ascii="Arial" w:hAnsi="Arial" w:eastAsia="宋体" w:cs="Arial"/>
          <w:kern w:val="2"/>
          <w:sz w:val="24"/>
          <w:szCs w:val="24"/>
        </w:rPr>
      </w:pPr>
      <w:r>
        <w:rPr>
          <w:rFonts w:ascii="Arial" w:hAnsi="Arial" w:eastAsia="宋体" w:cs="Arial"/>
          <w:sz w:val="24"/>
          <w:szCs w:val="24"/>
        </w:rPr>
        <w:br w:type="page"/>
      </w:r>
    </w:p>
    <w:p w14:paraId="37169645">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sz w:val="24"/>
          <w:szCs w:val="24"/>
        </w:rPr>
        <w:t>例如，没有适用于研究者配偶及受抚养子女的报告要求的说明（如同对于研究者的说明一样）；没有关于美元数额触发股权报告或SPOOS的信息；也没有研究者必须报告经济利益和协议的详细声明，不仅声明，例如对大于50,000美元的股权报告。此外，如果财务披露涉及了多个申办方，研究者应该向每个申办方分别报告触发报告的美元金额。应向临床研究者提供此类说明资料，以确保所收集的财务披露信息尽可能地准确和完整。请参见</w:t>
      </w:r>
      <w:r>
        <w:rPr>
          <w:rFonts w:ascii="Arial" w:hAnsi="Arial" w:eastAsia="宋体" w:cs="Arial"/>
          <w:sz w:val="24"/>
          <w:szCs w:val="24"/>
          <w:u w:val="single"/>
        </w:rPr>
        <w:t>附录</w:t>
      </w:r>
      <w:r>
        <w:rPr>
          <w:rFonts w:ascii="Arial" w:hAnsi="Arial" w:eastAsia="宋体" w:cs="Arial"/>
          <w:sz w:val="24"/>
          <w:szCs w:val="24"/>
        </w:rPr>
        <w:t>，了解收集临床研究者财务信息的注意事项。</w:t>
      </w:r>
    </w:p>
    <w:p w14:paraId="11D9714E">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C.8</w:t>
      </w:r>
      <w:r>
        <w:rPr>
          <w:rFonts w:hint="eastAsia" w:ascii="Arial" w:hAnsi="Arial" w:eastAsia="宋体" w:cs="Arial"/>
          <w:bCs w:val="0"/>
          <w:sz w:val="24"/>
          <w:szCs w:val="24"/>
        </w:rPr>
        <w:tab/>
      </w:r>
      <w:r>
        <w:rPr>
          <w:rFonts w:ascii="Arial" w:hAnsi="Arial" w:eastAsia="宋体" w:cs="Arial"/>
          <w:bCs w:val="0"/>
          <w:sz w:val="24"/>
          <w:szCs w:val="24"/>
        </w:rPr>
        <w:t>问：该法规要求研究者在研究过程中和研究完成后一年内提供有关经济利益和协议的信息（见21 CFR§54.4（b））。</w:t>
      </w:r>
      <w:r>
        <w:rPr>
          <w:rFonts w:ascii="宋体" w:hAnsi="宋体" w:eastAsia="宋体" w:cs="Arial"/>
          <w:bCs w:val="0"/>
          <w:sz w:val="24"/>
          <w:szCs w:val="24"/>
        </w:rPr>
        <w:t>“</w:t>
      </w:r>
      <w:r>
        <w:rPr>
          <w:rFonts w:ascii="Arial" w:hAnsi="Arial" w:eastAsia="宋体" w:cs="Arial"/>
          <w:bCs w:val="0"/>
          <w:sz w:val="24"/>
          <w:szCs w:val="24"/>
        </w:rPr>
        <w:t>在研究过程中</w:t>
      </w:r>
      <w:r>
        <w:rPr>
          <w:rFonts w:cs="Arial" w:asciiTheme="majorEastAsia" w:hAnsiTheme="majorEastAsia" w:eastAsiaTheme="majorEastAsia"/>
          <w:bCs w:val="0"/>
          <w:sz w:val="24"/>
          <w:szCs w:val="24"/>
        </w:rPr>
        <w:t>”</w:t>
      </w:r>
      <w:r>
        <w:rPr>
          <w:rFonts w:ascii="Arial" w:hAnsi="Arial" w:eastAsia="宋体" w:cs="Arial"/>
          <w:bCs w:val="0"/>
          <w:sz w:val="24"/>
          <w:szCs w:val="24"/>
        </w:rPr>
        <w:t xml:space="preserve">是什么意思？ </w:t>
      </w:r>
      <w:r>
        <w:rPr>
          <w:rFonts w:ascii="宋体" w:hAnsi="宋体" w:eastAsia="宋体" w:cs="Arial"/>
          <w:bCs w:val="0"/>
          <w:sz w:val="24"/>
          <w:szCs w:val="24"/>
        </w:rPr>
        <w:t>“</w:t>
      </w:r>
      <w:r>
        <w:rPr>
          <w:rFonts w:ascii="Arial" w:hAnsi="Arial" w:eastAsia="宋体" w:cs="Arial"/>
          <w:bCs w:val="0"/>
          <w:sz w:val="24"/>
          <w:szCs w:val="24"/>
        </w:rPr>
        <w:t>完成研究</w:t>
      </w:r>
      <w:r>
        <w:rPr>
          <w:rFonts w:cs="Arial" w:asciiTheme="majorEastAsia" w:hAnsiTheme="majorEastAsia" w:eastAsiaTheme="majorEastAsia"/>
          <w:bCs w:val="0"/>
          <w:sz w:val="24"/>
          <w:szCs w:val="24"/>
        </w:rPr>
        <w:t>”</w:t>
      </w:r>
      <w:r>
        <w:rPr>
          <w:rFonts w:ascii="Arial" w:hAnsi="Arial" w:eastAsia="宋体" w:cs="Arial"/>
          <w:bCs w:val="0"/>
          <w:sz w:val="24"/>
          <w:szCs w:val="24"/>
        </w:rPr>
        <w:t>是什么意思？</w:t>
      </w:r>
    </w:p>
    <w:p w14:paraId="06E35152">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宋体" w:hAnsi="宋体" w:eastAsia="宋体" w:cs="Arial"/>
          <w:sz w:val="24"/>
          <w:szCs w:val="24"/>
        </w:rPr>
        <w:t>“</w:t>
      </w:r>
      <w:r>
        <w:rPr>
          <w:rFonts w:ascii="Arial" w:hAnsi="Arial" w:eastAsia="宋体" w:cs="Arial"/>
          <w:sz w:val="24"/>
          <w:szCs w:val="24"/>
        </w:rPr>
        <w:t>在研究过程中</w:t>
      </w:r>
      <w:r>
        <w:rPr>
          <w:rFonts w:cs="Arial" w:asciiTheme="majorEastAsia" w:hAnsiTheme="majorEastAsia" w:eastAsiaTheme="majorEastAsia"/>
          <w:sz w:val="24"/>
          <w:szCs w:val="24"/>
        </w:rPr>
        <w:t>”</w:t>
      </w:r>
      <w:r>
        <w:rPr>
          <w:rFonts w:ascii="Arial" w:hAnsi="Arial" w:eastAsia="宋体" w:cs="Arial"/>
          <w:sz w:val="24"/>
          <w:szCs w:val="24"/>
        </w:rPr>
        <w:t>是指从临床研究者与申办方签署研究协议之日起直到研究完成的时间。</w:t>
      </w:r>
      <w:r>
        <w:rPr>
          <w:rFonts w:hint="eastAsia" w:ascii="Arial" w:hAnsi="Arial" w:eastAsia="宋体" w:cs="Arial"/>
          <w:sz w:val="24"/>
          <w:szCs w:val="24"/>
        </w:rPr>
        <w:t>基于</w:t>
      </w:r>
      <w:r>
        <w:rPr>
          <w:rFonts w:ascii="Arial" w:hAnsi="Arial" w:eastAsia="宋体" w:cs="Arial"/>
          <w:sz w:val="24"/>
          <w:szCs w:val="24"/>
        </w:rPr>
        <w:t>按照第54</w:t>
      </w:r>
      <w:r>
        <w:rPr>
          <w:rFonts w:hint="eastAsia" w:ascii="Arial" w:hAnsi="Arial" w:eastAsia="宋体" w:cs="Arial"/>
          <w:sz w:val="24"/>
          <w:szCs w:val="24"/>
        </w:rPr>
        <w:t>部分</w:t>
      </w:r>
      <w:r>
        <w:rPr>
          <w:rFonts w:ascii="Arial" w:hAnsi="Arial" w:eastAsia="宋体" w:cs="Arial"/>
          <w:sz w:val="24"/>
          <w:szCs w:val="24"/>
        </w:rPr>
        <w:t>财务披露的目的，完成研究指的是所有研究受试者均已入组，并且根据临床方案已经完成了所有受试者的主要终点数据的随访。许多研究不止一个阶段（例如，研究可能有短期终点和长期随访阶段）。此处的</w:t>
      </w:r>
      <w:r>
        <w:rPr>
          <w:rFonts w:ascii="宋体" w:hAnsi="宋体" w:eastAsia="宋体" w:cs="Arial"/>
          <w:sz w:val="24"/>
          <w:szCs w:val="24"/>
        </w:rPr>
        <w:t>“</w:t>
      </w:r>
      <w:r>
        <w:rPr>
          <w:rFonts w:ascii="Arial" w:hAnsi="Arial" w:eastAsia="宋体" w:cs="Arial"/>
          <w:sz w:val="24"/>
          <w:szCs w:val="24"/>
        </w:rPr>
        <w:t>完成研究</w:t>
      </w:r>
      <w:r>
        <w:rPr>
          <w:rFonts w:cs="Arial" w:asciiTheme="majorEastAsia" w:hAnsiTheme="majorEastAsia" w:eastAsiaTheme="majorEastAsia"/>
          <w:sz w:val="24"/>
          <w:szCs w:val="24"/>
        </w:rPr>
        <w:t>”</w:t>
      </w:r>
      <w:r>
        <w:rPr>
          <w:rFonts w:ascii="Arial" w:hAnsi="Arial" w:eastAsia="宋体" w:cs="Arial"/>
          <w:sz w:val="24"/>
          <w:szCs w:val="24"/>
        </w:rPr>
        <w:t>是指在申请中提交的研究部分。如果是基于长期数据的后续申请，研究的完成则定义为长期随访数据的完成。申请人在提交申请后不需要向FDA提交更新的财务信息，但申请人必须保留完整的记录（21 CFR§54.6）。如果有多个研究中心，申办方可以考虑在最后一个研究中心完成时认为是</w:t>
      </w:r>
      <w:r>
        <w:rPr>
          <w:rFonts w:ascii="宋体" w:hAnsi="宋体" w:eastAsia="宋体" w:cs="Arial"/>
          <w:sz w:val="24"/>
          <w:szCs w:val="24"/>
        </w:rPr>
        <w:t>“</w:t>
      </w:r>
      <w:r>
        <w:rPr>
          <w:rFonts w:ascii="Arial" w:hAnsi="Arial" w:eastAsia="宋体" w:cs="Arial"/>
          <w:sz w:val="24"/>
          <w:szCs w:val="24"/>
        </w:rPr>
        <w:t>完成研究</w:t>
      </w:r>
      <w:r>
        <w:rPr>
          <w:rFonts w:cs="Arial" w:asciiTheme="majorEastAsia" w:hAnsiTheme="majorEastAsia" w:eastAsiaTheme="majorEastAsia"/>
          <w:sz w:val="24"/>
          <w:szCs w:val="24"/>
        </w:rPr>
        <w:t>”</w:t>
      </w:r>
      <w:r>
        <w:rPr>
          <w:rFonts w:ascii="Arial" w:hAnsi="Arial" w:eastAsia="宋体" w:cs="Arial"/>
          <w:sz w:val="24"/>
          <w:szCs w:val="24"/>
        </w:rPr>
        <w:t>，或者可以考虑每个研究中心各自</w:t>
      </w:r>
      <w:r>
        <w:rPr>
          <w:rFonts w:ascii="宋体" w:hAnsi="宋体" w:eastAsia="宋体" w:cs="Arial"/>
          <w:sz w:val="24"/>
          <w:szCs w:val="24"/>
        </w:rPr>
        <w:t>“</w:t>
      </w:r>
      <w:r>
        <w:rPr>
          <w:rFonts w:ascii="Arial" w:hAnsi="Arial" w:eastAsia="宋体" w:cs="Arial"/>
          <w:sz w:val="24"/>
          <w:szCs w:val="24"/>
        </w:rPr>
        <w:t>完成研究</w:t>
      </w:r>
      <w:r>
        <w:rPr>
          <w:rFonts w:cs="Arial" w:asciiTheme="majorEastAsia" w:hAnsiTheme="majorEastAsia" w:eastAsiaTheme="majorEastAsia"/>
          <w:sz w:val="24"/>
          <w:szCs w:val="24"/>
        </w:rPr>
        <w:t>”</w:t>
      </w:r>
      <w:r>
        <w:rPr>
          <w:rFonts w:ascii="Arial" w:hAnsi="Arial" w:eastAsia="宋体" w:cs="Arial"/>
          <w:sz w:val="24"/>
          <w:szCs w:val="24"/>
        </w:rPr>
        <w:t>。</w:t>
      </w:r>
    </w:p>
    <w:p w14:paraId="02D6B25C">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C.9</w:t>
      </w:r>
      <w:r>
        <w:rPr>
          <w:rFonts w:hint="eastAsia" w:ascii="Arial" w:hAnsi="Arial" w:eastAsia="宋体" w:cs="Arial"/>
          <w:sz w:val="24"/>
          <w:szCs w:val="24"/>
        </w:rPr>
        <w:tab/>
      </w:r>
      <w:r>
        <w:rPr>
          <w:rFonts w:ascii="Arial" w:hAnsi="Arial" w:eastAsia="宋体" w:cs="Arial"/>
          <w:sz w:val="24"/>
          <w:szCs w:val="24"/>
        </w:rPr>
        <w:t>问：如果申办方在研究过程中或完成研究后一年内发生变化，例如通过收购或兼并，该</w:t>
      </w:r>
      <w:r>
        <w:rPr>
          <w:rFonts w:ascii="Arial" w:hAnsi="Arial" w:eastAsia="宋体" w:cs="Arial"/>
          <w:bCs w:val="0"/>
          <w:sz w:val="24"/>
          <w:szCs w:val="24"/>
        </w:rPr>
        <w:t>怎么办</w:t>
      </w:r>
      <w:r>
        <w:rPr>
          <w:rFonts w:ascii="Arial" w:hAnsi="Arial" w:eastAsia="宋体" w:cs="Arial"/>
          <w:sz w:val="24"/>
          <w:szCs w:val="24"/>
        </w:rPr>
        <w:t>？</w:t>
      </w:r>
    </w:p>
    <w:p w14:paraId="1DED60E5">
      <w:pPr>
        <w:pStyle w:val="50"/>
        <w:shd w:val="clear" w:color="auto" w:fill="auto"/>
        <w:overflowPunct w:val="0"/>
        <w:adjustRightInd w:val="0"/>
        <w:snapToGrid w:val="0"/>
        <w:spacing w:before="0" w:after="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w:t>
      </w:r>
      <w:r>
        <w:rPr>
          <w:rFonts w:hint="eastAsia" w:ascii="Arial" w:hAnsi="Arial" w:eastAsia="宋体" w:cs="Arial"/>
          <w:sz w:val="24"/>
          <w:szCs w:val="24"/>
        </w:rPr>
        <w:t>机构</w:t>
      </w:r>
      <w:r>
        <w:rPr>
          <w:rFonts w:ascii="Arial" w:hAnsi="Arial" w:eastAsia="宋体" w:cs="Arial"/>
          <w:sz w:val="24"/>
          <w:szCs w:val="24"/>
        </w:rPr>
        <w:t>的法规要求IND/IDE申办方收集所有临床研究者的财务信息，如果在研究过程中和研究完成后一年内发生任何相关变化，临床研究者应及时更新此信息（21 CFR§§54.4</w:t>
      </w:r>
      <w:r>
        <w:rPr>
          <w:rFonts w:hint="eastAsia" w:ascii="Arial" w:hAnsi="Arial" w:eastAsia="宋体" w:cs="Arial"/>
          <w:sz w:val="24"/>
          <w:szCs w:val="24"/>
        </w:rPr>
        <w:t>、</w:t>
      </w:r>
      <w:r>
        <w:rPr>
          <w:rFonts w:ascii="Arial" w:hAnsi="Arial" w:eastAsia="宋体" w:cs="Arial"/>
          <w:sz w:val="24"/>
          <w:szCs w:val="24"/>
        </w:rPr>
        <w:t>312.53（c）（4）</w:t>
      </w:r>
      <w:r>
        <w:rPr>
          <w:rFonts w:hint="eastAsia" w:ascii="Arial" w:hAnsi="Arial" w:eastAsia="宋体" w:cs="Arial"/>
          <w:sz w:val="24"/>
          <w:szCs w:val="24"/>
        </w:rPr>
        <w:t>、</w:t>
      </w:r>
      <w:r>
        <w:rPr>
          <w:rFonts w:ascii="Arial" w:hAnsi="Arial" w:eastAsia="宋体" w:cs="Arial"/>
          <w:sz w:val="24"/>
          <w:szCs w:val="24"/>
        </w:rPr>
        <w:t>312.64（d）</w:t>
      </w:r>
      <w:r>
        <w:rPr>
          <w:rFonts w:hint="eastAsia" w:ascii="Arial" w:hAnsi="Arial" w:eastAsia="宋体" w:cs="Arial"/>
          <w:sz w:val="24"/>
          <w:szCs w:val="24"/>
        </w:rPr>
        <w:t>、</w:t>
      </w:r>
      <w:r>
        <w:rPr>
          <w:rFonts w:ascii="Arial" w:hAnsi="Arial" w:eastAsia="宋体" w:cs="Arial"/>
          <w:sz w:val="24"/>
          <w:szCs w:val="24"/>
        </w:rPr>
        <w:t>812.43（c）（5）和812.110（d））。因此，如果研究申办方在研究过程中发生变化，临床研究者应对新申办方更新其相关的财务披露信息。新申办方负责收集这些信息，以确保新申办方有完整的财务披露信息，新申办方应该从原申办方处寻求这些信息，而且</w:t>
      </w:r>
      <w:r>
        <w:rPr>
          <w:rFonts w:hint="eastAsia" w:ascii="Arial" w:hAnsi="Arial" w:eastAsia="宋体" w:cs="Arial"/>
          <w:sz w:val="24"/>
          <w:szCs w:val="24"/>
        </w:rPr>
        <w:t>机构</w:t>
      </w:r>
      <w:r>
        <w:rPr>
          <w:rFonts w:ascii="Arial" w:hAnsi="Arial" w:eastAsia="宋体" w:cs="Arial"/>
          <w:sz w:val="24"/>
          <w:szCs w:val="24"/>
        </w:rPr>
        <w:t>鼓励原申办方与新申办方分享他们的记录。</w:t>
      </w:r>
    </w:p>
    <w:p w14:paraId="763D772F">
      <w:pPr>
        <w:overflowPunct w:val="0"/>
        <w:snapToGrid w:val="0"/>
        <w:spacing w:after="50" w:line="300" w:lineRule="auto"/>
        <w:jc w:val="both"/>
        <w:rPr>
          <w:rFonts w:ascii="Arial" w:hAnsi="Arial" w:eastAsia="宋体" w:cs="Arial"/>
          <w:kern w:val="2"/>
          <w:sz w:val="24"/>
          <w:szCs w:val="24"/>
        </w:rPr>
      </w:pPr>
      <w:r>
        <w:rPr>
          <w:rFonts w:ascii="Arial" w:hAnsi="Arial" w:eastAsia="宋体" w:cs="Arial"/>
          <w:sz w:val="24"/>
          <w:szCs w:val="24"/>
        </w:rPr>
        <w:br w:type="page"/>
      </w:r>
    </w:p>
    <w:p w14:paraId="4C04CF65">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关于并非按照IND或IDE程序、在美国以外进行的涉及的临床研究（例如根据§312.120或§814.15提交的研究），</w:t>
      </w:r>
      <w:r>
        <w:rPr>
          <w:rFonts w:hint="eastAsia" w:ascii="Arial" w:hAnsi="Arial" w:eastAsia="宋体" w:cs="Arial"/>
          <w:sz w:val="24"/>
          <w:szCs w:val="24"/>
        </w:rPr>
        <w:t>机构</w:t>
      </w:r>
      <w:r>
        <w:rPr>
          <w:rFonts w:ascii="Arial" w:hAnsi="Arial" w:eastAsia="宋体" w:cs="Arial"/>
          <w:sz w:val="24"/>
          <w:szCs w:val="24"/>
        </w:rPr>
        <w:t>希望申请人尽早采取积极措施了解此类信息的收集情况并</w:t>
      </w:r>
      <w:r>
        <w:rPr>
          <w:rFonts w:hint="eastAsia" w:ascii="Arial" w:hAnsi="Arial" w:eastAsia="宋体" w:cs="Arial"/>
          <w:sz w:val="24"/>
          <w:szCs w:val="24"/>
        </w:rPr>
        <w:t>根据第54部分进行</w:t>
      </w:r>
      <w:r>
        <w:rPr>
          <w:rFonts w:ascii="Arial" w:hAnsi="Arial" w:eastAsia="宋体" w:cs="Arial"/>
          <w:sz w:val="24"/>
          <w:szCs w:val="24"/>
        </w:rPr>
        <w:t>完整的披露和/或</w:t>
      </w:r>
      <w:r>
        <w:rPr>
          <w:rFonts w:hint="eastAsia" w:ascii="Arial" w:hAnsi="Arial" w:eastAsia="宋体" w:cs="Arial"/>
          <w:sz w:val="24"/>
          <w:szCs w:val="24"/>
        </w:rPr>
        <w:t>认证</w:t>
      </w:r>
      <w:r>
        <w:rPr>
          <w:rFonts w:ascii="Arial" w:hAnsi="Arial" w:eastAsia="宋体" w:cs="Arial"/>
          <w:sz w:val="24"/>
          <w:szCs w:val="24"/>
        </w:rPr>
        <w:t>。</w:t>
      </w:r>
    </w:p>
    <w:p w14:paraId="09B77C91">
      <w:pPr>
        <w:pStyle w:val="44"/>
        <w:numPr>
          <w:ilvl w:val="0"/>
          <w:numId w:val="5"/>
        </w:numPr>
        <w:shd w:val="clear" w:color="auto" w:fill="auto"/>
        <w:overflowPunct w:val="0"/>
        <w:snapToGrid w:val="0"/>
        <w:spacing w:after="156" w:afterLines="50" w:line="360" w:lineRule="auto"/>
        <w:ind w:left="357" w:hanging="357"/>
        <w:jc w:val="both"/>
        <w:outlineLvl w:val="1"/>
        <w:rPr>
          <w:rFonts w:ascii="Arial" w:hAnsi="Arial" w:eastAsia="宋体" w:cs="Arial"/>
          <w:sz w:val="24"/>
          <w:szCs w:val="24"/>
        </w:rPr>
      </w:pPr>
      <w:bookmarkStart w:id="19" w:name="_Toc496025805"/>
      <w:r>
        <w:rPr>
          <w:rFonts w:ascii="Arial" w:hAnsi="Arial" w:eastAsia="宋体" w:cs="Arial"/>
          <w:sz w:val="24"/>
          <w:szCs w:val="24"/>
        </w:rPr>
        <w:t>临床研究者</w:t>
      </w:r>
      <w:bookmarkEnd w:id="19"/>
    </w:p>
    <w:p w14:paraId="0C9F8A6E">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D.1</w:t>
      </w:r>
      <w:r>
        <w:rPr>
          <w:rFonts w:hint="eastAsia" w:ascii="Arial" w:hAnsi="Arial" w:eastAsia="宋体" w:cs="Arial"/>
          <w:sz w:val="24"/>
          <w:szCs w:val="24"/>
        </w:rPr>
        <w:tab/>
      </w:r>
      <w:r>
        <w:rPr>
          <w:rFonts w:ascii="Arial" w:hAnsi="Arial" w:eastAsia="宋体" w:cs="Arial"/>
          <w:sz w:val="24"/>
          <w:szCs w:val="24"/>
        </w:rPr>
        <w:t>问：被定义为</w:t>
      </w:r>
      <w:r>
        <w:rPr>
          <w:rFonts w:ascii="宋体" w:hAnsi="宋体" w:eastAsia="宋体" w:cs="Arial"/>
          <w:sz w:val="24"/>
          <w:szCs w:val="24"/>
        </w:rPr>
        <w:t>“</w:t>
      </w:r>
      <w:r>
        <w:rPr>
          <w:rFonts w:ascii="Arial" w:hAnsi="Arial" w:eastAsia="宋体" w:cs="Arial"/>
          <w:sz w:val="24"/>
          <w:szCs w:val="24"/>
        </w:rPr>
        <w:t>临床研究者</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的对象是</w:t>
      </w:r>
      <w:r>
        <w:rPr>
          <w:rFonts w:ascii="Arial" w:hAnsi="Arial" w:eastAsia="宋体" w:cs="Arial"/>
          <w:sz w:val="24"/>
          <w:szCs w:val="24"/>
        </w:rPr>
        <w:t>？</w:t>
      </w:r>
    </w:p>
    <w:p w14:paraId="5FCC1767">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根据第54</w:t>
      </w:r>
      <w:r>
        <w:rPr>
          <w:rFonts w:hint="eastAsia" w:ascii="Arial" w:hAnsi="Arial" w:eastAsia="宋体" w:cs="Arial"/>
          <w:sz w:val="24"/>
          <w:szCs w:val="24"/>
        </w:rPr>
        <w:t>部分</w:t>
      </w:r>
      <w:r>
        <w:rPr>
          <w:rFonts w:ascii="Arial" w:hAnsi="Arial" w:eastAsia="宋体" w:cs="Arial"/>
          <w:sz w:val="24"/>
          <w:szCs w:val="24"/>
        </w:rPr>
        <w:t>，</w:t>
      </w:r>
      <w:r>
        <w:rPr>
          <w:rFonts w:ascii="宋体" w:hAnsi="宋体" w:eastAsia="宋体" w:cs="Arial"/>
          <w:sz w:val="24"/>
          <w:szCs w:val="24"/>
        </w:rPr>
        <w:t>“</w:t>
      </w:r>
      <w:r>
        <w:rPr>
          <w:rFonts w:ascii="Arial" w:hAnsi="Arial" w:eastAsia="宋体" w:cs="Arial"/>
          <w:sz w:val="24"/>
          <w:szCs w:val="24"/>
        </w:rPr>
        <w:t>临床研究者仅指直接参与对研究受试者进行治疗或评估、列</w:t>
      </w:r>
      <w:r>
        <w:rPr>
          <w:rFonts w:hint="eastAsia" w:ascii="Arial" w:hAnsi="Arial" w:eastAsia="宋体" w:cs="Arial"/>
          <w:sz w:val="24"/>
          <w:szCs w:val="24"/>
        </w:rPr>
        <w:t>出</w:t>
      </w:r>
      <w:r>
        <w:rPr>
          <w:rFonts w:ascii="Arial" w:hAnsi="Arial" w:eastAsia="宋体" w:cs="Arial"/>
          <w:sz w:val="24"/>
          <w:szCs w:val="24"/>
        </w:rPr>
        <w:t>或确定的研究者或次要研究者</w:t>
      </w:r>
      <w:r>
        <w:rPr>
          <w:rFonts w:cs="Arial" w:asciiTheme="majorEastAsia" w:hAnsiTheme="majorEastAsia" w:eastAsiaTheme="majorEastAsia"/>
          <w:sz w:val="24"/>
          <w:szCs w:val="24"/>
        </w:rPr>
        <w:t>”</w:t>
      </w:r>
      <w:r>
        <w:rPr>
          <w:rFonts w:ascii="Arial" w:hAnsi="Arial" w:eastAsia="宋体" w:cs="Arial"/>
          <w:sz w:val="24"/>
          <w:szCs w:val="24"/>
        </w:rPr>
        <w:t>（21 CFR§54.2（d））。该定义旨在确定需要根据本条例进行报告的个人。一般来说，这些人被认为是在给定的研究中心负责研究的研究者和次要研究者。该定义还包括了该研究者或次要研究者的配偶和每名受</w:t>
      </w:r>
      <w:r>
        <w:rPr>
          <w:rFonts w:hint="eastAsia" w:ascii="Arial" w:hAnsi="Arial" w:eastAsia="宋体" w:cs="Arial"/>
          <w:sz w:val="24"/>
          <w:szCs w:val="24"/>
        </w:rPr>
        <w:t>抚养</w:t>
      </w:r>
      <w:r>
        <w:rPr>
          <w:rFonts w:ascii="Arial" w:hAnsi="Arial" w:eastAsia="宋体" w:cs="Arial"/>
          <w:sz w:val="24"/>
          <w:szCs w:val="24"/>
        </w:rPr>
        <w:t>子女。</w:t>
      </w:r>
    </w:p>
    <w:p w14:paraId="0F287EEA">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应该注意的是，临床研究者的定义不包括医院工作人员，含护士、住院医生、研究员和办公室工作人员，其提供辅助或间歇性护理，但不对数据产生直接和重要的贡献。另外，只收集标本或进行常规检查（如血压</w:t>
      </w:r>
      <w:r>
        <w:rPr>
          <w:rFonts w:hint="eastAsia" w:ascii="Arial" w:hAnsi="Arial" w:eastAsia="宋体" w:cs="Arial"/>
          <w:sz w:val="24"/>
          <w:szCs w:val="24"/>
        </w:rPr>
        <w:t>、</w:t>
      </w:r>
      <w:r>
        <w:rPr>
          <w:rFonts w:ascii="Arial" w:hAnsi="Arial" w:eastAsia="宋体" w:cs="Arial"/>
          <w:sz w:val="24"/>
          <w:szCs w:val="24"/>
        </w:rPr>
        <w:t>EKG</w:t>
      </w:r>
      <w:r>
        <w:rPr>
          <w:rFonts w:hint="eastAsia" w:ascii="Arial" w:hAnsi="Arial" w:eastAsia="宋体" w:cs="Arial"/>
          <w:sz w:val="24"/>
          <w:szCs w:val="24"/>
        </w:rPr>
        <w:t>、X</w:t>
      </w:r>
      <w:r>
        <w:rPr>
          <w:rFonts w:ascii="Arial" w:hAnsi="Arial" w:eastAsia="宋体" w:cs="Arial"/>
          <w:sz w:val="24"/>
          <w:szCs w:val="24"/>
        </w:rPr>
        <w:t>射线）的人员，并不纳入以财务披露为目的而定义的临床研究者。</w:t>
      </w:r>
    </w:p>
    <w:p w14:paraId="27B619FD">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D.2</w:t>
      </w:r>
      <w:r>
        <w:rPr>
          <w:rFonts w:hint="eastAsia" w:ascii="Arial" w:hAnsi="Arial" w:eastAsia="宋体" w:cs="Arial"/>
          <w:sz w:val="24"/>
          <w:szCs w:val="24"/>
        </w:rPr>
        <w:tab/>
      </w:r>
      <w:r>
        <w:rPr>
          <w:rFonts w:ascii="Arial" w:hAnsi="Arial" w:eastAsia="宋体" w:cs="Arial"/>
          <w:sz w:val="24"/>
          <w:szCs w:val="24"/>
        </w:rPr>
        <w:t>问：财务披露条例 （21 CFR第54</w:t>
      </w:r>
      <w:r>
        <w:rPr>
          <w:rFonts w:hint="eastAsia" w:ascii="Arial" w:hAnsi="Arial" w:eastAsia="宋体" w:cs="Arial"/>
          <w:sz w:val="24"/>
          <w:szCs w:val="24"/>
        </w:rPr>
        <w:t>部分</w:t>
      </w:r>
      <w:r>
        <w:rPr>
          <w:rFonts w:ascii="Arial" w:hAnsi="Arial" w:eastAsia="宋体" w:cs="Arial"/>
          <w:sz w:val="24"/>
          <w:szCs w:val="24"/>
        </w:rPr>
        <w:t>）中</w:t>
      </w:r>
      <w:r>
        <w:rPr>
          <w:rFonts w:ascii="宋体" w:hAnsi="宋体" w:eastAsia="宋体" w:cs="Arial"/>
          <w:sz w:val="24"/>
          <w:szCs w:val="24"/>
        </w:rPr>
        <w:t>“</w:t>
      </w:r>
      <w:r>
        <w:rPr>
          <w:rFonts w:ascii="Arial" w:hAnsi="Arial" w:eastAsia="宋体" w:cs="Arial"/>
          <w:sz w:val="24"/>
          <w:szCs w:val="24"/>
        </w:rPr>
        <w:t>临床研究者</w:t>
      </w:r>
      <w:r>
        <w:rPr>
          <w:rFonts w:cs="Arial" w:asciiTheme="majorEastAsia" w:hAnsiTheme="majorEastAsia" w:eastAsiaTheme="majorEastAsia"/>
          <w:sz w:val="24"/>
          <w:szCs w:val="24"/>
        </w:rPr>
        <w:t>”</w:t>
      </w:r>
      <w:r>
        <w:rPr>
          <w:rFonts w:ascii="Arial" w:hAnsi="Arial" w:eastAsia="宋体" w:cs="Arial"/>
          <w:sz w:val="24"/>
          <w:szCs w:val="24"/>
        </w:rPr>
        <w:t>的定义与IND条例（21 CFR第312</w:t>
      </w:r>
      <w:r>
        <w:rPr>
          <w:rFonts w:hint="eastAsia" w:ascii="Arial" w:hAnsi="Arial" w:eastAsia="宋体" w:cs="Arial"/>
          <w:sz w:val="24"/>
          <w:szCs w:val="24"/>
        </w:rPr>
        <w:t>部分</w:t>
      </w:r>
      <w:r>
        <w:rPr>
          <w:rFonts w:ascii="Arial" w:hAnsi="Arial" w:eastAsia="宋体" w:cs="Arial"/>
          <w:sz w:val="24"/>
          <w:szCs w:val="24"/>
        </w:rPr>
        <w:t>）中的定义有何相关性？</w:t>
      </w:r>
    </w:p>
    <w:p w14:paraId="13E8F142">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对于药品和生物制剂，根据21 CFR第312</w:t>
      </w:r>
      <w:r>
        <w:rPr>
          <w:rFonts w:hint="eastAsia" w:ascii="Arial" w:hAnsi="Arial" w:eastAsia="宋体" w:cs="Arial"/>
          <w:sz w:val="24"/>
          <w:szCs w:val="24"/>
        </w:rPr>
        <w:t>部分</w:t>
      </w:r>
      <w:r>
        <w:rPr>
          <w:rFonts w:ascii="Arial" w:hAnsi="Arial" w:eastAsia="宋体" w:cs="Arial"/>
          <w:sz w:val="24"/>
          <w:szCs w:val="24"/>
        </w:rPr>
        <w:t>，研究者定义为</w:t>
      </w:r>
      <w:r>
        <w:rPr>
          <w:rFonts w:ascii="宋体" w:hAnsi="宋体" w:eastAsia="宋体" w:cs="Arial"/>
          <w:sz w:val="24"/>
          <w:szCs w:val="24"/>
        </w:rPr>
        <w:t>“</w:t>
      </w:r>
      <w:r>
        <w:rPr>
          <w:rFonts w:ascii="Arial" w:hAnsi="Arial" w:eastAsia="宋体" w:cs="Arial"/>
          <w:sz w:val="24"/>
          <w:szCs w:val="24"/>
        </w:rPr>
        <w:t>实际进行临床研究的个人（即在其直接主导下，对受试者进行给药或发药）。如果是一个团队进行研究，则研究者是该团队的负责人。‘次要研究者’包括该团队的其他各名成员</w:t>
      </w:r>
      <w:r>
        <w:rPr>
          <w:rFonts w:cs="Arial" w:asciiTheme="majorEastAsia" w:hAnsiTheme="majorEastAsia" w:eastAsiaTheme="majorEastAsia"/>
          <w:sz w:val="24"/>
          <w:szCs w:val="24"/>
        </w:rPr>
        <w:t>”</w:t>
      </w:r>
      <w:r>
        <w:rPr>
          <w:rFonts w:ascii="Arial" w:hAnsi="Arial" w:eastAsia="宋体" w:cs="Arial"/>
          <w:sz w:val="24"/>
          <w:szCs w:val="24"/>
        </w:rPr>
        <w:t>（21 CFR§312.3（b））。</w:t>
      </w:r>
    </w:p>
    <w:p w14:paraId="082D3D20">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hint="eastAsia" w:ascii="Arial" w:hAnsi="Arial" w:eastAsia="宋体" w:cs="Arial"/>
          <w:sz w:val="24"/>
          <w:szCs w:val="24"/>
        </w:rPr>
        <w:t>基于</w:t>
      </w:r>
      <w:r>
        <w:rPr>
          <w:rFonts w:ascii="Arial" w:hAnsi="Arial" w:eastAsia="宋体" w:cs="Arial"/>
          <w:sz w:val="24"/>
          <w:szCs w:val="24"/>
        </w:rPr>
        <w:t>财务披露条例的目的，临床研究者是直接参与对研究受试者进行治疗或评估的研究者或次要研究者（21 CFR§54.2（d））。因此，临床研究者一词由此而论，一般会包括符合以下任一标准的人员：签署FDA 1572表（研究者声明），根据IND进行首次提交或方案修订中确定为研究者，或在上市申请中确定为研究者。这可能包括在FDA 1572表上被确定为次要研究者的个人</w:t>
      </w:r>
      <w:r>
        <w:rPr>
          <w:rStyle w:val="24"/>
          <w:rFonts w:ascii="Arial" w:hAnsi="Arial" w:eastAsia="宋体" w:cs="Arial"/>
          <w:sz w:val="24"/>
          <w:szCs w:val="24"/>
        </w:rPr>
        <w:footnoteReference w:id="13"/>
      </w:r>
      <w:r>
        <w:rPr>
          <w:rFonts w:ascii="Arial" w:hAnsi="Arial" w:eastAsia="宋体" w:cs="Arial"/>
          <w:sz w:val="24"/>
          <w:szCs w:val="24"/>
        </w:rPr>
        <w:t>。</w:t>
      </w:r>
    </w:p>
    <w:p w14:paraId="150981BF">
      <w:pPr>
        <w:overflowPunct w:val="0"/>
        <w:snapToGrid w:val="0"/>
        <w:spacing w:after="50" w:line="300" w:lineRule="auto"/>
        <w:jc w:val="both"/>
        <w:rPr>
          <w:rFonts w:ascii="Arial" w:hAnsi="Arial" w:eastAsia="宋体" w:cs="Arial"/>
          <w:sz w:val="24"/>
          <w:szCs w:val="24"/>
        </w:rPr>
      </w:pPr>
    </w:p>
    <w:p w14:paraId="422DB524">
      <w:pPr>
        <w:overflowPunct w:val="0"/>
        <w:snapToGrid w:val="0"/>
        <w:spacing w:after="50" w:line="300" w:lineRule="auto"/>
        <w:jc w:val="both"/>
        <w:rPr>
          <w:rFonts w:ascii="Arial" w:hAnsi="Arial" w:eastAsia="宋体" w:cs="Arial"/>
          <w:sz w:val="24"/>
          <w:szCs w:val="24"/>
        </w:rPr>
      </w:pPr>
      <w:r>
        <w:rPr>
          <w:rFonts w:ascii="Arial" w:hAnsi="Arial" w:eastAsia="宋体" w:cs="Arial"/>
          <w:sz w:val="24"/>
          <w:szCs w:val="24"/>
        </w:rPr>
        <w:br w:type="page"/>
      </w:r>
      <w:r>
        <w:rPr>
          <w:rFonts w:ascii="Arial" w:hAnsi="Arial" w:eastAsia="宋体" w:cs="Arial"/>
          <w:sz w:val="24"/>
          <w:szCs w:val="24"/>
        </w:rPr>
        <w:t>对于并非根据IND进行的研究，申办方需要考虑条例的规定以确定研究者和次要研究者，并酌情提供FDA 3454表和/或3455表。FDA希望在每个临床研究中心至少有一个这样的人。如果其他人负责某个中心的研究，</w:t>
      </w:r>
      <w:r>
        <w:rPr>
          <w:rFonts w:hint="eastAsia" w:ascii="Arial" w:hAnsi="Arial" w:eastAsia="宋体" w:cs="Arial"/>
          <w:sz w:val="24"/>
          <w:szCs w:val="24"/>
        </w:rPr>
        <w:t>则</w:t>
      </w:r>
      <w:r>
        <w:rPr>
          <w:rFonts w:ascii="Arial" w:hAnsi="Arial" w:eastAsia="宋体" w:cs="Arial"/>
          <w:sz w:val="24"/>
          <w:szCs w:val="24"/>
        </w:rPr>
        <w:t>这些人也应该</w:t>
      </w:r>
      <w:r>
        <w:rPr>
          <w:rFonts w:hint="eastAsia" w:ascii="Arial" w:hAnsi="Arial" w:eastAsia="宋体" w:cs="Arial"/>
          <w:sz w:val="24"/>
          <w:szCs w:val="24"/>
        </w:rPr>
        <w:t>作为</w:t>
      </w:r>
      <w:r>
        <w:rPr>
          <w:rFonts w:ascii="Arial" w:hAnsi="Arial" w:eastAsia="宋体" w:cs="Arial"/>
          <w:sz w:val="24"/>
          <w:szCs w:val="24"/>
        </w:rPr>
        <w:t>临床研究者。</w:t>
      </w:r>
    </w:p>
    <w:p w14:paraId="0D3D5199">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D.3</w:t>
      </w:r>
      <w:r>
        <w:rPr>
          <w:rFonts w:hint="eastAsia" w:ascii="Arial" w:hAnsi="Arial" w:eastAsia="宋体" w:cs="Arial"/>
          <w:sz w:val="24"/>
          <w:szCs w:val="24"/>
        </w:rPr>
        <w:tab/>
      </w:r>
      <w:r>
        <w:rPr>
          <w:rFonts w:ascii="Arial" w:hAnsi="Arial" w:eastAsia="宋体" w:cs="Arial"/>
          <w:sz w:val="24"/>
          <w:szCs w:val="24"/>
        </w:rPr>
        <w:t>问：财务披露条例 （21 CFR第54</w:t>
      </w:r>
      <w:r>
        <w:rPr>
          <w:rFonts w:hint="eastAsia" w:ascii="Arial" w:hAnsi="Arial" w:eastAsia="宋体" w:cs="Arial"/>
          <w:sz w:val="24"/>
          <w:szCs w:val="24"/>
        </w:rPr>
        <w:t>部分</w:t>
      </w:r>
      <w:r>
        <w:rPr>
          <w:rFonts w:ascii="Arial" w:hAnsi="Arial" w:eastAsia="宋体" w:cs="Arial"/>
          <w:sz w:val="24"/>
          <w:szCs w:val="24"/>
        </w:rPr>
        <w:t>）中</w:t>
      </w:r>
      <w:r>
        <w:rPr>
          <w:rFonts w:ascii="宋体" w:hAnsi="宋体" w:eastAsia="宋体" w:cs="Arial"/>
          <w:sz w:val="24"/>
          <w:szCs w:val="24"/>
        </w:rPr>
        <w:t>“</w:t>
      </w:r>
      <w:r>
        <w:rPr>
          <w:rFonts w:ascii="Arial" w:hAnsi="Arial" w:eastAsia="宋体" w:cs="Arial"/>
          <w:sz w:val="24"/>
          <w:szCs w:val="24"/>
        </w:rPr>
        <w:t>临床研究者</w:t>
      </w:r>
      <w:r>
        <w:rPr>
          <w:rFonts w:cs="Arial" w:asciiTheme="majorEastAsia" w:hAnsiTheme="majorEastAsia" w:eastAsiaTheme="majorEastAsia"/>
          <w:sz w:val="24"/>
          <w:szCs w:val="24"/>
        </w:rPr>
        <w:t>”</w:t>
      </w:r>
      <w:r>
        <w:rPr>
          <w:rFonts w:ascii="Arial" w:hAnsi="Arial" w:eastAsia="宋体" w:cs="Arial"/>
          <w:sz w:val="24"/>
          <w:szCs w:val="24"/>
        </w:rPr>
        <w:t>的定义与医疗器械条例（21 CFR第812</w:t>
      </w:r>
      <w:r>
        <w:rPr>
          <w:rFonts w:hint="eastAsia" w:ascii="Arial" w:hAnsi="Arial" w:eastAsia="宋体" w:cs="Arial"/>
          <w:sz w:val="24"/>
          <w:szCs w:val="24"/>
        </w:rPr>
        <w:t>部分</w:t>
      </w:r>
      <w:r>
        <w:rPr>
          <w:rFonts w:ascii="Arial" w:hAnsi="Arial" w:eastAsia="宋体" w:cs="Arial"/>
          <w:sz w:val="24"/>
          <w:szCs w:val="24"/>
        </w:rPr>
        <w:t>）中的定义有何相关性？</w:t>
      </w:r>
    </w:p>
    <w:p w14:paraId="335B6637">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：对于医疗器械，根据21 CFR第812</w:t>
      </w:r>
      <w:r>
        <w:rPr>
          <w:rFonts w:hint="eastAsia" w:ascii="Arial" w:hAnsi="Arial" w:eastAsia="宋体" w:cs="Arial"/>
          <w:sz w:val="24"/>
          <w:szCs w:val="24"/>
        </w:rPr>
        <w:t>部分</w:t>
      </w:r>
      <w:r>
        <w:rPr>
          <w:rFonts w:ascii="Arial" w:hAnsi="Arial" w:eastAsia="宋体" w:cs="Arial"/>
          <w:sz w:val="24"/>
          <w:szCs w:val="24"/>
        </w:rPr>
        <w:t>，研究者定义为</w:t>
      </w:r>
      <w:r>
        <w:rPr>
          <w:rFonts w:ascii="宋体" w:hAnsi="宋体" w:eastAsia="宋体" w:cs="Arial"/>
          <w:sz w:val="24"/>
          <w:szCs w:val="24"/>
        </w:rPr>
        <w:t>“</w:t>
      </w:r>
      <w:r>
        <w:rPr>
          <w:rFonts w:ascii="Arial" w:hAnsi="Arial" w:eastAsia="宋体" w:cs="Arial"/>
          <w:sz w:val="24"/>
          <w:szCs w:val="24"/>
        </w:rPr>
        <w:t>在其直接主导下，对受试者进行治疗，并对其施与研究用器械，包括随访评估和治疗</w:t>
      </w:r>
      <w:r>
        <w:rPr>
          <w:rFonts w:cs="Arial" w:asciiTheme="majorEastAsia" w:hAnsiTheme="majorEastAsia" w:eastAsiaTheme="majorEastAsia"/>
          <w:sz w:val="24"/>
          <w:szCs w:val="24"/>
        </w:rPr>
        <w:t>”</w:t>
      </w:r>
      <w:r>
        <w:rPr>
          <w:rFonts w:ascii="Arial" w:hAnsi="Arial" w:eastAsia="宋体" w:cs="Arial"/>
          <w:sz w:val="24"/>
          <w:szCs w:val="24"/>
        </w:rPr>
        <w:t>的人员。如果是一个团队进行研究，则研究者是该团队的负责人。（21 CFR§812.3（i））</w:t>
      </w:r>
    </w:p>
    <w:p w14:paraId="0230D683">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一般来说，研究者和次要研究者根据21 CFR§812.43（c）签署</w:t>
      </w:r>
      <w:r>
        <w:rPr>
          <w:rFonts w:ascii="宋体" w:hAnsi="宋体" w:eastAsia="宋体" w:cs="Arial"/>
          <w:sz w:val="24"/>
          <w:szCs w:val="24"/>
        </w:rPr>
        <w:t>“</w:t>
      </w:r>
      <w:r>
        <w:rPr>
          <w:rFonts w:ascii="Arial" w:hAnsi="Arial" w:eastAsia="宋体" w:cs="Arial"/>
          <w:sz w:val="24"/>
          <w:szCs w:val="24"/>
        </w:rPr>
        <w:t>研究者协议</w:t>
      </w:r>
      <w:r>
        <w:rPr>
          <w:rFonts w:cs="Arial" w:asciiTheme="majorEastAsia" w:hAnsiTheme="majorEastAsia" w:eastAsiaTheme="majorEastAsia"/>
          <w:sz w:val="24"/>
          <w:szCs w:val="24"/>
        </w:rPr>
        <w:t>”</w:t>
      </w:r>
      <w:r>
        <w:rPr>
          <w:rFonts w:ascii="Arial" w:hAnsi="Arial" w:eastAsia="宋体" w:cs="Arial"/>
          <w:sz w:val="24"/>
          <w:szCs w:val="24"/>
        </w:rPr>
        <w:t>，这些人员的经济利益和协议应按照21 CFR§54.2（d）的定义进行报告。对于未按FDA批准的IDE程序进行的研究（即非重大风险IDE或豁免研究），申办方需要考虑条例的规定以确定研究者和次要研究者，并酌情提供FDA 3454表和/或3455表。</w:t>
      </w:r>
      <w:r>
        <w:rPr>
          <w:rFonts w:hint="eastAsia" w:ascii="Arial" w:hAnsi="Arial" w:eastAsia="宋体" w:cs="Arial"/>
          <w:sz w:val="24"/>
          <w:szCs w:val="24"/>
        </w:rPr>
        <w:t>FDA</w:t>
      </w:r>
      <w:r>
        <w:rPr>
          <w:rFonts w:ascii="Arial" w:hAnsi="Arial" w:eastAsia="宋体" w:cs="Arial"/>
          <w:sz w:val="24"/>
          <w:szCs w:val="24"/>
        </w:rPr>
        <w:t>希望在每个临床研究中心至少有一个这样的人。</w:t>
      </w:r>
    </w:p>
    <w:p w14:paraId="6E0C3D9E">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D.4</w:t>
      </w:r>
      <w:r>
        <w:rPr>
          <w:rFonts w:hint="eastAsia" w:ascii="Arial" w:hAnsi="Arial" w:eastAsia="宋体" w:cs="Arial"/>
          <w:sz w:val="24"/>
          <w:szCs w:val="24"/>
        </w:rPr>
        <w:tab/>
      </w:r>
      <w:r>
        <w:rPr>
          <w:rFonts w:ascii="Arial" w:hAnsi="Arial" w:eastAsia="宋体" w:cs="Arial"/>
          <w:bCs w:val="0"/>
          <w:sz w:val="24"/>
          <w:szCs w:val="24"/>
        </w:rPr>
        <w:t>问：</w:t>
      </w:r>
      <w:r>
        <w:rPr>
          <w:rFonts w:hint="eastAsia" w:ascii="Arial" w:hAnsi="Arial" w:eastAsia="宋体" w:cs="Arial"/>
          <w:bCs w:val="0"/>
          <w:sz w:val="24"/>
          <w:szCs w:val="24"/>
        </w:rPr>
        <w:t>是否</w:t>
      </w:r>
      <w:r>
        <w:rPr>
          <w:rFonts w:ascii="Arial" w:hAnsi="Arial" w:eastAsia="宋体" w:cs="Arial"/>
          <w:bCs w:val="0"/>
          <w:sz w:val="24"/>
          <w:szCs w:val="24"/>
        </w:rPr>
        <w:t>有</w:t>
      </w:r>
      <w:r>
        <w:rPr>
          <w:rFonts w:ascii="Arial" w:hAnsi="Arial" w:eastAsia="宋体" w:cs="Arial"/>
          <w:sz w:val="24"/>
          <w:szCs w:val="24"/>
        </w:rPr>
        <w:t>必要</w:t>
      </w:r>
      <w:r>
        <w:rPr>
          <w:rFonts w:ascii="Arial" w:hAnsi="Arial" w:eastAsia="宋体" w:cs="Arial"/>
          <w:bCs w:val="0"/>
          <w:sz w:val="24"/>
          <w:szCs w:val="24"/>
        </w:rPr>
        <w:t>收集临床研究者的配偶和受抚养子女的财务信息？</w:t>
      </w:r>
    </w:p>
    <w:p w14:paraId="09B952DA">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：是。21 CFR第54</w:t>
      </w:r>
      <w:r>
        <w:rPr>
          <w:rFonts w:hint="eastAsia" w:ascii="Arial" w:hAnsi="Arial" w:eastAsia="宋体" w:cs="Arial"/>
          <w:sz w:val="24"/>
          <w:szCs w:val="24"/>
        </w:rPr>
        <w:t>部分</w:t>
      </w:r>
      <w:r>
        <w:rPr>
          <w:rFonts w:ascii="Arial" w:hAnsi="Arial" w:eastAsia="宋体" w:cs="Arial"/>
          <w:sz w:val="24"/>
          <w:szCs w:val="24"/>
        </w:rPr>
        <w:t>临床研究者的定义包括需要报告的研究者和次要研究者的配偶和受抚养子女。因此，每名研究者和次要研究者的配偶及其每名受抚养子女的经济利益和协议</w:t>
      </w:r>
      <w:r>
        <w:rPr>
          <w:rFonts w:hint="eastAsia" w:ascii="Arial" w:hAnsi="Arial" w:eastAsia="宋体" w:cs="Arial"/>
          <w:sz w:val="24"/>
          <w:szCs w:val="24"/>
        </w:rPr>
        <w:t>均</w:t>
      </w:r>
      <w:r>
        <w:rPr>
          <w:rFonts w:ascii="Arial" w:hAnsi="Arial" w:eastAsia="宋体" w:cs="Arial"/>
          <w:sz w:val="24"/>
          <w:szCs w:val="24"/>
        </w:rPr>
        <w:t>将纳入此项披露（21 CFR§54.2（d））。触发报告的美元数额是研究者、其配偶及其受抚养子女的经济利益总额（21 CFR§54.2（d））。如果配偶或受抚养子女是申办方的雇员，临床研究者应确定为申办方的雇员，而无需进一步披露。（见21 CFR§54.4。）</w:t>
      </w:r>
    </w:p>
    <w:p w14:paraId="583FC45D">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sz w:val="24"/>
          <w:szCs w:val="24"/>
        </w:rPr>
        <w:t>D.5</w:t>
      </w:r>
      <w:r>
        <w:rPr>
          <w:rFonts w:hint="eastAsia" w:ascii="Arial" w:hAnsi="Arial" w:eastAsia="宋体" w:cs="Arial"/>
          <w:sz w:val="24"/>
          <w:szCs w:val="24"/>
        </w:rPr>
        <w:tab/>
      </w:r>
      <w:r>
        <w:rPr>
          <w:rFonts w:ascii="Arial" w:hAnsi="Arial" w:eastAsia="宋体" w:cs="Arial"/>
          <w:sz w:val="24"/>
          <w:szCs w:val="24"/>
        </w:rPr>
        <w:t>问：谁被认为是</w:t>
      </w:r>
      <w:r>
        <w:rPr>
          <w:rFonts w:ascii="宋体" w:hAnsi="宋体" w:eastAsia="宋体" w:cs="Arial"/>
          <w:sz w:val="24"/>
          <w:szCs w:val="24"/>
        </w:rPr>
        <w:t>“</w:t>
      </w:r>
      <w:r>
        <w:rPr>
          <w:rFonts w:ascii="Arial" w:hAnsi="Arial" w:eastAsia="宋体" w:cs="Arial"/>
          <w:sz w:val="24"/>
          <w:szCs w:val="24"/>
        </w:rPr>
        <w:t>受抚养子女</w:t>
      </w:r>
      <w:r>
        <w:rPr>
          <w:rFonts w:cs="Arial" w:asciiTheme="majorEastAsia" w:hAnsiTheme="majorEastAsia" w:eastAsiaTheme="majorEastAsia"/>
          <w:sz w:val="24"/>
          <w:szCs w:val="24"/>
        </w:rPr>
        <w:t>”</w:t>
      </w:r>
      <w:r>
        <w:rPr>
          <w:rFonts w:ascii="Arial" w:hAnsi="Arial" w:eastAsia="宋体" w:cs="Arial"/>
          <w:sz w:val="24"/>
          <w:szCs w:val="24"/>
        </w:rPr>
        <w:t>？</w:t>
      </w:r>
    </w:p>
    <w:p w14:paraId="07EBCB7D">
      <w:pPr>
        <w:pStyle w:val="50"/>
        <w:shd w:val="clear" w:color="auto" w:fill="auto"/>
        <w:overflowPunct w:val="0"/>
        <w:adjustRightInd w:val="0"/>
        <w:snapToGrid w:val="0"/>
        <w:spacing w:before="0" w:after="156" w:afterLines="50" w:line="336"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w:t>
      </w:r>
      <w:r>
        <w:rPr>
          <w:rFonts w:hint="eastAsia" w:ascii="Arial" w:hAnsi="Arial" w:eastAsia="宋体" w:cs="Arial"/>
          <w:sz w:val="24"/>
          <w:szCs w:val="24"/>
        </w:rPr>
        <w:t>根据</w:t>
      </w:r>
      <w:r>
        <w:rPr>
          <w:rFonts w:ascii="Arial" w:hAnsi="Arial" w:eastAsia="宋体" w:cs="Arial"/>
          <w:sz w:val="24"/>
          <w:szCs w:val="24"/>
        </w:rPr>
        <w:t>第54</w:t>
      </w:r>
      <w:r>
        <w:rPr>
          <w:rFonts w:hint="eastAsia" w:ascii="Arial" w:hAnsi="Arial" w:eastAsia="宋体" w:cs="Arial"/>
          <w:sz w:val="24"/>
          <w:szCs w:val="24"/>
        </w:rPr>
        <w:t>部分</w:t>
      </w:r>
      <w:r>
        <w:rPr>
          <w:rFonts w:ascii="Arial" w:hAnsi="Arial" w:eastAsia="宋体" w:cs="Arial"/>
          <w:sz w:val="24"/>
          <w:szCs w:val="24"/>
        </w:rPr>
        <w:t>临床研究者财务披露的目的，受抚养子女是研究者的未婚子女（无论是血亲或是收养）、继子女或养子女，研究者为该子女提供超过一半的抚养支持。这包括在研究过程中的任何时候及研究完成后一年内，不满19岁的儿童、24岁以下的全日制学生、或永久性和完全</w:t>
      </w:r>
      <w:r>
        <w:rPr>
          <w:rFonts w:hint="eastAsia" w:ascii="Arial" w:hAnsi="Arial" w:eastAsia="宋体" w:cs="Arial"/>
          <w:sz w:val="24"/>
          <w:szCs w:val="24"/>
        </w:rPr>
        <w:t>残疾</w:t>
      </w:r>
      <w:r>
        <w:rPr>
          <w:rFonts w:ascii="Arial" w:hAnsi="Arial" w:eastAsia="宋体" w:cs="Arial"/>
          <w:sz w:val="24"/>
          <w:szCs w:val="24"/>
        </w:rPr>
        <w:t>的孩子。这样的孩子通常会与研究者住在一起。</w:t>
      </w:r>
    </w:p>
    <w:p w14:paraId="42D1B5FD">
      <w:pPr>
        <w:pStyle w:val="54"/>
        <w:shd w:val="clear" w:color="auto" w:fill="auto"/>
        <w:overflowPunct w:val="0"/>
        <w:adjustRightInd w:val="0"/>
        <w:snapToGrid w:val="0"/>
        <w:spacing w:before="0" w:after="156" w:afterLines="50" w:line="336" w:lineRule="auto"/>
        <w:ind w:left="862" w:leftChars="81" w:hanging="684" w:hangingChars="284"/>
        <w:jc w:val="both"/>
        <w:rPr>
          <w:rFonts w:ascii="Arial" w:hAnsi="Arial" w:eastAsia="宋体" w:cs="Arial"/>
          <w:sz w:val="24"/>
          <w:szCs w:val="24"/>
        </w:rPr>
      </w:pPr>
      <w:r>
        <w:rPr>
          <w:rFonts w:ascii="Arial" w:hAnsi="Arial" w:eastAsia="宋体" w:cs="Arial"/>
          <w:sz w:val="24"/>
          <w:szCs w:val="24"/>
        </w:rPr>
        <w:t>D.6</w:t>
      </w:r>
      <w:r>
        <w:rPr>
          <w:rFonts w:hint="eastAsia" w:ascii="Arial" w:hAnsi="Arial" w:eastAsia="宋体" w:cs="Arial"/>
          <w:sz w:val="24"/>
          <w:szCs w:val="24"/>
        </w:rPr>
        <w:tab/>
      </w:r>
      <w:r>
        <w:rPr>
          <w:rFonts w:ascii="Arial" w:hAnsi="Arial" w:eastAsia="宋体" w:cs="Arial"/>
          <w:sz w:val="24"/>
          <w:szCs w:val="24"/>
        </w:rPr>
        <w:t>问：根据财务披露条例，临床研究者有什么义务？</w:t>
      </w:r>
    </w:p>
    <w:p w14:paraId="2E93854A">
      <w:pPr>
        <w:pStyle w:val="50"/>
        <w:shd w:val="clear" w:color="auto" w:fill="auto"/>
        <w:overflowPunct w:val="0"/>
        <w:adjustRightInd w:val="0"/>
        <w:snapToGrid w:val="0"/>
        <w:spacing w:before="0" w:after="156" w:afterLines="50" w:line="336"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：临床研究者应向申办方提供充分而准确的财务信息，</w:t>
      </w:r>
      <w:r>
        <w:rPr>
          <w:rFonts w:hint="eastAsia" w:ascii="Arial" w:hAnsi="Arial" w:eastAsia="宋体" w:cs="Arial"/>
          <w:sz w:val="24"/>
          <w:szCs w:val="24"/>
        </w:rPr>
        <w:t>以便</w:t>
      </w:r>
      <w:r>
        <w:rPr>
          <w:rFonts w:ascii="Arial" w:hAnsi="Arial" w:eastAsia="宋体" w:cs="Arial"/>
          <w:sz w:val="24"/>
          <w:szCs w:val="24"/>
        </w:rPr>
        <w:t>申请人能够提交完整准确的证明或披露声明（见21 CFR§§54.4,312.53（c）（4）</w:t>
      </w:r>
      <w:r>
        <w:rPr>
          <w:rFonts w:hint="eastAsia" w:ascii="Arial" w:hAnsi="Arial" w:eastAsia="宋体" w:cs="Arial"/>
          <w:sz w:val="24"/>
          <w:szCs w:val="24"/>
        </w:rPr>
        <w:t>、</w:t>
      </w:r>
      <w:r>
        <w:rPr>
          <w:rFonts w:ascii="Arial" w:hAnsi="Arial" w:eastAsia="宋体" w:cs="Arial"/>
          <w:sz w:val="24"/>
          <w:szCs w:val="24"/>
        </w:rPr>
        <w:t>312.64（d）</w:t>
      </w:r>
      <w:r>
        <w:rPr>
          <w:rFonts w:hint="eastAsia" w:ascii="Arial" w:hAnsi="Arial" w:eastAsia="宋体" w:cs="Arial"/>
          <w:sz w:val="24"/>
          <w:szCs w:val="24"/>
        </w:rPr>
        <w:t>、</w:t>
      </w:r>
      <w:r>
        <w:rPr>
          <w:rFonts w:ascii="Arial" w:hAnsi="Arial" w:eastAsia="宋体" w:cs="Arial"/>
          <w:sz w:val="24"/>
          <w:szCs w:val="24"/>
        </w:rPr>
        <w:t>812.43（c）（5））和812.110（d））。临床研究者必须向申办方提供此信息，若在研究过程中和研究完成后一年内发生了相关变化，研究者应对信息进行及时更新（见21 CFR§§54.4（b）</w:t>
      </w:r>
      <w:r>
        <w:rPr>
          <w:rFonts w:hint="eastAsia" w:ascii="Arial" w:hAnsi="Arial" w:eastAsia="宋体" w:cs="Arial"/>
          <w:sz w:val="24"/>
          <w:szCs w:val="24"/>
        </w:rPr>
        <w:t>、</w:t>
      </w:r>
      <w:r>
        <w:rPr>
          <w:rFonts w:ascii="Arial" w:hAnsi="Arial" w:eastAsia="宋体" w:cs="Arial"/>
          <w:sz w:val="24"/>
          <w:szCs w:val="24"/>
        </w:rPr>
        <w:t>312.53（c）（4）</w:t>
      </w:r>
      <w:r>
        <w:rPr>
          <w:rFonts w:hint="eastAsia" w:ascii="Arial" w:hAnsi="Arial" w:eastAsia="宋体" w:cs="Arial"/>
          <w:sz w:val="24"/>
          <w:szCs w:val="24"/>
        </w:rPr>
        <w:t>、</w:t>
      </w:r>
      <w:r>
        <w:rPr>
          <w:rFonts w:ascii="Arial" w:hAnsi="Arial" w:eastAsia="宋体" w:cs="Arial"/>
          <w:sz w:val="24"/>
          <w:szCs w:val="24"/>
        </w:rPr>
        <w:t>312.64（d）</w:t>
      </w:r>
      <w:r>
        <w:rPr>
          <w:rFonts w:hint="eastAsia" w:ascii="Arial" w:hAnsi="Arial" w:eastAsia="宋体" w:cs="Arial"/>
          <w:sz w:val="24"/>
          <w:szCs w:val="24"/>
        </w:rPr>
        <w:t>、</w:t>
      </w:r>
      <w:r>
        <w:rPr>
          <w:rFonts w:ascii="Arial" w:hAnsi="Arial" w:eastAsia="宋体" w:cs="Arial"/>
          <w:sz w:val="24"/>
          <w:szCs w:val="24"/>
        </w:rPr>
        <w:t>812.43（c）（5）和812.110（d））。亦可见于</w:t>
      </w:r>
      <w:r>
        <w:rPr>
          <w:rFonts w:ascii="Arial" w:hAnsi="Arial" w:eastAsia="宋体" w:cs="Arial"/>
          <w:color w:val="0000FF"/>
          <w:sz w:val="24"/>
          <w:szCs w:val="24"/>
          <w:u w:val="single"/>
        </w:rPr>
        <w:t>问题C.2</w:t>
      </w:r>
      <w:r>
        <w:rPr>
          <w:rFonts w:ascii="Arial" w:hAnsi="Arial" w:eastAsia="宋体" w:cs="Arial"/>
          <w:sz w:val="24"/>
          <w:szCs w:val="24"/>
        </w:rPr>
        <w:t>。</w:t>
      </w:r>
    </w:p>
    <w:p w14:paraId="23254396">
      <w:pPr>
        <w:pStyle w:val="54"/>
        <w:shd w:val="clear" w:color="auto" w:fill="auto"/>
        <w:overflowPunct w:val="0"/>
        <w:adjustRightInd w:val="0"/>
        <w:snapToGrid w:val="0"/>
        <w:spacing w:before="0" w:after="156" w:afterLines="50" w:line="336" w:lineRule="auto"/>
        <w:ind w:left="862" w:leftChars="81" w:hanging="684" w:hangingChars="284"/>
        <w:jc w:val="both"/>
        <w:rPr>
          <w:rFonts w:ascii="Arial" w:hAnsi="Arial" w:eastAsia="宋体" w:cs="Arial"/>
          <w:sz w:val="24"/>
          <w:szCs w:val="24"/>
        </w:rPr>
      </w:pPr>
      <w:r>
        <w:rPr>
          <w:rFonts w:ascii="Arial" w:hAnsi="Arial" w:eastAsia="宋体" w:cs="Arial"/>
          <w:sz w:val="24"/>
          <w:szCs w:val="24"/>
        </w:rPr>
        <w:t>D.7</w:t>
      </w:r>
      <w:r>
        <w:rPr>
          <w:rFonts w:hint="eastAsia" w:ascii="Arial" w:hAnsi="Arial" w:eastAsia="宋体" w:cs="Arial"/>
          <w:sz w:val="24"/>
          <w:szCs w:val="24"/>
        </w:rPr>
        <w:tab/>
      </w:r>
      <w:r>
        <w:rPr>
          <w:rFonts w:ascii="Arial" w:hAnsi="Arial" w:eastAsia="宋体" w:cs="Arial"/>
          <w:sz w:val="24"/>
          <w:szCs w:val="24"/>
        </w:rPr>
        <w:t>问：临床研究者</w:t>
      </w:r>
      <w:r>
        <w:rPr>
          <w:rFonts w:hint="eastAsia" w:ascii="Arial" w:hAnsi="Arial" w:eastAsia="宋体" w:cs="Arial"/>
          <w:sz w:val="24"/>
          <w:szCs w:val="24"/>
        </w:rPr>
        <w:t>是否</w:t>
      </w:r>
      <w:r>
        <w:rPr>
          <w:rFonts w:ascii="Arial" w:hAnsi="Arial" w:eastAsia="宋体" w:cs="Arial"/>
          <w:sz w:val="24"/>
          <w:szCs w:val="24"/>
        </w:rPr>
        <w:t>可以援用他/她提供的符合他/她的机构有关财务利益冲突的政策和程序的信息，以符合FDA规定的研究者财务披露义务？</w:t>
      </w:r>
    </w:p>
    <w:p w14:paraId="5B7CF228">
      <w:pPr>
        <w:pStyle w:val="50"/>
        <w:shd w:val="clear" w:color="auto" w:fill="auto"/>
        <w:overflowPunct w:val="0"/>
        <w:adjustRightInd w:val="0"/>
        <w:snapToGrid w:val="0"/>
        <w:spacing w:before="0" w:after="156" w:afterLines="50" w:line="336" w:lineRule="auto"/>
        <w:ind w:left="796" w:leftChars="362" w:firstLine="0"/>
        <w:jc w:val="both"/>
        <w:rPr>
          <w:rFonts w:ascii="Arial" w:hAnsi="Arial" w:eastAsia="宋体" w:cs="Arial"/>
          <w:b/>
          <w:sz w:val="24"/>
          <w:szCs w:val="24"/>
        </w:rPr>
      </w:pPr>
      <w:r>
        <w:rPr>
          <w:rFonts w:ascii="Arial" w:hAnsi="Arial" w:eastAsia="宋体" w:cs="Arial"/>
          <w:b/>
          <w:sz w:val="24"/>
          <w:szCs w:val="24"/>
        </w:rPr>
        <w:t>答：</w:t>
      </w:r>
      <w:r>
        <w:rPr>
          <w:rFonts w:ascii="Arial" w:hAnsi="Arial" w:eastAsia="宋体" w:cs="Arial"/>
          <w:sz w:val="24"/>
          <w:szCs w:val="24"/>
        </w:rPr>
        <w:t>根据机构的要求，临床研究者向其机构提供的财务信息不足以满足FDA的规定</w:t>
      </w:r>
      <w:r>
        <w:rPr>
          <w:rFonts w:ascii="Arial" w:hAnsi="Arial" w:eastAsia="宋体" w:cs="Arial"/>
          <w:b/>
          <w:sz w:val="24"/>
          <w:szCs w:val="24"/>
        </w:rPr>
        <w:t>。</w:t>
      </w:r>
      <w:r>
        <w:rPr>
          <w:rFonts w:ascii="Arial" w:hAnsi="Arial" w:eastAsia="宋体" w:cs="Arial"/>
          <w:sz w:val="24"/>
          <w:szCs w:val="24"/>
        </w:rPr>
        <w:t>FDA的条例要求临床研究者向申办方提供充分而准确的财务信息，以便申办方根据FDA的临床研究者财务披露条例（21 CFR§54.4（b））提交完整而准确的证明或披露声明。然而，如果研究者确定他/她向其机构提供的财务信息充分满足FDA规定的披露要求，则临床研究者可以向申办方提供相同的信息</w:t>
      </w:r>
      <w:r>
        <w:rPr>
          <w:rFonts w:ascii="Arial" w:hAnsi="Arial" w:eastAsia="宋体" w:cs="Arial"/>
          <w:b/>
          <w:sz w:val="24"/>
          <w:szCs w:val="24"/>
        </w:rPr>
        <w:t>。</w:t>
      </w:r>
      <w:r>
        <w:rPr>
          <w:rFonts w:ascii="Arial" w:hAnsi="Arial" w:eastAsia="宋体" w:cs="Arial"/>
          <w:sz w:val="24"/>
          <w:szCs w:val="24"/>
        </w:rPr>
        <w:t>如果在研究过程中和研究完成后一年内发生任何的相关变化，临床研究者仍然需要承诺及时更新财务信息。（21 CFR§54.4（b））。</w:t>
      </w:r>
    </w:p>
    <w:p w14:paraId="62231DF0">
      <w:pPr>
        <w:pStyle w:val="44"/>
        <w:numPr>
          <w:ilvl w:val="0"/>
          <w:numId w:val="5"/>
        </w:numPr>
        <w:shd w:val="clear" w:color="auto" w:fill="auto"/>
        <w:overflowPunct w:val="0"/>
        <w:snapToGrid w:val="0"/>
        <w:spacing w:after="156" w:afterLines="50" w:line="336" w:lineRule="auto"/>
        <w:ind w:left="357" w:hanging="357"/>
        <w:jc w:val="both"/>
        <w:outlineLvl w:val="1"/>
        <w:rPr>
          <w:rFonts w:ascii="Arial" w:hAnsi="Arial" w:eastAsia="宋体" w:cs="Arial"/>
          <w:sz w:val="24"/>
          <w:szCs w:val="24"/>
        </w:rPr>
      </w:pPr>
      <w:r>
        <w:rPr>
          <w:rFonts w:ascii="Arial" w:hAnsi="Arial" w:eastAsia="宋体" w:cs="Arial"/>
          <w:sz w:val="24"/>
          <w:szCs w:val="24"/>
        </w:rPr>
        <w:t>申办方</w:t>
      </w:r>
    </w:p>
    <w:p w14:paraId="367ADF27">
      <w:pPr>
        <w:pStyle w:val="54"/>
        <w:shd w:val="clear" w:color="auto" w:fill="auto"/>
        <w:overflowPunct w:val="0"/>
        <w:adjustRightInd w:val="0"/>
        <w:snapToGrid w:val="0"/>
        <w:spacing w:before="0" w:after="156" w:afterLines="50" w:line="336"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E.1</w:t>
      </w:r>
      <w:r>
        <w:rPr>
          <w:rFonts w:hint="eastAsia" w:ascii="Arial" w:hAnsi="Arial" w:eastAsia="宋体" w:cs="Arial"/>
          <w:sz w:val="24"/>
          <w:szCs w:val="24"/>
        </w:rPr>
        <w:tab/>
      </w:r>
      <w:r>
        <w:rPr>
          <w:rFonts w:ascii="Arial" w:hAnsi="Arial" w:eastAsia="宋体" w:cs="Arial"/>
          <w:sz w:val="24"/>
          <w:szCs w:val="24"/>
        </w:rPr>
        <w:t>问：财务披露条例 （21 CFR第54</w:t>
      </w:r>
      <w:r>
        <w:rPr>
          <w:rFonts w:hint="eastAsia" w:ascii="Arial" w:hAnsi="Arial" w:eastAsia="宋体" w:cs="Arial"/>
          <w:sz w:val="24"/>
          <w:szCs w:val="24"/>
        </w:rPr>
        <w:t>部分</w:t>
      </w:r>
      <w:r>
        <w:rPr>
          <w:rFonts w:ascii="Arial" w:hAnsi="Arial" w:eastAsia="宋体" w:cs="Arial"/>
          <w:sz w:val="24"/>
          <w:szCs w:val="24"/>
        </w:rPr>
        <w:t>）中</w:t>
      </w:r>
      <w:r>
        <w:rPr>
          <w:rFonts w:ascii="宋体" w:hAnsi="宋体" w:eastAsia="宋体" w:cs="Arial"/>
          <w:sz w:val="24"/>
          <w:szCs w:val="24"/>
        </w:rPr>
        <w:t>“</w:t>
      </w:r>
      <w:r>
        <w:rPr>
          <w:rFonts w:ascii="Arial" w:hAnsi="Arial" w:eastAsia="宋体" w:cs="Arial"/>
          <w:sz w:val="24"/>
          <w:szCs w:val="24"/>
        </w:rPr>
        <w:t>申办方</w:t>
      </w:r>
      <w:r>
        <w:rPr>
          <w:rFonts w:cs="Arial" w:asciiTheme="majorEastAsia" w:hAnsiTheme="majorEastAsia" w:eastAsiaTheme="majorEastAsia"/>
          <w:sz w:val="24"/>
          <w:szCs w:val="24"/>
        </w:rPr>
        <w:t>”</w:t>
      </w:r>
      <w:r>
        <w:rPr>
          <w:rFonts w:ascii="Arial" w:hAnsi="Arial" w:eastAsia="宋体" w:cs="Arial"/>
          <w:sz w:val="24"/>
          <w:szCs w:val="24"/>
        </w:rPr>
        <w:t>的定义与IND/IDE条例（21 CFR第312</w:t>
      </w:r>
      <w:r>
        <w:rPr>
          <w:rFonts w:hint="eastAsia" w:ascii="Arial" w:hAnsi="Arial" w:eastAsia="宋体" w:cs="Arial"/>
          <w:sz w:val="24"/>
          <w:szCs w:val="24"/>
        </w:rPr>
        <w:t>部分</w:t>
      </w:r>
      <w:r>
        <w:rPr>
          <w:rFonts w:ascii="Arial" w:hAnsi="Arial" w:eastAsia="宋体" w:cs="Arial"/>
          <w:sz w:val="24"/>
          <w:szCs w:val="24"/>
        </w:rPr>
        <w:t>和第812</w:t>
      </w:r>
      <w:r>
        <w:rPr>
          <w:rFonts w:hint="eastAsia" w:ascii="Arial" w:hAnsi="Arial" w:eastAsia="宋体" w:cs="Arial"/>
          <w:sz w:val="24"/>
          <w:szCs w:val="24"/>
        </w:rPr>
        <w:t>部分</w:t>
      </w:r>
      <w:r>
        <w:rPr>
          <w:rFonts w:ascii="Arial" w:hAnsi="Arial" w:eastAsia="宋体" w:cs="Arial"/>
          <w:sz w:val="24"/>
          <w:szCs w:val="24"/>
        </w:rPr>
        <w:t>）中的定义有何相关性？</w:t>
      </w:r>
    </w:p>
    <w:p w14:paraId="3DCC8444">
      <w:pPr>
        <w:pStyle w:val="50"/>
        <w:shd w:val="clear" w:color="auto" w:fill="auto"/>
        <w:overflowPunct w:val="0"/>
        <w:adjustRightInd w:val="0"/>
        <w:snapToGrid w:val="0"/>
        <w:spacing w:before="0" w:after="156" w:afterLines="50" w:line="336"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：在21 CFR第54</w:t>
      </w:r>
      <w:r>
        <w:rPr>
          <w:rFonts w:hint="eastAsia" w:ascii="Arial" w:hAnsi="Arial" w:eastAsia="宋体" w:cs="Arial"/>
          <w:sz w:val="24"/>
          <w:szCs w:val="24"/>
        </w:rPr>
        <w:t>部分</w:t>
      </w:r>
      <w:r>
        <w:rPr>
          <w:rFonts w:ascii="Arial" w:hAnsi="Arial" w:eastAsia="宋体" w:cs="Arial"/>
          <w:sz w:val="24"/>
          <w:szCs w:val="24"/>
        </w:rPr>
        <w:t>中，</w:t>
      </w:r>
      <w:r>
        <w:rPr>
          <w:rFonts w:ascii="宋体" w:hAnsi="宋体" w:eastAsia="宋体" w:cs="Arial"/>
          <w:sz w:val="24"/>
          <w:szCs w:val="24"/>
        </w:rPr>
        <w:t>“</w:t>
      </w:r>
      <w:r>
        <w:rPr>
          <w:rFonts w:ascii="Arial" w:hAnsi="Arial" w:eastAsia="宋体" w:cs="Arial"/>
          <w:sz w:val="24"/>
          <w:szCs w:val="24"/>
        </w:rPr>
        <w:t>涉及临床研究的申办方</w:t>
      </w:r>
      <w:r>
        <w:rPr>
          <w:rFonts w:cs="Arial" w:asciiTheme="majorEastAsia" w:hAnsiTheme="majorEastAsia" w:eastAsiaTheme="majorEastAsia"/>
          <w:sz w:val="24"/>
          <w:szCs w:val="24"/>
        </w:rPr>
        <w:t>”</w:t>
      </w:r>
      <w:r>
        <w:rPr>
          <w:rFonts w:ascii="Arial" w:hAnsi="Arial" w:eastAsia="宋体" w:cs="Arial"/>
          <w:sz w:val="24"/>
          <w:szCs w:val="24"/>
        </w:rPr>
        <w:t>一词是指</w:t>
      </w:r>
      <w:r>
        <w:rPr>
          <w:rFonts w:ascii="宋体" w:hAnsi="宋体" w:eastAsia="宋体" w:cs="Arial"/>
          <w:sz w:val="24"/>
          <w:szCs w:val="24"/>
        </w:rPr>
        <w:t>“</w:t>
      </w:r>
      <w:r>
        <w:rPr>
          <w:rFonts w:ascii="Arial" w:hAnsi="Arial" w:eastAsia="宋体" w:cs="Arial"/>
          <w:sz w:val="24"/>
          <w:szCs w:val="24"/>
        </w:rPr>
        <w:t>在进行特定研究时提供支持的一方</w:t>
      </w:r>
      <w:r>
        <w:rPr>
          <w:rFonts w:cs="Arial" w:asciiTheme="majorEastAsia" w:hAnsiTheme="majorEastAsia" w:eastAsiaTheme="majorEastAsia"/>
          <w:sz w:val="24"/>
          <w:szCs w:val="24"/>
        </w:rPr>
        <w:t>”</w:t>
      </w:r>
      <w:r>
        <w:rPr>
          <w:rFonts w:ascii="Arial" w:hAnsi="Arial" w:eastAsia="宋体" w:cs="Arial"/>
          <w:sz w:val="24"/>
          <w:szCs w:val="24"/>
        </w:rPr>
        <w:t>（21 CFR§54.2（h））。FDA将</w:t>
      </w:r>
      <w:r>
        <w:rPr>
          <w:rFonts w:ascii="宋体" w:hAnsi="宋体" w:eastAsia="宋体" w:cs="Arial"/>
          <w:sz w:val="24"/>
          <w:szCs w:val="24"/>
        </w:rPr>
        <w:t>“</w:t>
      </w:r>
      <w:r>
        <w:rPr>
          <w:rFonts w:ascii="Arial" w:hAnsi="Arial" w:eastAsia="宋体" w:cs="Arial"/>
          <w:sz w:val="24"/>
          <w:szCs w:val="24"/>
        </w:rPr>
        <w:t>支持</w:t>
      </w:r>
      <w:r>
        <w:rPr>
          <w:rFonts w:cs="Arial" w:asciiTheme="majorEastAsia" w:hAnsiTheme="majorEastAsia" w:eastAsiaTheme="majorEastAsia"/>
          <w:sz w:val="24"/>
          <w:szCs w:val="24"/>
        </w:rPr>
        <w:t>”</w:t>
      </w:r>
      <w:r>
        <w:rPr>
          <w:rFonts w:ascii="Arial" w:hAnsi="Arial" w:eastAsia="宋体" w:cs="Arial"/>
          <w:sz w:val="24"/>
          <w:szCs w:val="24"/>
        </w:rPr>
        <w:t>解释为包括提供物质支持，例如货币支持或研究用产品。（关于</w:t>
      </w:r>
      <w:r>
        <w:rPr>
          <w:rFonts w:ascii="宋体" w:hAnsi="宋体" w:eastAsia="宋体" w:cs="Arial"/>
          <w:sz w:val="24"/>
          <w:szCs w:val="24"/>
        </w:rPr>
        <w:t>“</w:t>
      </w:r>
      <w:r>
        <w:rPr>
          <w:rFonts w:ascii="Arial" w:hAnsi="Arial" w:eastAsia="宋体" w:cs="Arial"/>
          <w:sz w:val="24"/>
          <w:szCs w:val="24"/>
        </w:rPr>
        <w:t>物质支持</w:t>
      </w:r>
      <w:r>
        <w:rPr>
          <w:rFonts w:cs="Arial" w:asciiTheme="majorEastAsia" w:hAnsiTheme="majorEastAsia" w:eastAsiaTheme="majorEastAsia"/>
          <w:sz w:val="24"/>
          <w:szCs w:val="24"/>
        </w:rPr>
        <w:t>”</w:t>
      </w:r>
      <w:r>
        <w:rPr>
          <w:rFonts w:ascii="Arial" w:hAnsi="Arial" w:eastAsia="宋体" w:cs="Arial"/>
          <w:sz w:val="24"/>
          <w:szCs w:val="24"/>
        </w:rPr>
        <w:t>的进一步说明，请参见</w:t>
      </w:r>
      <w:r>
        <w:rPr>
          <w:rFonts w:ascii="Arial" w:hAnsi="Arial" w:eastAsia="宋体" w:cs="Arial"/>
          <w:color w:val="0000FF"/>
          <w:sz w:val="24"/>
          <w:szCs w:val="24"/>
          <w:u w:val="single"/>
        </w:rPr>
        <w:t>问题E.9</w:t>
      </w:r>
      <w:r>
        <w:rPr>
          <w:rFonts w:ascii="Arial" w:hAnsi="Arial" w:eastAsia="宋体" w:cs="Arial"/>
          <w:sz w:val="24"/>
          <w:szCs w:val="24"/>
        </w:rPr>
        <w:t>）。不同于其他FDA条例（如21 CFR 312和812）中的</w:t>
      </w:r>
      <w:r>
        <w:rPr>
          <w:rFonts w:ascii="宋体" w:hAnsi="宋体" w:eastAsia="宋体" w:cs="Arial"/>
          <w:sz w:val="24"/>
          <w:szCs w:val="24"/>
        </w:rPr>
        <w:t>“</w:t>
      </w:r>
      <w:r>
        <w:rPr>
          <w:rFonts w:ascii="Arial" w:hAnsi="Arial" w:eastAsia="宋体" w:cs="Arial"/>
          <w:sz w:val="24"/>
          <w:szCs w:val="24"/>
        </w:rPr>
        <w:t>申办方</w:t>
      </w:r>
      <w:r>
        <w:rPr>
          <w:rFonts w:cs="Arial" w:asciiTheme="majorEastAsia" w:hAnsiTheme="majorEastAsia" w:eastAsiaTheme="majorEastAsia"/>
          <w:sz w:val="24"/>
          <w:szCs w:val="24"/>
        </w:rPr>
        <w:t>”</w:t>
      </w:r>
      <w:r>
        <w:rPr>
          <w:rFonts w:ascii="Arial" w:hAnsi="Arial" w:eastAsia="宋体" w:cs="Arial"/>
          <w:sz w:val="24"/>
          <w:szCs w:val="24"/>
        </w:rPr>
        <w:t>含义，即申办方可以是发起或负责临床研究的人（21 CFR§§312.3（b）和812.3（n））。而</w:t>
      </w:r>
      <w:r>
        <w:rPr>
          <w:rFonts w:hint="eastAsia" w:ascii="Arial" w:hAnsi="Arial" w:eastAsia="宋体" w:cs="Arial"/>
          <w:sz w:val="24"/>
          <w:szCs w:val="24"/>
        </w:rPr>
        <w:t>根据</w:t>
      </w:r>
      <w:r>
        <w:rPr>
          <w:rFonts w:ascii="Arial" w:hAnsi="Arial" w:eastAsia="宋体" w:cs="Arial"/>
          <w:sz w:val="24"/>
          <w:szCs w:val="24"/>
        </w:rPr>
        <w:t>第54</w:t>
      </w:r>
      <w:r>
        <w:rPr>
          <w:rFonts w:hint="eastAsia" w:ascii="Arial" w:hAnsi="Arial" w:eastAsia="宋体" w:cs="Arial"/>
          <w:sz w:val="24"/>
          <w:szCs w:val="24"/>
        </w:rPr>
        <w:t>部分</w:t>
      </w:r>
      <w:r>
        <w:rPr>
          <w:rFonts w:ascii="Arial" w:hAnsi="Arial" w:eastAsia="宋体" w:cs="Arial"/>
          <w:sz w:val="24"/>
          <w:szCs w:val="24"/>
        </w:rPr>
        <w:t>的申办方定义通常包括IND/IDE的申办方（如21 CFR第312</w:t>
      </w:r>
      <w:r>
        <w:rPr>
          <w:rFonts w:hint="eastAsia" w:ascii="Arial" w:hAnsi="Arial" w:eastAsia="宋体" w:cs="Arial"/>
          <w:sz w:val="24"/>
          <w:szCs w:val="24"/>
        </w:rPr>
        <w:t>部分</w:t>
      </w:r>
      <w:r>
        <w:rPr>
          <w:rFonts w:ascii="Arial" w:hAnsi="Arial" w:eastAsia="宋体" w:cs="Arial"/>
          <w:sz w:val="24"/>
          <w:szCs w:val="24"/>
        </w:rPr>
        <w:t>和812</w:t>
      </w:r>
      <w:r>
        <w:rPr>
          <w:rFonts w:hint="eastAsia" w:ascii="Arial" w:hAnsi="Arial" w:eastAsia="宋体" w:cs="Arial"/>
          <w:sz w:val="24"/>
          <w:szCs w:val="24"/>
        </w:rPr>
        <w:t>部分</w:t>
      </w:r>
      <w:r>
        <w:rPr>
          <w:rFonts w:ascii="Arial" w:hAnsi="Arial" w:eastAsia="宋体" w:cs="Arial"/>
          <w:sz w:val="24"/>
          <w:szCs w:val="24"/>
        </w:rPr>
        <w:t>所定义），也包括为研究提供物质支持的任何其他个人。因此，</w:t>
      </w:r>
      <w:r>
        <w:rPr>
          <w:rFonts w:hint="eastAsia" w:ascii="Arial" w:hAnsi="Arial" w:eastAsia="宋体" w:cs="Arial"/>
          <w:sz w:val="24"/>
          <w:szCs w:val="24"/>
        </w:rPr>
        <w:t>基于</w:t>
      </w:r>
      <w:r>
        <w:rPr>
          <w:rFonts w:ascii="Arial" w:hAnsi="Arial" w:eastAsia="宋体" w:cs="Arial"/>
          <w:sz w:val="24"/>
          <w:szCs w:val="24"/>
        </w:rPr>
        <w:t>财务披露的目的，涉及临床研究可能有</w:t>
      </w:r>
      <w:r>
        <w:rPr>
          <w:rFonts w:hint="eastAsia" w:ascii="Arial" w:hAnsi="Arial" w:eastAsia="宋体" w:cs="Arial"/>
          <w:sz w:val="24"/>
          <w:szCs w:val="24"/>
        </w:rPr>
        <w:t>多名</w:t>
      </w:r>
      <w:r>
        <w:rPr>
          <w:rFonts w:ascii="Arial" w:hAnsi="Arial" w:eastAsia="宋体" w:cs="Arial"/>
          <w:sz w:val="24"/>
          <w:szCs w:val="24"/>
        </w:rPr>
        <w:t>申办方。当申办方超过</w:t>
      </w:r>
      <w:r>
        <w:rPr>
          <w:rFonts w:hint="eastAsia" w:ascii="Arial" w:hAnsi="Arial" w:eastAsia="宋体" w:cs="Arial"/>
          <w:sz w:val="24"/>
          <w:szCs w:val="24"/>
        </w:rPr>
        <w:t>1名</w:t>
      </w:r>
      <w:r>
        <w:rPr>
          <w:rFonts w:ascii="Arial" w:hAnsi="Arial" w:eastAsia="宋体" w:cs="Arial"/>
          <w:sz w:val="24"/>
          <w:szCs w:val="24"/>
        </w:rPr>
        <w:t>时，FDA将此条例解释为触发报告的美元金额分别适用于</w:t>
      </w:r>
      <w:r>
        <w:rPr>
          <w:rFonts w:hint="eastAsia" w:ascii="Arial" w:hAnsi="Arial" w:eastAsia="宋体" w:cs="Arial"/>
          <w:sz w:val="24"/>
          <w:szCs w:val="24"/>
        </w:rPr>
        <w:t>每名</w:t>
      </w:r>
      <w:r>
        <w:rPr>
          <w:rFonts w:ascii="Arial" w:hAnsi="Arial" w:eastAsia="宋体" w:cs="Arial"/>
          <w:sz w:val="24"/>
          <w:szCs w:val="24"/>
        </w:rPr>
        <w:t>申办方。</w:t>
      </w:r>
    </w:p>
    <w:p w14:paraId="064FF334">
      <w:pPr>
        <w:pStyle w:val="54"/>
        <w:shd w:val="clear" w:color="auto" w:fill="auto"/>
        <w:overflowPunct w:val="0"/>
        <w:adjustRightInd w:val="0"/>
        <w:snapToGrid w:val="0"/>
        <w:spacing w:before="0" w:after="156" w:afterLines="50" w:line="336"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E.2</w:t>
      </w:r>
      <w:r>
        <w:rPr>
          <w:rFonts w:hint="eastAsia" w:ascii="Arial" w:hAnsi="Arial" w:eastAsia="宋体" w:cs="Arial"/>
          <w:bCs w:val="0"/>
          <w:sz w:val="24"/>
          <w:szCs w:val="24"/>
        </w:rPr>
        <w:tab/>
      </w:r>
      <w:r>
        <w:rPr>
          <w:rFonts w:ascii="Arial" w:hAnsi="Arial" w:eastAsia="宋体" w:cs="Arial"/>
          <w:bCs w:val="0"/>
          <w:sz w:val="24"/>
          <w:szCs w:val="24"/>
        </w:rPr>
        <w:t>问：</w:t>
      </w:r>
      <w:r>
        <w:rPr>
          <w:rFonts w:ascii="Arial" w:hAnsi="Arial" w:eastAsia="宋体" w:cs="Arial"/>
          <w:sz w:val="24"/>
          <w:szCs w:val="24"/>
        </w:rPr>
        <w:t>IND</w:t>
      </w:r>
      <w:r>
        <w:rPr>
          <w:rFonts w:ascii="Arial" w:hAnsi="Arial" w:eastAsia="宋体" w:cs="Arial"/>
          <w:bCs w:val="0"/>
          <w:sz w:val="24"/>
          <w:szCs w:val="24"/>
        </w:rPr>
        <w:t>和IDE的申办方在研究开始之前有哪些关于信息收集的义务？</w:t>
      </w:r>
    </w:p>
    <w:p w14:paraId="5151861D">
      <w:pPr>
        <w:pStyle w:val="50"/>
        <w:shd w:val="clear" w:color="auto" w:fill="auto"/>
        <w:overflowPunct w:val="0"/>
        <w:adjustRightInd w:val="0"/>
        <w:snapToGrid w:val="0"/>
        <w:spacing w:before="0" w:after="156" w:afterLines="50" w:line="336"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IND和IDE条例规定，在允许研究者开始参与研究之前，IND/IDE的申办方（即21 CFR第312</w:t>
      </w:r>
      <w:r>
        <w:rPr>
          <w:rFonts w:hint="eastAsia" w:ascii="Arial" w:hAnsi="Arial" w:eastAsia="宋体" w:cs="Arial"/>
          <w:sz w:val="24"/>
          <w:szCs w:val="24"/>
        </w:rPr>
        <w:t>部分</w:t>
      </w:r>
      <w:r>
        <w:rPr>
          <w:rFonts w:ascii="Arial" w:hAnsi="Arial" w:eastAsia="宋体" w:cs="Arial"/>
          <w:sz w:val="24"/>
          <w:szCs w:val="24"/>
        </w:rPr>
        <w:t>和812</w:t>
      </w:r>
      <w:r>
        <w:rPr>
          <w:rFonts w:hint="eastAsia" w:ascii="Arial" w:hAnsi="Arial" w:eastAsia="宋体" w:cs="Arial"/>
          <w:sz w:val="24"/>
          <w:szCs w:val="24"/>
        </w:rPr>
        <w:t>部分</w:t>
      </w:r>
      <w:r>
        <w:rPr>
          <w:rFonts w:ascii="Arial" w:hAnsi="Arial" w:eastAsia="宋体" w:cs="Arial"/>
          <w:sz w:val="24"/>
          <w:szCs w:val="24"/>
        </w:rPr>
        <w:t>中所规定的申办方）必须获得充分而准确的财务信息，以使申请人可以根据21 CFR第54</w:t>
      </w:r>
      <w:r>
        <w:rPr>
          <w:rFonts w:hint="eastAsia" w:ascii="Arial" w:hAnsi="Arial" w:eastAsia="宋体" w:cs="Arial"/>
          <w:sz w:val="24"/>
          <w:szCs w:val="24"/>
        </w:rPr>
        <w:t>部分</w:t>
      </w:r>
      <w:r>
        <w:rPr>
          <w:rFonts w:ascii="Arial" w:hAnsi="Arial" w:eastAsia="宋体" w:cs="Arial"/>
          <w:sz w:val="24"/>
          <w:szCs w:val="24"/>
        </w:rPr>
        <w:t>（21 CFR§§312.53和812.43）的要求提交完整而准确的证明或披露声明。由于研究者并不了解提供支持的所有各方的身份，为了满足这些要求并确保完全披露，IND/IDE的申办方应对研究者明确所有的</w:t>
      </w:r>
      <w:r>
        <w:rPr>
          <w:rFonts w:ascii="宋体" w:hAnsi="宋体" w:eastAsia="宋体" w:cs="Arial"/>
          <w:sz w:val="24"/>
          <w:szCs w:val="24"/>
        </w:rPr>
        <w:t>“</w:t>
      </w:r>
      <w:r>
        <w:rPr>
          <w:rFonts w:ascii="Arial" w:hAnsi="Arial" w:eastAsia="宋体" w:cs="Arial"/>
          <w:sz w:val="24"/>
          <w:szCs w:val="24"/>
        </w:rPr>
        <w:t>涉及临床研究</w:t>
      </w:r>
      <w:r>
        <w:rPr>
          <w:rFonts w:hint="eastAsia" w:ascii="Arial" w:hAnsi="Arial" w:eastAsia="宋体" w:cs="Arial"/>
          <w:sz w:val="24"/>
          <w:szCs w:val="24"/>
        </w:rPr>
        <w:t>的</w:t>
      </w:r>
      <w:r>
        <w:rPr>
          <w:rFonts w:ascii="Arial" w:hAnsi="Arial" w:eastAsia="宋体" w:cs="Arial"/>
          <w:sz w:val="24"/>
          <w:szCs w:val="24"/>
        </w:rPr>
        <w:t>申办方</w:t>
      </w:r>
      <w:r>
        <w:rPr>
          <w:rFonts w:cs="Arial" w:asciiTheme="majorEastAsia" w:hAnsiTheme="majorEastAsia" w:eastAsiaTheme="majorEastAsia"/>
          <w:sz w:val="24"/>
          <w:szCs w:val="24"/>
        </w:rPr>
        <w:t>”</w:t>
      </w:r>
      <w:r>
        <w:rPr>
          <w:rFonts w:ascii="Arial" w:hAnsi="Arial" w:eastAsia="宋体" w:cs="Arial"/>
          <w:sz w:val="24"/>
          <w:szCs w:val="24"/>
        </w:rPr>
        <w:t>（21 CFR第54.2（h）</w:t>
      </w:r>
      <w:r>
        <w:rPr>
          <w:rFonts w:hint="eastAsia" w:ascii="Arial" w:hAnsi="Arial" w:eastAsia="宋体" w:cs="Arial"/>
          <w:sz w:val="24"/>
          <w:szCs w:val="24"/>
        </w:rPr>
        <w:t>部分</w:t>
      </w:r>
      <w:r>
        <w:rPr>
          <w:rFonts w:ascii="Arial" w:hAnsi="Arial" w:eastAsia="宋体" w:cs="Arial"/>
          <w:sz w:val="24"/>
          <w:szCs w:val="24"/>
        </w:rPr>
        <w:t>定义）。</w:t>
      </w:r>
    </w:p>
    <w:p w14:paraId="3F5FCDB5">
      <w:pPr>
        <w:pStyle w:val="50"/>
        <w:shd w:val="clear" w:color="auto" w:fill="auto"/>
        <w:overflowPunct w:val="0"/>
        <w:adjustRightInd w:val="0"/>
        <w:snapToGrid w:val="0"/>
        <w:spacing w:before="0" w:after="156" w:afterLines="50" w:line="336" w:lineRule="auto"/>
        <w:ind w:left="796" w:leftChars="362" w:firstLine="0"/>
        <w:jc w:val="both"/>
        <w:rPr>
          <w:rFonts w:ascii="Arial" w:hAnsi="Arial" w:eastAsia="宋体" w:cs="Arial"/>
          <w:sz w:val="24"/>
          <w:szCs w:val="24"/>
        </w:rPr>
      </w:pPr>
      <w:r>
        <w:rPr>
          <w:rFonts w:ascii="Arial" w:hAnsi="Arial" w:eastAsia="宋体" w:cs="Arial"/>
          <w:sz w:val="24"/>
          <w:szCs w:val="24"/>
        </w:rPr>
        <w:t>如果在研究过程中和研究完成后一年内发生任何的相关变化，申办方还需要获得研究者将及时更新此信息的承诺（21 CFR§§312.53和812.43）。通过在研究开始之前收集信息，申办方</w:t>
      </w:r>
      <w:r>
        <w:rPr>
          <w:rFonts w:hint="eastAsia" w:ascii="Arial" w:hAnsi="Arial" w:eastAsia="宋体" w:cs="Arial"/>
          <w:sz w:val="24"/>
          <w:szCs w:val="24"/>
        </w:rPr>
        <w:t>将</w:t>
      </w:r>
      <w:r>
        <w:rPr>
          <w:rFonts w:ascii="Arial" w:hAnsi="Arial" w:eastAsia="宋体" w:cs="Arial"/>
          <w:sz w:val="24"/>
          <w:szCs w:val="24"/>
        </w:rPr>
        <w:t>意识到任何潜在的问题，可以在早期向</w:t>
      </w:r>
      <w:r>
        <w:rPr>
          <w:rFonts w:hint="eastAsia" w:ascii="Arial" w:hAnsi="Arial" w:eastAsia="宋体" w:cs="Arial"/>
          <w:sz w:val="24"/>
          <w:szCs w:val="24"/>
        </w:rPr>
        <w:t>机构</w:t>
      </w:r>
      <w:r>
        <w:rPr>
          <w:rFonts w:ascii="Arial" w:hAnsi="Arial" w:eastAsia="宋体" w:cs="Arial"/>
          <w:sz w:val="24"/>
          <w:szCs w:val="24"/>
        </w:rPr>
        <w:t>咨询，并可以采取措施以使任何偏倚的可能性最小化。</w:t>
      </w:r>
    </w:p>
    <w:p w14:paraId="19135EEF">
      <w:pPr>
        <w:pStyle w:val="54"/>
        <w:shd w:val="clear" w:color="auto" w:fill="auto"/>
        <w:overflowPunct w:val="0"/>
        <w:adjustRightInd w:val="0"/>
        <w:snapToGrid w:val="0"/>
        <w:spacing w:before="0" w:after="156" w:afterLines="50" w:line="336"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E.3</w:t>
      </w:r>
      <w:r>
        <w:rPr>
          <w:rFonts w:hint="eastAsia" w:ascii="Arial" w:hAnsi="Arial" w:eastAsia="宋体" w:cs="Arial"/>
          <w:bCs w:val="0"/>
          <w:sz w:val="24"/>
          <w:szCs w:val="24"/>
        </w:rPr>
        <w:tab/>
      </w:r>
      <w:r>
        <w:rPr>
          <w:rFonts w:ascii="Arial" w:hAnsi="Arial" w:eastAsia="宋体" w:cs="Arial"/>
          <w:bCs w:val="0"/>
          <w:sz w:val="24"/>
          <w:szCs w:val="24"/>
        </w:rPr>
        <w:t>问：</w:t>
      </w:r>
      <w:r>
        <w:rPr>
          <w:rFonts w:ascii="Arial" w:hAnsi="Arial" w:eastAsia="宋体" w:cs="Arial"/>
          <w:sz w:val="24"/>
          <w:szCs w:val="24"/>
        </w:rPr>
        <w:t>为什么</w:t>
      </w:r>
      <w:r>
        <w:rPr>
          <w:rFonts w:ascii="Arial" w:hAnsi="Arial" w:eastAsia="宋体" w:cs="Arial"/>
          <w:bCs w:val="0"/>
          <w:sz w:val="24"/>
          <w:szCs w:val="24"/>
        </w:rPr>
        <w:t>IND/IDE申办方有责任从研究者处获得财务信息？</w:t>
      </w:r>
    </w:p>
    <w:p w14:paraId="047A81BE">
      <w:pPr>
        <w:pStyle w:val="50"/>
        <w:shd w:val="clear" w:color="auto" w:fill="auto"/>
        <w:overflowPunct w:val="0"/>
        <w:adjustRightInd w:val="0"/>
        <w:snapToGrid w:val="0"/>
        <w:spacing w:before="0" w:after="156" w:afterLines="50" w:line="336"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虽然向FDA提交报告是申请人的责任，但IND / IDE申办方必须在允许研究者参与临床研究之前收集财务信息（21 CFR§§312.53</w:t>
      </w:r>
      <w:r>
        <w:rPr>
          <w:rFonts w:hint="eastAsia" w:ascii="Arial" w:hAnsi="Arial" w:eastAsia="宋体" w:cs="Arial"/>
          <w:sz w:val="24"/>
          <w:szCs w:val="24"/>
        </w:rPr>
        <w:t>、</w:t>
      </w:r>
      <w:r>
        <w:rPr>
          <w:rFonts w:ascii="Arial" w:hAnsi="Arial" w:eastAsia="宋体" w:cs="Arial"/>
          <w:sz w:val="24"/>
          <w:szCs w:val="24"/>
        </w:rPr>
        <w:t>812.20（b）（5））和812.43）。这个要求的有双重目的：</w:t>
      </w:r>
    </w:p>
    <w:p w14:paraId="0F467032">
      <w:pPr>
        <w:pStyle w:val="50"/>
        <w:numPr>
          <w:ilvl w:val="0"/>
          <w:numId w:val="6"/>
        </w:numPr>
        <w:shd w:val="clear" w:color="auto" w:fill="auto"/>
        <w:overflowPunct w:val="0"/>
        <w:adjustRightInd w:val="0"/>
        <w:snapToGrid w:val="0"/>
        <w:spacing w:before="0" w:after="156" w:afterLines="50" w:line="336" w:lineRule="auto"/>
        <w:ind w:left="1343" w:hanging="544"/>
        <w:jc w:val="both"/>
        <w:rPr>
          <w:rFonts w:ascii="Arial" w:hAnsi="Arial" w:eastAsia="宋体" w:cs="Arial"/>
          <w:sz w:val="24"/>
          <w:szCs w:val="24"/>
        </w:rPr>
      </w:pPr>
      <w:r>
        <w:rPr>
          <w:rFonts w:ascii="Arial" w:hAnsi="Arial" w:eastAsia="宋体" w:cs="Arial"/>
          <w:sz w:val="24"/>
          <w:szCs w:val="24"/>
        </w:rPr>
        <w:t>在产品开发过程中，尽早提醒IND/IDE的申办方关于研究的经济利益或协议任何可能的问题，以尽量减少研究偏倚的可能性；</w:t>
      </w:r>
    </w:p>
    <w:p w14:paraId="41FACDFF">
      <w:pPr>
        <w:pStyle w:val="50"/>
        <w:numPr>
          <w:ilvl w:val="0"/>
          <w:numId w:val="6"/>
        </w:numPr>
        <w:shd w:val="clear" w:color="auto" w:fill="auto"/>
        <w:overflowPunct w:val="0"/>
        <w:adjustRightInd w:val="0"/>
        <w:snapToGrid w:val="0"/>
        <w:spacing w:before="0" w:after="156" w:afterLines="50" w:line="336" w:lineRule="auto"/>
        <w:ind w:left="1343" w:hanging="544"/>
        <w:jc w:val="both"/>
        <w:rPr>
          <w:rFonts w:ascii="Arial" w:hAnsi="Arial" w:eastAsia="宋体" w:cs="Arial"/>
          <w:sz w:val="24"/>
          <w:szCs w:val="24"/>
        </w:rPr>
      </w:pPr>
      <w:r>
        <w:rPr>
          <w:rFonts w:ascii="Arial" w:hAnsi="Arial" w:eastAsia="宋体" w:cs="Arial"/>
          <w:sz w:val="24"/>
          <w:szCs w:val="24"/>
        </w:rPr>
        <w:t>便于准确收集直到几年后才需要提交的财务信息。</w:t>
      </w:r>
    </w:p>
    <w:p w14:paraId="6336B75B">
      <w:pPr>
        <w:pStyle w:val="50"/>
        <w:shd w:val="clear" w:color="auto" w:fill="auto"/>
        <w:overflowPunct w:val="0"/>
        <w:adjustRightInd w:val="0"/>
        <w:snapToGrid w:val="0"/>
        <w:spacing w:before="0" w:after="156" w:afterLines="50" w:line="336" w:lineRule="auto"/>
        <w:ind w:left="796" w:leftChars="362" w:firstLine="0"/>
        <w:jc w:val="both"/>
        <w:rPr>
          <w:rFonts w:ascii="Arial" w:hAnsi="Arial" w:eastAsia="宋体" w:cs="Arial"/>
          <w:sz w:val="24"/>
          <w:szCs w:val="24"/>
        </w:rPr>
      </w:pPr>
      <w:r>
        <w:rPr>
          <w:rFonts w:ascii="Arial" w:hAnsi="Arial" w:eastAsia="宋体" w:cs="Arial"/>
          <w:sz w:val="24"/>
          <w:szCs w:val="24"/>
        </w:rPr>
        <w:t>与研究者联系的IND/IDE申办方</w:t>
      </w:r>
      <w:r>
        <w:rPr>
          <w:rFonts w:hint="eastAsia" w:ascii="Arial" w:hAnsi="Arial" w:eastAsia="宋体" w:cs="Arial"/>
          <w:sz w:val="24"/>
          <w:szCs w:val="24"/>
        </w:rPr>
        <w:t>是咨询</w:t>
      </w:r>
      <w:r>
        <w:rPr>
          <w:rFonts w:ascii="Arial" w:hAnsi="Arial" w:eastAsia="宋体" w:cs="Arial"/>
          <w:sz w:val="24"/>
          <w:szCs w:val="24"/>
        </w:rPr>
        <w:t>有关研究者的经济利益和协议的最佳</w:t>
      </w:r>
      <w:r>
        <w:rPr>
          <w:rFonts w:hint="eastAsia" w:ascii="Arial" w:hAnsi="Arial" w:eastAsia="宋体" w:cs="Arial"/>
          <w:sz w:val="24"/>
          <w:szCs w:val="24"/>
        </w:rPr>
        <w:t>人选</w:t>
      </w:r>
      <w:r>
        <w:rPr>
          <w:rFonts w:ascii="Arial" w:hAnsi="Arial" w:eastAsia="宋体" w:cs="Arial"/>
          <w:sz w:val="24"/>
          <w:szCs w:val="24"/>
        </w:rPr>
        <w:t>，此义务适用于任何IND / IDE的申办方（如商业、政府或合同研究组织（CRO））。</w:t>
      </w:r>
    </w:p>
    <w:p w14:paraId="079F9D3D">
      <w:pPr>
        <w:spacing w:after="0" w:line="240" w:lineRule="auto"/>
        <w:rPr>
          <w:rFonts w:ascii="Arial" w:hAnsi="Arial" w:eastAsia="宋体" w:cs="Arial"/>
          <w:kern w:val="2"/>
          <w:sz w:val="24"/>
          <w:szCs w:val="24"/>
        </w:rPr>
      </w:pPr>
      <w:r>
        <w:rPr>
          <w:rFonts w:ascii="Arial" w:hAnsi="Arial" w:eastAsia="宋体" w:cs="Arial"/>
          <w:sz w:val="24"/>
          <w:szCs w:val="24"/>
        </w:rPr>
        <w:br w:type="page"/>
      </w:r>
    </w:p>
    <w:p w14:paraId="5C6E1B0B">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IND/IDE申办方需要对涉及临床研究</w:t>
      </w:r>
      <w:r>
        <w:rPr>
          <w:rFonts w:hint="eastAsia" w:ascii="Arial" w:hAnsi="Arial" w:eastAsia="宋体" w:cs="Arial"/>
          <w:sz w:val="24"/>
          <w:szCs w:val="24"/>
        </w:rPr>
        <w:t>的</w:t>
      </w:r>
      <w:r>
        <w:rPr>
          <w:rFonts w:ascii="Arial" w:hAnsi="Arial" w:eastAsia="宋体" w:cs="Arial"/>
          <w:sz w:val="24"/>
          <w:szCs w:val="24"/>
        </w:rPr>
        <w:t>申办方</w:t>
      </w:r>
      <w:r>
        <w:rPr>
          <w:rFonts w:hint="eastAsia" w:ascii="Arial" w:hAnsi="Arial" w:eastAsia="宋体" w:cs="Arial"/>
          <w:sz w:val="24"/>
          <w:szCs w:val="24"/>
        </w:rPr>
        <w:t>的</w:t>
      </w:r>
      <w:r>
        <w:rPr>
          <w:rFonts w:ascii="Arial" w:hAnsi="Arial" w:eastAsia="宋体" w:cs="Arial"/>
          <w:sz w:val="24"/>
          <w:szCs w:val="24"/>
        </w:rPr>
        <w:t>任何经济利益或协议保留完整而准确的记录，如21 CFR§54.4（a）（3）（i-iv）（21CFR§§312.57（b）和812.140（b）（3））中所述。IND/IDE的申办方也</w:t>
      </w:r>
      <w:r>
        <w:rPr>
          <w:rFonts w:hint="eastAsia" w:ascii="Arial" w:hAnsi="Arial" w:eastAsia="宋体" w:cs="Arial"/>
          <w:sz w:val="24"/>
          <w:szCs w:val="24"/>
        </w:rPr>
        <w:t>是</w:t>
      </w:r>
      <w:r>
        <w:rPr>
          <w:rFonts w:ascii="Arial" w:hAnsi="Arial" w:eastAsia="宋体" w:cs="Arial"/>
          <w:sz w:val="24"/>
          <w:szCs w:val="24"/>
        </w:rPr>
        <w:t>确保收集所需财务信息并提供给申请人公司的最佳</w:t>
      </w:r>
      <w:r>
        <w:rPr>
          <w:rFonts w:hint="eastAsia" w:ascii="Arial" w:hAnsi="Arial" w:eastAsia="宋体" w:cs="Arial"/>
          <w:sz w:val="24"/>
          <w:szCs w:val="24"/>
        </w:rPr>
        <w:t>人选</w:t>
      </w:r>
      <w:r>
        <w:rPr>
          <w:rFonts w:ascii="Arial" w:hAnsi="Arial" w:eastAsia="宋体" w:cs="Arial"/>
          <w:sz w:val="24"/>
          <w:szCs w:val="24"/>
        </w:rPr>
        <w:t>，以</w:t>
      </w:r>
      <w:r>
        <w:rPr>
          <w:rFonts w:hint="eastAsia" w:ascii="Arial" w:hAnsi="Arial" w:eastAsia="宋体" w:cs="Arial"/>
          <w:sz w:val="24"/>
          <w:szCs w:val="24"/>
        </w:rPr>
        <w:t>便</w:t>
      </w:r>
      <w:r>
        <w:rPr>
          <w:rFonts w:ascii="Arial" w:hAnsi="Arial" w:eastAsia="宋体" w:cs="Arial"/>
          <w:sz w:val="24"/>
          <w:szCs w:val="24"/>
        </w:rPr>
        <w:t>信息可以纳入上市申请中。（参见21 CFR§§54.4</w:t>
      </w:r>
      <w:r>
        <w:rPr>
          <w:rFonts w:hint="eastAsia" w:ascii="Arial" w:hAnsi="Arial" w:eastAsia="宋体" w:cs="Arial"/>
          <w:sz w:val="24"/>
          <w:szCs w:val="24"/>
        </w:rPr>
        <w:t>、</w:t>
      </w:r>
      <w:r>
        <w:rPr>
          <w:rFonts w:ascii="Arial" w:hAnsi="Arial" w:eastAsia="宋体" w:cs="Arial"/>
          <w:sz w:val="24"/>
          <w:szCs w:val="24"/>
        </w:rPr>
        <w:t>312.53</w:t>
      </w:r>
      <w:r>
        <w:rPr>
          <w:rFonts w:hint="eastAsia" w:ascii="Arial" w:hAnsi="Arial" w:eastAsia="宋体" w:cs="Arial"/>
          <w:sz w:val="24"/>
          <w:szCs w:val="24"/>
        </w:rPr>
        <w:t>、</w:t>
      </w:r>
      <w:r>
        <w:rPr>
          <w:rFonts w:ascii="Arial" w:hAnsi="Arial" w:eastAsia="宋体" w:cs="Arial"/>
          <w:sz w:val="24"/>
          <w:szCs w:val="24"/>
        </w:rPr>
        <w:t>312.57（b）</w:t>
      </w:r>
      <w:r>
        <w:rPr>
          <w:rFonts w:hint="eastAsia" w:ascii="Arial" w:hAnsi="Arial" w:eastAsia="宋体" w:cs="Arial"/>
          <w:sz w:val="24"/>
          <w:szCs w:val="24"/>
        </w:rPr>
        <w:t>、</w:t>
      </w:r>
      <w:r>
        <w:rPr>
          <w:rFonts w:ascii="Arial" w:hAnsi="Arial" w:eastAsia="宋体" w:cs="Arial"/>
          <w:sz w:val="24"/>
          <w:szCs w:val="24"/>
        </w:rPr>
        <w:t>812.43和812.140（b）（3））。</w:t>
      </w:r>
    </w:p>
    <w:p w14:paraId="0F5B85BB">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IND / IDE的申办方在美国以外进行涉及的临床研究时应注意，第54</w:t>
      </w:r>
      <w:r>
        <w:rPr>
          <w:rFonts w:hint="eastAsia" w:ascii="Arial" w:hAnsi="Arial" w:eastAsia="宋体" w:cs="Arial"/>
          <w:sz w:val="24"/>
          <w:szCs w:val="24"/>
        </w:rPr>
        <w:t>部分</w:t>
      </w:r>
      <w:r>
        <w:rPr>
          <w:rFonts w:ascii="Arial" w:hAnsi="Arial" w:eastAsia="宋体" w:cs="Arial"/>
          <w:sz w:val="24"/>
          <w:szCs w:val="24"/>
        </w:rPr>
        <w:t>条例对国外和国内没有区别。更多信息，请参见</w:t>
      </w:r>
      <w:r>
        <w:rPr>
          <w:rFonts w:ascii="Arial" w:hAnsi="Arial" w:eastAsia="宋体" w:cs="Arial"/>
          <w:color w:val="0000FF"/>
          <w:sz w:val="24"/>
          <w:szCs w:val="24"/>
          <w:u w:val="single"/>
        </w:rPr>
        <w:t>问题F.3</w:t>
      </w:r>
      <w:r>
        <w:rPr>
          <w:rFonts w:ascii="Arial" w:hAnsi="Arial" w:eastAsia="宋体" w:cs="Arial"/>
          <w:sz w:val="24"/>
          <w:szCs w:val="24"/>
        </w:rPr>
        <w:t>。</w:t>
      </w:r>
    </w:p>
    <w:p w14:paraId="7B1C0895">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E.4</w:t>
      </w:r>
      <w:r>
        <w:rPr>
          <w:rFonts w:hint="eastAsia" w:ascii="Arial" w:hAnsi="Arial" w:eastAsia="宋体" w:cs="Arial"/>
          <w:bCs w:val="0"/>
          <w:sz w:val="24"/>
          <w:szCs w:val="24"/>
        </w:rPr>
        <w:tab/>
      </w:r>
      <w:r>
        <w:rPr>
          <w:rFonts w:ascii="Arial" w:hAnsi="Arial" w:eastAsia="宋体" w:cs="Arial"/>
          <w:bCs w:val="0"/>
          <w:sz w:val="24"/>
          <w:szCs w:val="24"/>
        </w:rPr>
        <w:t>问：</w:t>
      </w:r>
      <w:r>
        <w:rPr>
          <w:rFonts w:ascii="Arial" w:hAnsi="Arial" w:eastAsia="宋体" w:cs="Arial"/>
          <w:sz w:val="24"/>
          <w:szCs w:val="24"/>
        </w:rPr>
        <w:t>IND</w:t>
      </w:r>
      <w:r>
        <w:rPr>
          <w:rFonts w:ascii="Arial" w:hAnsi="Arial" w:eastAsia="宋体" w:cs="Arial"/>
          <w:bCs w:val="0"/>
          <w:sz w:val="24"/>
          <w:szCs w:val="24"/>
        </w:rPr>
        <w:t>/IDE的申办方是否有责任从临床研究者处获得1年的后续财务信息？</w:t>
      </w:r>
    </w:p>
    <w:p w14:paraId="1BD2E079">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：如上述E.2所答，IND/IDE申办方必须在允许研究者开始参与研究之前，获得临床研究者的财务信息，并得到研究者的承诺，如果在研究过程中和研究完成后一年内发生任何的相关变化，应及时更新此信息（21 CFR§§312.52和812.43）。该条例并未特别要求IND/IDE的申办方在研究完成后一年</w:t>
      </w:r>
      <w:r>
        <w:rPr>
          <w:rFonts w:hint="eastAsia" w:ascii="Arial" w:hAnsi="Arial" w:eastAsia="宋体" w:cs="Arial"/>
          <w:sz w:val="24"/>
          <w:szCs w:val="24"/>
        </w:rPr>
        <w:t>需获取</w:t>
      </w:r>
      <w:r>
        <w:rPr>
          <w:rFonts w:ascii="Arial" w:hAnsi="Arial" w:eastAsia="宋体" w:cs="Arial"/>
          <w:sz w:val="24"/>
          <w:szCs w:val="24"/>
        </w:rPr>
        <w:t>临床研究者信息。然而，条例要求IND/IDE的申办方需保留第54</w:t>
      </w:r>
      <w:r>
        <w:rPr>
          <w:rFonts w:hint="eastAsia" w:ascii="Arial" w:hAnsi="Arial" w:eastAsia="宋体" w:cs="Arial"/>
          <w:sz w:val="24"/>
          <w:szCs w:val="24"/>
        </w:rPr>
        <w:t>部分</w:t>
      </w:r>
      <w:r>
        <w:rPr>
          <w:rFonts w:ascii="Arial" w:hAnsi="Arial" w:eastAsia="宋体" w:cs="Arial"/>
          <w:sz w:val="24"/>
          <w:szCs w:val="24"/>
        </w:rPr>
        <w:t>（见21 CFR§§312.57（b）和812.140（b）（3））要求的临床研究者的所有经济利益和协议的完整而准确的记录，以确保研究者的合规性（见21 CFR§§312.56（b）和812.46（a））。因此，IND/IDE的申办方应采取措施确保临床研究者的顺应性，例如提醒临床研究者在研究过程中和研究完成后一年内发生任何相关变化时应及时更新其财务信息。</w:t>
      </w:r>
    </w:p>
    <w:p w14:paraId="0FA19755">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E.5</w:t>
      </w:r>
      <w:r>
        <w:rPr>
          <w:rFonts w:hint="eastAsia" w:ascii="Arial" w:hAnsi="Arial" w:eastAsia="宋体" w:cs="Arial"/>
          <w:bCs w:val="0"/>
          <w:sz w:val="24"/>
          <w:szCs w:val="24"/>
        </w:rPr>
        <w:tab/>
      </w:r>
      <w:r>
        <w:rPr>
          <w:rFonts w:ascii="Arial" w:hAnsi="Arial" w:eastAsia="宋体" w:cs="Arial"/>
          <w:bCs w:val="0"/>
          <w:sz w:val="24"/>
          <w:szCs w:val="24"/>
        </w:rPr>
        <w:t>问：如果IND/IDE的</w:t>
      </w:r>
      <w:r>
        <w:rPr>
          <w:rFonts w:ascii="Arial" w:hAnsi="Arial" w:eastAsia="宋体" w:cs="Arial"/>
          <w:sz w:val="24"/>
          <w:szCs w:val="24"/>
        </w:rPr>
        <w:t>申办方</w:t>
      </w:r>
      <w:r>
        <w:rPr>
          <w:rFonts w:ascii="Arial" w:hAnsi="Arial" w:eastAsia="宋体" w:cs="Arial"/>
          <w:bCs w:val="0"/>
          <w:sz w:val="24"/>
          <w:szCs w:val="24"/>
        </w:rPr>
        <w:t>不是提交上市申请的一方，该怎么办？</w:t>
      </w:r>
    </w:p>
    <w:p w14:paraId="4AFE32FF">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：在许多情况下，IND/IDE的申办方、第54</w:t>
      </w:r>
      <w:r>
        <w:rPr>
          <w:rFonts w:hint="eastAsia" w:ascii="Arial" w:hAnsi="Arial" w:eastAsia="宋体" w:cs="Arial"/>
          <w:sz w:val="24"/>
          <w:szCs w:val="24"/>
        </w:rPr>
        <w:t>部分</w:t>
      </w:r>
      <w:r>
        <w:rPr>
          <w:rFonts w:ascii="Arial" w:hAnsi="Arial" w:eastAsia="宋体" w:cs="Arial"/>
          <w:sz w:val="24"/>
          <w:szCs w:val="24"/>
        </w:rPr>
        <w:t>所述申办方和申请人将是同一方。但是，可能有时候并不是。例如，一个学术机构作为IND/IDE的申办方，一家药物公司作为第54</w:t>
      </w:r>
      <w:r>
        <w:rPr>
          <w:rFonts w:hint="eastAsia" w:ascii="Arial" w:hAnsi="Arial" w:eastAsia="宋体" w:cs="Arial"/>
          <w:sz w:val="24"/>
          <w:szCs w:val="24"/>
        </w:rPr>
        <w:t>部分</w:t>
      </w:r>
      <w:r>
        <w:rPr>
          <w:rFonts w:ascii="Arial" w:hAnsi="Arial" w:eastAsia="宋体" w:cs="Arial"/>
          <w:sz w:val="24"/>
          <w:szCs w:val="24"/>
        </w:rPr>
        <w:t>所述申办方并为研究提供资金或研究用药物。当提交上市申请时，该药物公司很可能是申请人。但是，如果该药物公司出售给另一家公司，申请人可能既不是IND/IDE申办方也不是第54</w:t>
      </w:r>
      <w:r>
        <w:rPr>
          <w:rFonts w:hint="eastAsia" w:ascii="Arial" w:hAnsi="Arial" w:eastAsia="宋体" w:cs="Arial"/>
          <w:sz w:val="24"/>
          <w:szCs w:val="24"/>
        </w:rPr>
        <w:t>部分</w:t>
      </w:r>
      <w:r>
        <w:rPr>
          <w:rFonts w:ascii="Arial" w:hAnsi="Arial" w:eastAsia="宋体" w:cs="Arial"/>
          <w:sz w:val="24"/>
          <w:szCs w:val="24"/>
        </w:rPr>
        <w:t>所述的申办方。</w:t>
      </w:r>
    </w:p>
    <w:p w14:paraId="100EDC66">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但是应该指出的是，即使IND/IDE的申办方不提交上市申请，IND/IDE的申办方仍要负责收集临床研究者的财务信息。向FDA报告财务信息的责任在于申请人；也就是说，第54</w:t>
      </w:r>
      <w:r>
        <w:rPr>
          <w:rFonts w:hint="eastAsia" w:ascii="Arial" w:hAnsi="Arial" w:eastAsia="宋体" w:cs="Arial"/>
          <w:sz w:val="24"/>
          <w:szCs w:val="24"/>
        </w:rPr>
        <w:t>部分</w:t>
      </w:r>
      <w:r>
        <w:rPr>
          <w:rFonts w:ascii="Arial" w:hAnsi="Arial" w:eastAsia="宋体" w:cs="Arial"/>
          <w:sz w:val="24"/>
          <w:szCs w:val="24"/>
        </w:rPr>
        <w:t>要求申请人在将上市申请提交给FDA（21 CFR§54.4（a））时提交财务信息。</w:t>
      </w:r>
    </w:p>
    <w:p w14:paraId="013F109C">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6A88A208">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如上所述，在问题E.3中，IND/IDE申办方负责收集国内外临床研究者的财务信息。如果申办方没有收集这些信息，例如，因为申办方进行了一项非IND/IDE的国外研究，且最初并未计划向FDA提交，由此申请人联系申办方和/或临床研究者以追溯获得财务披露信息。更多信息，请参见</w:t>
      </w:r>
      <w:r>
        <w:rPr>
          <w:rFonts w:ascii="Arial" w:hAnsi="Arial" w:eastAsia="宋体" w:cs="Arial"/>
          <w:color w:val="0000FF"/>
          <w:sz w:val="24"/>
          <w:szCs w:val="24"/>
          <w:u w:val="single"/>
        </w:rPr>
        <w:t>问题F.2</w:t>
      </w:r>
      <w:r>
        <w:rPr>
          <w:rFonts w:ascii="Arial" w:hAnsi="Arial" w:eastAsia="宋体" w:cs="Arial"/>
          <w:sz w:val="24"/>
          <w:szCs w:val="24"/>
        </w:rPr>
        <w:t>和</w:t>
      </w:r>
      <w:r>
        <w:rPr>
          <w:rFonts w:ascii="Arial" w:hAnsi="Arial" w:eastAsia="宋体" w:cs="Arial"/>
          <w:color w:val="0000FF"/>
          <w:sz w:val="24"/>
          <w:szCs w:val="24"/>
          <w:u w:val="single"/>
        </w:rPr>
        <w:t>F3</w:t>
      </w:r>
      <w:r>
        <w:rPr>
          <w:rFonts w:ascii="Arial" w:hAnsi="Arial" w:eastAsia="宋体" w:cs="Arial"/>
          <w:sz w:val="24"/>
          <w:szCs w:val="24"/>
        </w:rPr>
        <w:t>。</w:t>
      </w:r>
    </w:p>
    <w:p w14:paraId="423C16FF">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E.6</w:t>
      </w:r>
      <w:r>
        <w:rPr>
          <w:rFonts w:hint="eastAsia" w:ascii="Arial" w:hAnsi="Arial" w:eastAsia="宋体" w:cs="Arial"/>
          <w:bCs w:val="0"/>
          <w:sz w:val="24"/>
          <w:szCs w:val="24"/>
        </w:rPr>
        <w:tab/>
      </w:r>
      <w:r>
        <w:rPr>
          <w:rFonts w:ascii="Arial" w:hAnsi="Arial" w:eastAsia="宋体" w:cs="Arial"/>
          <w:bCs w:val="0"/>
          <w:sz w:val="24"/>
          <w:szCs w:val="24"/>
        </w:rPr>
        <w:t>问：如果合同研究组织（CRO）代表另一家公司进行涉及的临床研究，CRO是否应收集研究者的财务信息？是否有必要收集与CRO有经济利益或协议的研究者的财务信息？</w:t>
      </w:r>
    </w:p>
    <w:p w14:paraId="1165C0F9">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：如果CRO符合IND/IDE申办方的定义，或者根据合同约定，其代表申办方收集临床研究者的财务信息，则CRO必须收集临床研究者的财务信息（涉及临床研究的任何申办方），参见21 CFR§312.52。为了满足第54</w:t>
      </w:r>
      <w:r>
        <w:rPr>
          <w:rFonts w:hint="eastAsia" w:ascii="Arial" w:hAnsi="Arial" w:eastAsia="宋体" w:cs="Arial"/>
          <w:sz w:val="24"/>
          <w:szCs w:val="24"/>
        </w:rPr>
        <w:t>部分</w:t>
      </w:r>
      <w:r>
        <w:rPr>
          <w:rFonts w:ascii="Arial" w:hAnsi="Arial" w:eastAsia="宋体" w:cs="Arial"/>
          <w:sz w:val="24"/>
          <w:szCs w:val="24"/>
        </w:rPr>
        <w:t>的要求，如果CRO为涉及的临床研究提供物质支持，则应收集临床研究者与CRO的经济利益和协议相关的财务信息。如果另一个实体为研究提供物质支持，而CRO负责收集信息，则CRO还应收集与该实体相关的财务信息。</w:t>
      </w:r>
    </w:p>
    <w:p w14:paraId="1D22AA42">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E.7</w:t>
      </w:r>
      <w:r>
        <w:rPr>
          <w:rFonts w:hint="eastAsia" w:ascii="Arial" w:hAnsi="Arial" w:eastAsia="宋体" w:cs="Arial"/>
          <w:bCs w:val="0"/>
          <w:sz w:val="24"/>
          <w:szCs w:val="24"/>
        </w:rPr>
        <w:tab/>
      </w:r>
      <w:r>
        <w:rPr>
          <w:rFonts w:ascii="Arial" w:hAnsi="Arial" w:eastAsia="宋体" w:cs="Arial"/>
          <w:bCs w:val="0"/>
          <w:sz w:val="24"/>
          <w:szCs w:val="24"/>
        </w:rPr>
        <w:t>问：假设公立或学术机构在没有商业申办方支持的情况下进行了涉及的临床研究，但后来申请人</w:t>
      </w:r>
      <w:r>
        <w:rPr>
          <w:rFonts w:hint="eastAsia" w:ascii="Arial" w:hAnsi="Arial" w:eastAsia="宋体" w:cs="Arial"/>
          <w:bCs w:val="0"/>
          <w:sz w:val="24"/>
          <w:szCs w:val="24"/>
        </w:rPr>
        <w:t>将</w:t>
      </w:r>
      <w:r>
        <w:rPr>
          <w:rFonts w:ascii="Arial" w:hAnsi="Arial" w:eastAsia="宋体" w:cs="Arial"/>
          <w:bCs w:val="0"/>
          <w:sz w:val="24"/>
          <w:szCs w:val="24"/>
        </w:rPr>
        <w:t>该研究用于支持其上市申请，在这种情况下，谁是研究的</w:t>
      </w:r>
      <w:r>
        <w:rPr>
          <w:rFonts w:ascii="宋体" w:hAnsi="宋体" w:eastAsia="宋体" w:cs="Arial"/>
          <w:bCs w:val="0"/>
          <w:sz w:val="24"/>
          <w:szCs w:val="24"/>
        </w:rPr>
        <w:t>“</w:t>
      </w:r>
      <w:r>
        <w:rPr>
          <w:rFonts w:ascii="Arial" w:hAnsi="Arial" w:eastAsia="宋体" w:cs="Arial"/>
          <w:bCs w:val="0"/>
          <w:sz w:val="24"/>
          <w:szCs w:val="24"/>
        </w:rPr>
        <w:t>申办方</w:t>
      </w:r>
      <w:r>
        <w:rPr>
          <w:rFonts w:cs="Arial" w:asciiTheme="majorEastAsia" w:hAnsiTheme="majorEastAsia" w:eastAsiaTheme="majorEastAsia"/>
          <w:bCs w:val="0"/>
          <w:sz w:val="24"/>
          <w:szCs w:val="24"/>
        </w:rPr>
        <w:t>”</w:t>
      </w:r>
      <w:r>
        <w:rPr>
          <w:rFonts w:ascii="Arial" w:hAnsi="Arial" w:eastAsia="宋体" w:cs="Arial"/>
          <w:bCs w:val="0"/>
          <w:sz w:val="24"/>
          <w:szCs w:val="24"/>
        </w:rPr>
        <w:t>，申请人应该提交什么信息？</w:t>
      </w:r>
    </w:p>
    <w:p w14:paraId="65E9E77A">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：在这种情况下，第54</w:t>
      </w:r>
      <w:r>
        <w:rPr>
          <w:rFonts w:hint="eastAsia" w:ascii="Arial" w:hAnsi="Arial" w:eastAsia="宋体" w:cs="Arial"/>
          <w:sz w:val="24"/>
          <w:szCs w:val="24"/>
        </w:rPr>
        <w:t>部分</w:t>
      </w:r>
      <w:r>
        <w:rPr>
          <w:rFonts w:ascii="Arial" w:hAnsi="Arial" w:eastAsia="宋体" w:cs="Arial"/>
          <w:sz w:val="24"/>
          <w:szCs w:val="24"/>
        </w:rPr>
        <w:t>所述的研究申办方是公立或学术机构。因为这些机构往往不是商业实体，因此可能没有相关的股权报告。然而，如果临床研究者不是公立或学术机构的全职或兼职员工，则临床研究者需要</w:t>
      </w:r>
      <w:r>
        <w:rPr>
          <w:rFonts w:hint="eastAsia" w:ascii="Arial" w:hAnsi="Arial" w:eastAsia="宋体" w:cs="Arial"/>
          <w:sz w:val="24"/>
          <w:szCs w:val="24"/>
        </w:rPr>
        <w:t>根据</w:t>
      </w:r>
      <w:r>
        <w:rPr>
          <w:rFonts w:ascii="Arial" w:hAnsi="Arial" w:eastAsia="宋体" w:cs="Arial"/>
          <w:sz w:val="24"/>
          <w:szCs w:val="24"/>
        </w:rPr>
        <w:t>21 CFR§54.4</w:t>
      </w:r>
      <w:r>
        <w:rPr>
          <w:rFonts w:hint="eastAsia" w:ascii="Arial" w:hAnsi="Arial" w:eastAsia="宋体" w:cs="Arial"/>
          <w:sz w:val="24"/>
          <w:szCs w:val="24"/>
        </w:rPr>
        <w:t>报告</w:t>
      </w:r>
      <w:r>
        <w:rPr>
          <w:rFonts w:ascii="Arial" w:hAnsi="Arial" w:eastAsia="宋体" w:cs="Arial"/>
          <w:sz w:val="24"/>
          <w:szCs w:val="24"/>
        </w:rPr>
        <w:t>任何相关权益，例如试验产品的任何专有权益，包括但不限于专利、商标、版权或许可协议，以及与该机构相关的需报告的财务协议，例如受到研究结</w:t>
      </w:r>
      <w:r>
        <w:rPr>
          <w:rFonts w:hint="eastAsia" w:ascii="Arial" w:hAnsi="Arial" w:eastAsia="宋体" w:cs="Arial"/>
          <w:sz w:val="24"/>
          <w:szCs w:val="24"/>
        </w:rPr>
        <w:t>果</w:t>
      </w:r>
      <w:r>
        <w:rPr>
          <w:rFonts w:ascii="Arial" w:hAnsi="Arial" w:eastAsia="宋体" w:cs="Arial"/>
          <w:sz w:val="24"/>
          <w:szCs w:val="24"/>
        </w:rPr>
        <w:t>影响的报酬或其他种类的巨额款项。临床研究者与申请人相关的经济利益和协议不需要报告，因为该公司不是涉及的临床研究的申办方。</w:t>
      </w:r>
    </w:p>
    <w:p w14:paraId="7084BC08">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然而，如果申请人为研究提供了物质支持（例如免费提供研究产品），</w:t>
      </w:r>
      <w:r>
        <w:rPr>
          <w:rFonts w:hint="eastAsia" w:ascii="Arial" w:hAnsi="Arial" w:eastAsia="宋体" w:cs="Arial"/>
          <w:sz w:val="24"/>
          <w:szCs w:val="24"/>
        </w:rPr>
        <w:t>则其</w:t>
      </w:r>
      <w:r>
        <w:rPr>
          <w:rFonts w:ascii="Arial" w:hAnsi="Arial" w:eastAsia="宋体" w:cs="Arial"/>
          <w:sz w:val="24"/>
          <w:szCs w:val="24"/>
        </w:rPr>
        <w:t>将视为财务披露目的的申办方，进行研究的学术机构需要收集临床研究者与公司的经济利益和协议的相关信息。</w:t>
      </w:r>
    </w:p>
    <w:p w14:paraId="391F907C">
      <w:pPr>
        <w:overflowPunct w:val="0"/>
        <w:snapToGrid w:val="0"/>
        <w:spacing w:after="50" w:line="300" w:lineRule="auto"/>
        <w:jc w:val="both"/>
        <w:rPr>
          <w:rFonts w:ascii="Arial" w:hAnsi="Arial" w:eastAsia="宋体" w:cs="Arial"/>
          <w:b/>
          <w:kern w:val="2"/>
          <w:sz w:val="24"/>
          <w:szCs w:val="24"/>
        </w:rPr>
      </w:pPr>
      <w:r>
        <w:rPr>
          <w:rFonts w:ascii="Arial" w:hAnsi="Arial" w:eastAsia="宋体" w:cs="Arial"/>
          <w:b/>
          <w:sz w:val="24"/>
          <w:szCs w:val="24"/>
        </w:rPr>
        <w:br w:type="page"/>
      </w:r>
    </w:p>
    <w:p w14:paraId="13F3D7E5">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E.8</w:t>
      </w:r>
      <w:r>
        <w:rPr>
          <w:rFonts w:hint="eastAsia" w:ascii="Arial" w:hAnsi="Arial" w:eastAsia="宋体" w:cs="Arial"/>
          <w:bCs w:val="0"/>
          <w:sz w:val="24"/>
          <w:szCs w:val="24"/>
        </w:rPr>
        <w:tab/>
      </w:r>
      <w:r>
        <w:rPr>
          <w:rFonts w:ascii="Arial" w:hAnsi="Arial" w:eastAsia="宋体" w:cs="Arial"/>
          <w:bCs w:val="0"/>
          <w:sz w:val="24"/>
          <w:szCs w:val="24"/>
        </w:rPr>
        <w:t>问：如果一家大型母公司的子公司进行涉及的临床研究，是否只需报告临床研究者与子公司相关的经济利益和协议？或者，是否研究者与母公司相关的经济利益也</w:t>
      </w:r>
      <w:r>
        <w:rPr>
          <w:rFonts w:hint="eastAsia" w:ascii="Arial" w:hAnsi="Arial" w:eastAsia="宋体" w:cs="Arial"/>
          <w:bCs w:val="0"/>
          <w:sz w:val="24"/>
          <w:szCs w:val="24"/>
        </w:rPr>
        <w:t>需</w:t>
      </w:r>
      <w:r>
        <w:rPr>
          <w:rFonts w:ascii="Arial" w:hAnsi="Arial" w:eastAsia="宋体" w:cs="Arial"/>
          <w:bCs w:val="0"/>
          <w:sz w:val="24"/>
          <w:szCs w:val="24"/>
        </w:rPr>
        <w:t>报告？</w:t>
      </w:r>
    </w:p>
    <w:p w14:paraId="3FB16198">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如果子公司符合21 CFR第54</w:t>
      </w:r>
      <w:r>
        <w:rPr>
          <w:rFonts w:hint="eastAsia" w:ascii="Arial" w:hAnsi="Arial" w:eastAsia="宋体" w:cs="Arial"/>
          <w:sz w:val="24"/>
          <w:szCs w:val="24"/>
        </w:rPr>
        <w:t>部分</w:t>
      </w:r>
      <w:r>
        <w:rPr>
          <w:rFonts w:ascii="Arial" w:hAnsi="Arial" w:eastAsia="宋体" w:cs="Arial"/>
          <w:sz w:val="24"/>
          <w:szCs w:val="24"/>
        </w:rPr>
        <w:t>中涉及的研究申办方的定义，则IND/IDE申办方需要收集临床研究者与子公司相关的财务信息。如果母公司是21 CFR第54</w:t>
      </w:r>
      <w:r>
        <w:rPr>
          <w:rFonts w:hint="eastAsia" w:ascii="Arial" w:hAnsi="Arial" w:eastAsia="宋体" w:cs="Arial"/>
          <w:sz w:val="24"/>
          <w:szCs w:val="24"/>
        </w:rPr>
        <w:t>部分</w:t>
      </w:r>
      <w:r>
        <w:rPr>
          <w:rFonts w:ascii="Arial" w:hAnsi="Arial" w:eastAsia="宋体" w:cs="Arial"/>
          <w:sz w:val="24"/>
          <w:szCs w:val="24"/>
        </w:rPr>
        <w:t>中定义的研究申办方，IND/IDE申办方也必须收集与母公司相关的财务信息。如果有多家公司为涉及的研究提供物质支持，IND/IDE申办方需负责收集与提供该支持的所有公司相关的临床研究者的财务信息（21 CFR§§54.4,312.53和812.43）。提交上市申请的公司最终有责任在向</w:t>
      </w:r>
      <w:r>
        <w:rPr>
          <w:rFonts w:hint="eastAsia" w:ascii="Arial" w:hAnsi="Arial" w:eastAsia="宋体" w:cs="Arial"/>
          <w:sz w:val="24"/>
          <w:szCs w:val="24"/>
        </w:rPr>
        <w:t>机构</w:t>
      </w:r>
      <w:r>
        <w:rPr>
          <w:rFonts w:ascii="Arial" w:hAnsi="Arial" w:eastAsia="宋体" w:cs="Arial"/>
          <w:sz w:val="24"/>
          <w:szCs w:val="24"/>
        </w:rPr>
        <w:t>提交上市申请时，提交临床研究者与所有涉及研究的申办方相关的需披露的经济利益和协议，如21 CFR第54</w:t>
      </w:r>
      <w:r>
        <w:rPr>
          <w:rFonts w:hint="eastAsia" w:ascii="Arial" w:hAnsi="Arial" w:eastAsia="宋体" w:cs="Arial"/>
          <w:sz w:val="24"/>
          <w:szCs w:val="24"/>
        </w:rPr>
        <w:t>部分</w:t>
      </w:r>
      <w:r>
        <w:rPr>
          <w:rFonts w:ascii="Arial" w:hAnsi="Arial" w:eastAsia="宋体" w:cs="Arial"/>
          <w:sz w:val="24"/>
          <w:szCs w:val="24"/>
        </w:rPr>
        <w:t>所定义（21 CFR§54.4）。</w:t>
      </w:r>
    </w:p>
    <w:p w14:paraId="5436F70B">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E.9</w:t>
      </w:r>
      <w:r>
        <w:rPr>
          <w:rFonts w:hint="eastAsia" w:ascii="Arial" w:hAnsi="Arial" w:eastAsia="宋体" w:cs="Arial"/>
          <w:b w:val="0"/>
          <w:sz w:val="24"/>
          <w:szCs w:val="24"/>
        </w:rPr>
        <w:tab/>
      </w:r>
      <w:r>
        <w:rPr>
          <w:rFonts w:ascii="Arial" w:hAnsi="Arial" w:eastAsia="宋体" w:cs="Arial"/>
          <w:sz w:val="24"/>
          <w:szCs w:val="24"/>
        </w:rPr>
        <w:t>问：在确定涉及研究的申办方时，什么认为是</w:t>
      </w:r>
      <w:r>
        <w:rPr>
          <w:rFonts w:ascii="宋体" w:hAnsi="宋体" w:eastAsia="宋体" w:cs="Arial"/>
          <w:sz w:val="24"/>
          <w:szCs w:val="24"/>
        </w:rPr>
        <w:t>“</w:t>
      </w:r>
      <w:r>
        <w:rPr>
          <w:rFonts w:ascii="Arial" w:hAnsi="Arial" w:eastAsia="宋体" w:cs="Arial"/>
          <w:sz w:val="24"/>
          <w:szCs w:val="24"/>
        </w:rPr>
        <w:t>物质支持</w:t>
      </w:r>
      <w:r>
        <w:rPr>
          <w:rFonts w:cs="Arial" w:asciiTheme="majorEastAsia" w:hAnsiTheme="majorEastAsia" w:eastAsiaTheme="majorEastAsia"/>
          <w:sz w:val="24"/>
          <w:szCs w:val="24"/>
        </w:rPr>
        <w:t>”</w:t>
      </w:r>
      <w:r>
        <w:rPr>
          <w:rFonts w:ascii="Arial" w:hAnsi="Arial" w:eastAsia="宋体" w:cs="Arial"/>
          <w:sz w:val="24"/>
          <w:szCs w:val="24"/>
        </w:rPr>
        <w:t>？</w:t>
      </w:r>
    </w:p>
    <w:p w14:paraId="20795C66">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提供</w:t>
      </w:r>
      <w:r>
        <w:rPr>
          <w:rFonts w:ascii="宋体" w:hAnsi="宋体" w:eastAsia="宋体" w:cs="Arial"/>
          <w:sz w:val="24"/>
          <w:szCs w:val="24"/>
        </w:rPr>
        <w:t>“</w:t>
      </w:r>
      <w:r>
        <w:rPr>
          <w:rFonts w:ascii="Arial" w:hAnsi="Arial" w:eastAsia="宋体" w:cs="Arial"/>
          <w:sz w:val="24"/>
          <w:szCs w:val="24"/>
        </w:rPr>
        <w:t>物质支持</w:t>
      </w:r>
      <w:r>
        <w:rPr>
          <w:rFonts w:cs="Arial" w:asciiTheme="majorEastAsia" w:hAnsiTheme="majorEastAsia" w:eastAsiaTheme="majorEastAsia"/>
          <w:sz w:val="24"/>
          <w:szCs w:val="24"/>
        </w:rPr>
        <w:t>”</w:t>
      </w:r>
      <w:r>
        <w:rPr>
          <w:rFonts w:ascii="Arial" w:hAnsi="Arial" w:eastAsia="宋体" w:cs="Arial"/>
          <w:sz w:val="24"/>
          <w:szCs w:val="24"/>
        </w:rPr>
        <w:t>的一方视为涉及的临床研究的申办方，包括提供直接资金或其他货币支持，例如通过捐款或提供服务或</w:t>
      </w:r>
      <w:r>
        <w:rPr>
          <w:rFonts w:hint="eastAsia" w:ascii="Arial" w:hAnsi="Arial" w:eastAsia="宋体" w:cs="Arial"/>
          <w:sz w:val="24"/>
          <w:szCs w:val="24"/>
        </w:rPr>
        <w:t>材料</w:t>
      </w:r>
      <w:r>
        <w:rPr>
          <w:rFonts w:ascii="Arial" w:hAnsi="Arial" w:eastAsia="宋体" w:cs="Arial"/>
          <w:sz w:val="24"/>
          <w:szCs w:val="24"/>
        </w:rPr>
        <w:t>。如果一方提供的服务和/或</w:t>
      </w:r>
      <w:r>
        <w:rPr>
          <w:rFonts w:hint="eastAsia" w:ascii="Arial" w:hAnsi="Arial" w:eastAsia="宋体" w:cs="Arial"/>
          <w:sz w:val="24"/>
          <w:szCs w:val="24"/>
        </w:rPr>
        <w:t>材料</w:t>
      </w:r>
      <w:r>
        <w:rPr>
          <w:rFonts w:ascii="Arial" w:hAnsi="Arial" w:eastAsia="宋体" w:cs="Arial"/>
          <w:sz w:val="24"/>
          <w:szCs w:val="24"/>
        </w:rPr>
        <w:t>得到了报销，则该方通常不视为申办方。例如，提供服务的CRO（申办方对其付款）不会视为涉及临床研究的申办方。</w:t>
      </w:r>
      <w:r>
        <w:rPr>
          <w:rFonts w:hint="eastAsia" w:ascii="Arial" w:hAnsi="Arial" w:eastAsia="宋体" w:cs="Arial"/>
          <w:sz w:val="24"/>
          <w:szCs w:val="24"/>
        </w:rPr>
        <w:t>材料</w:t>
      </w:r>
      <w:r>
        <w:rPr>
          <w:rFonts w:ascii="Arial" w:hAnsi="Arial" w:eastAsia="宋体" w:cs="Arial"/>
          <w:sz w:val="24"/>
          <w:szCs w:val="24"/>
        </w:rPr>
        <w:t>可能包括正在研究的产品以及进行研究所需的其他产品和/或设备，例如方案所要求的辅助药物和用于检测的设备。</w:t>
      </w:r>
    </w:p>
    <w:p w14:paraId="5C27459B">
      <w:pPr>
        <w:pStyle w:val="44"/>
        <w:numPr>
          <w:ilvl w:val="0"/>
          <w:numId w:val="5"/>
        </w:numPr>
        <w:shd w:val="clear" w:color="auto" w:fill="auto"/>
        <w:overflowPunct w:val="0"/>
        <w:snapToGrid w:val="0"/>
        <w:spacing w:after="156" w:afterLines="50" w:line="360" w:lineRule="auto"/>
        <w:ind w:left="357" w:hanging="357"/>
        <w:jc w:val="both"/>
        <w:outlineLvl w:val="1"/>
        <w:rPr>
          <w:rFonts w:ascii="Arial" w:hAnsi="Arial" w:eastAsia="宋体" w:cs="Arial"/>
          <w:sz w:val="24"/>
          <w:szCs w:val="24"/>
        </w:rPr>
      </w:pPr>
      <w:bookmarkStart w:id="20" w:name="_Toc496025807"/>
      <w:r>
        <w:rPr>
          <w:rFonts w:ascii="Arial" w:hAnsi="Arial" w:eastAsia="宋体" w:cs="Arial"/>
          <w:sz w:val="24"/>
          <w:szCs w:val="24"/>
        </w:rPr>
        <w:t>申请人</w:t>
      </w:r>
      <w:bookmarkEnd w:id="20"/>
    </w:p>
    <w:p w14:paraId="37E4C35E">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F.1</w:t>
      </w:r>
      <w:r>
        <w:rPr>
          <w:rFonts w:hint="eastAsia" w:ascii="Arial" w:hAnsi="Arial" w:eastAsia="宋体" w:cs="Arial"/>
          <w:sz w:val="24"/>
          <w:szCs w:val="24"/>
        </w:rPr>
        <w:tab/>
      </w:r>
      <w:r>
        <w:rPr>
          <w:rFonts w:ascii="Arial" w:hAnsi="Arial" w:eastAsia="宋体" w:cs="Arial"/>
          <w:sz w:val="24"/>
          <w:szCs w:val="24"/>
        </w:rPr>
        <w:t>问：申请人在研究完成后</w:t>
      </w:r>
      <w:r>
        <w:rPr>
          <w:rFonts w:hint="eastAsia" w:ascii="Arial" w:hAnsi="Arial" w:eastAsia="宋体" w:cs="Arial"/>
          <w:sz w:val="24"/>
          <w:szCs w:val="24"/>
        </w:rPr>
        <w:t>是否</w:t>
      </w:r>
      <w:r>
        <w:rPr>
          <w:rFonts w:ascii="Arial" w:hAnsi="Arial" w:eastAsia="宋体" w:cs="Arial"/>
          <w:sz w:val="24"/>
          <w:szCs w:val="24"/>
        </w:rPr>
        <w:t>需要收集一年的信息？谁负责收集/提供这些信息？</w:t>
      </w:r>
    </w:p>
    <w:p w14:paraId="653CCDB7">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在研究过程中和研究完成后一年内如发生任何的相关变化，研究者必须及时向申办方提供更新的财务信息（21 CFR§§54.4（b）</w:t>
      </w:r>
      <w:r>
        <w:rPr>
          <w:rFonts w:hint="eastAsia" w:ascii="Arial" w:hAnsi="Arial" w:eastAsia="宋体" w:cs="Arial"/>
          <w:sz w:val="24"/>
          <w:szCs w:val="24"/>
        </w:rPr>
        <w:t>、</w:t>
      </w:r>
      <w:r>
        <w:rPr>
          <w:rFonts w:ascii="Arial" w:hAnsi="Arial" w:eastAsia="宋体" w:cs="Arial"/>
          <w:sz w:val="24"/>
          <w:szCs w:val="24"/>
        </w:rPr>
        <w:t>312.64（d）和812.110（D））。此外，申办方应记录支付给研究者或研究机构的累积货币价值超过25,000美元（不包括在研究期间及研究完成后一年内支付给涉及临床研究的费用）的SPOOS，以支持研究者的研究活动（21 CFR§§54.2（f）和54.4（a）（3）（ii））。FDA规定了一年的时间范围，因为付款的期望或工作的期望可能与已经收到的支付款一样具有影响力。申请人仅在提交上市申请时才报告这些经济利益和协议，但申办方和申请人有责任在公司档案中保持研究者的财务信息更新（21 CFR§§54.6,312.57和812.140）。</w:t>
      </w:r>
    </w:p>
    <w:p w14:paraId="76264708">
      <w:pPr>
        <w:pStyle w:val="50"/>
        <w:overflowPunct w:val="0"/>
        <w:adjustRightInd w:val="0"/>
        <w:snapToGrid w:val="0"/>
        <w:spacing w:before="0" w:after="50" w:line="300" w:lineRule="auto"/>
        <w:ind w:firstLine="0"/>
        <w:jc w:val="both"/>
        <w:rPr>
          <w:rFonts w:ascii="Arial" w:hAnsi="Arial" w:eastAsia="宋体" w:cs="Arial"/>
          <w:b/>
          <w:sz w:val="24"/>
          <w:szCs w:val="24"/>
        </w:rPr>
      </w:pPr>
    </w:p>
    <w:p w14:paraId="02EB0666">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F.2</w:t>
      </w:r>
      <w:r>
        <w:rPr>
          <w:rFonts w:hint="eastAsia" w:ascii="Arial" w:hAnsi="Arial" w:eastAsia="宋体" w:cs="Arial"/>
          <w:sz w:val="24"/>
          <w:szCs w:val="24"/>
        </w:rPr>
        <w:tab/>
      </w:r>
      <w:r>
        <w:rPr>
          <w:rFonts w:ascii="Arial" w:hAnsi="Arial" w:eastAsia="宋体" w:cs="Arial"/>
          <w:bCs w:val="0"/>
          <w:sz w:val="24"/>
          <w:szCs w:val="24"/>
        </w:rPr>
        <w:t>问：假设申请人已经获得了另一个申办方进行的临床研究的结果，且该申办方证实其文件中没有财务披露信息。申请人是否有义务使用尽职调查，尝试直接联系临床研究者以获取资料？申请人</w:t>
      </w:r>
      <w:r>
        <w:rPr>
          <w:rFonts w:hint="eastAsia" w:ascii="Arial" w:hAnsi="Arial" w:eastAsia="宋体" w:cs="Arial"/>
          <w:bCs w:val="0"/>
          <w:sz w:val="24"/>
          <w:szCs w:val="24"/>
        </w:rPr>
        <w:t>是否</w:t>
      </w:r>
      <w:r>
        <w:rPr>
          <w:rFonts w:ascii="Arial" w:hAnsi="Arial" w:eastAsia="宋体" w:cs="Arial"/>
          <w:bCs w:val="0"/>
          <w:sz w:val="24"/>
          <w:szCs w:val="24"/>
        </w:rPr>
        <w:t>有义务提供任何有关专有权益的证明？申办方</w:t>
      </w:r>
      <w:r>
        <w:rPr>
          <w:rFonts w:hint="eastAsia" w:ascii="Arial" w:hAnsi="Arial" w:eastAsia="宋体" w:cs="Arial"/>
          <w:bCs w:val="0"/>
          <w:sz w:val="24"/>
          <w:szCs w:val="24"/>
        </w:rPr>
        <w:t>是否</w:t>
      </w:r>
      <w:r>
        <w:rPr>
          <w:rFonts w:ascii="Arial" w:hAnsi="Arial" w:eastAsia="宋体" w:cs="Arial"/>
          <w:bCs w:val="0"/>
          <w:sz w:val="24"/>
          <w:szCs w:val="24"/>
        </w:rPr>
        <w:t>有义务向申请人提供关于</w:t>
      </w:r>
      <w:r>
        <w:rPr>
          <w:rFonts w:hint="eastAsia" w:ascii="Arial" w:hAnsi="Arial" w:eastAsia="宋体" w:cs="Arial"/>
          <w:bCs w:val="0"/>
          <w:sz w:val="24"/>
          <w:szCs w:val="24"/>
        </w:rPr>
        <w:t>结果</w:t>
      </w:r>
      <w:r>
        <w:rPr>
          <w:rFonts w:ascii="Arial" w:hAnsi="Arial" w:eastAsia="宋体" w:cs="Arial"/>
          <w:bCs w:val="0"/>
          <w:sz w:val="24"/>
          <w:szCs w:val="24"/>
        </w:rPr>
        <w:t>付款的声明？</w:t>
      </w:r>
    </w:p>
    <w:p w14:paraId="6B84EC52">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申请人必须在上市申请中提供财务披露信息，或证明其进行了尽职调查但无法获取必要的信息，并说明原因（21 CFR§54.4）。（进一步解释请参见</w:t>
      </w:r>
      <w:r>
        <w:rPr>
          <w:rFonts w:ascii="Arial" w:hAnsi="Arial" w:eastAsia="宋体" w:cs="Arial"/>
          <w:color w:val="0000FF"/>
          <w:sz w:val="24"/>
          <w:szCs w:val="24"/>
          <w:u w:val="single"/>
        </w:rPr>
        <w:t>问题B.7</w:t>
      </w:r>
      <w:r>
        <w:rPr>
          <w:rFonts w:ascii="Arial" w:hAnsi="Arial" w:eastAsia="宋体" w:cs="Arial"/>
          <w:sz w:val="24"/>
          <w:szCs w:val="24"/>
        </w:rPr>
        <w:t xml:space="preserve"> </w:t>
      </w:r>
      <w:r>
        <w:rPr>
          <w:rFonts w:ascii="宋体" w:hAnsi="宋体" w:eastAsia="宋体" w:cs="Arial"/>
          <w:sz w:val="24"/>
          <w:szCs w:val="24"/>
        </w:rPr>
        <w:t>“</w:t>
      </w:r>
      <w:r>
        <w:rPr>
          <w:rFonts w:ascii="Arial" w:hAnsi="Arial" w:eastAsia="宋体" w:cs="Arial"/>
          <w:sz w:val="24"/>
          <w:szCs w:val="24"/>
        </w:rPr>
        <w:t>尽职调查</w:t>
      </w:r>
      <w:r>
        <w:rPr>
          <w:rFonts w:cs="Arial" w:asciiTheme="majorEastAsia" w:hAnsiTheme="majorEastAsia" w:eastAsiaTheme="majorEastAsia"/>
          <w:sz w:val="24"/>
          <w:szCs w:val="24"/>
        </w:rPr>
        <w:t>”</w:t>
      </w:r>
      <w:r>
        <w:rPr>
          <w:rFonts w:ascii="Arial" w:hAnsi="Arial" w:eastAsia="宋体" w:cs="Arial"/>
          <w:sz w:val="24"/>
          <w:szCs w:val="24"/>
        </w:rPr>
        <w:t>）。申办方应</w:t>
      </w:r>
      <w:r>
        <w:rPr>
          <w:rFonts w:hint="eastAsia" w:ascii="Arial" w:hAnsi="Arial" w:eastAsia="宋体" w:cs="Arial"/>
          <w:sz w:val="24"/>
          <w:szCs w:val="24"/>
        </w:rPr>
        <w:t>收集</w:t>
      </w:r>
      <w:r>
        <w:rPr>
          <w:rFonts w:ascii="Arial" w:hAnsi="Arial" w:eastAsia="宋体" w:cs="Arial"/>
          <w:sz w:val="24"/>
          <w:szCs w:val="24"/>
        </w:rPr>
        <w:t>临床研究者</w:t>
      </w:r>
      <w:r>
        <w:rPr>
          <w:rFonts w:hint="eastAsia" w:ascii="Arial" w:hAnsi="Arial" w:eastAsia="宋体" w:cs="Arial"/>
          <w:sz w:val="24"/>
          <w:szCs w:val="24"/>
        </w:rPr>
        <w:t>的</w:t>
      </w:r>
      <w:r>
        <w:rPr>
          <w:rFonts w:ascii="Arial" w:hAnsi="Arial" w:eastAsia="宋体" w:cs="Arial"/>
          <w:sz w:val="24"/>
          <w:szCs w:val="24"/>
        </w:rPr>
        <w:t>财务披露信息，以及无论是否收集到所有必要的财务信息，都应该有所有的</w:t>
      </w:r>
      <w:r>
        <w:rPr>
          <w:rFonts w:hint="eastAsia" w:ascii="Arial" w:hAnsi="Arial" w:eastAsia="宋体" w:cs="Arial"/>
          <w:sz w:val="24"/>
          <w:szCs w:val="24"/>
        </w:rPr>
        <w:t>结果</w:t>
      </w:r>
      <w:r>
        <w:rPr>
          <w:rFonts w:ascii="Arial" w:hAnsi="Arial" w:eastAsia="宋体" w:cs="Arial"/>
          <w:sz w:val="24"/>
          <w:szCs w:val="24"/>
        </w:rPr>
        <w:t>付款信息（即，付款取决于研究</w:t>
      </w:r>
      <w:r>
        <w:rPr>
          <w:rFonts w:hint="eastAsia" w:ascii="Arial" w:hAnsi="Arial" w:eastAsia="宋体" w:cs="Arial"/>
          <w:sz w:val="24"/>
          <w:szCs w:val="24"/>
        </w:rPr>
        <w:t>结果</w:t>
      </w:r>
      <w:r>
        <w:rPr>
          <w:rFonts w:ascii="Arial" w:hAnsi="Arial" w:eastAsia="宋体" w:cs="Arial"/>
          <w:sz w:val="24"/>
          <w:szCs w:val="24"/>
        </w:rPr>
        <w:t>）和/或支付给研究者的SPOOS。申请人应要求申办方提供此信息。申请人还应做出合理努力去联系临床研究者以获得需披露的财务信息。关于专有权益的信息，如专利和商标，申请人也应从公开的来源获得。</w:t>
      </w:r>
    </w:p>
    <w:p w14:paraId="48356E4C">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F.3</w:t>
      </w:r>
      <w:r>
        <w:rPr>
          <w:rFonts w:hint="eastAsia" w:ascii="Arial" w:hAnsi="Arial" w:eastAsia="宋体" w:cs="Arial"/>
          <w:bCs w:val="0"/>
          <w:sz w:val="24"/>
          <w:szCs w:val="24"/>
        </w:rPr>
        <w:tab/>
      </w:r>
      <w:r>
        <w:rPr>
          <w:rFonts w:ascii="Arial" w:hAnsi="Arial" w:eastAsia="宋体" w:cs="Arial"/>
          <w:bCs w:val="0"/>
          <w:sz w:val="24"/>
          <w:szCs w:val="24"/>
        </w:rPr>
        <w:t>问：</w:t>
      </w:r>
      <w:r>
        <w:rPr>
          <w:rFonts w:ascii="Arial" w:hAnsi="Arial" w:eastAsia="宋体" w:cs="Arial"/>
          <w:sz w:val="24"/>
          <w:szCs w:val="24"/>
        </w:rPr>
        <w:t>申请人</w:t>
      </w:r>
      <w:r>
        <w:rPr>
          <w:rFonts w:hint="eastAsia" w:ascii="Arial" w:hAnsi="Arial" w:eastAsia="宋体" w:cs="Arial"/>
          <w:sz w:val="24"/>
          <w:szCs w:val="24"/>
        </w:rPr>
        <w:t>舒服</w:t>
      </w:r>
      <w:r>
        <w:rPr>
          <w:rFonts w:ascii="Arial" w:hAnsi="Arial" w:eastAsia="宋体" w:cs="Arial"/>
          <w:bCs w:val="0"/>
          <w:sz w:val="24"/>
          <w:szCs w:val="24"/>
        </w:rPr>
        <w:t>需要提供参与国外研究的研究者信息？</w:t>
      </w:r>
    </w:p>
    <w:p w14:paraId="33148D17">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：申请人对于在国外和国内进行的研究有相同的财务披露义务（21 CFR</w:t>
      </w:r>
      <w:bookmarkStart w:id="21" w:name="OLE_LINK56"/>
      <w:bookmarkStart w:id="22" w:name="OLE_LINK57"/>
      <w:r>
        <w:rPr>
          <w:rFonts w:ascii="Arial" w:hAnsi="Arial" w:eastAsia="宋体" w:cs="Arial"/>
          <w:sz w:val="24"/>
          <w:szCs w:val="24"/>
        </w:rPr>
        <w:t>第54</w:t>
      </w:r>
      <w:bookmarkEnd w:id="21"/>
      <w:bookmarkEnd w:id="22"/>
      <w:r>
        <w:rPr>
          <w:rFonts w:hint="eastAsia" w:ascii="Arial" w:hAnsi="Arial" w:eastAsia="宋体" w:cs="Arial"/>
          <w:sz w:val="24"/>
          <w:szCs w:val="24"/>
        </w:rPr>
        <w:t>部分</w:t>
      </w:r>
      <w:r>
        <w:rPr>
          <w:rFonts w:ascii="Arial" w:hAnsi="Arial" w:eastAsia="宋体" w:cs="Arial"/>
          <w:sz w:val="24"/>
          <w:szCs w:val="24"/>
        </w:rPr>
        <w:t>）。申请人必须为参与国外涉及研究的每名研究者提供证明或披露信息，或者在申请人无法获得充分的信息以证明或披露的情况下，必须证明其进行了尽职调查但无法获取信息，并说明原因（21 CFR§54.4）。</w:t>
      </w:r>
    </w:p>
    <w:p w14:paraId="346C2F00">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在国外进行的涉及研究的申办方应在研究开始之前获得临床研究者的财务信息，并向申请人提供此信息</w:t>
      </w:r>
      <w:r>
        <w:rPr>
          <w:rStyle w:val="24"/>
          <w:rFonts w:ascii="Arial" w:hAnsi="Arial" w:eastAsia="宋体" w:cs="Arial"/>
          <w:sz w:val="24"/>
          <w:szCs w:val="24"/>
        </w:rPr>
        <w:footnoteReference w:id="14"/>
      </w:r>
      <w:r>
        <w:rPr>
          <w:rFonts w:ascii="Arial" w:hAnsi="Arial" w:eastAsia="宋体" w:cs="Arial"/>
          <w:sz w:val="24"/>
          <w:szCs w:val="24"/>
        </w:rPr>
        <w:t>。</w:t>
      </w:r>
    </w:p>
    <w:p w14:paraId="49C28575">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hint="eastAsia" w:ascii="Arial" w:hAnsi="Arial" w:eastAsia="宋体" w:cs="Arial"/>
          <w:sz w:val="24"/>
          <w:szCs w:val="24"/>
        </w:rPr>
        <w:t>机构</w:t>
      </w:r>
      <w:r>
        <w:rPr>
          <w:rFonts w:ascii="Arial" w:hAnsi="Arial" w:eastAsia="宋体" w:cs="Arial"/>
          <w:sz w:val="24"/>
          <w:szCs w:val="24"/>
        </w:rPr>
        <w:t>认为，审慎的申请人将尽早采取积极行动，收集与国外涉及研究相关的财务信息，或确保研究申办方收集了信息。在可能的情况下，</w:t>
      </w:r>
      <w:r>
        <w:rPr>
          <w:rFonts w:hint="eastAsia" w:ascii="Arial" w:hAnsi="Arial" w:eastAsia="宋体" w:cs="Arial"/>
          <w:sz w:val="24"/>
          <w:szCs w:val="24"/>
        </w:rPr>
        <w:t>机构</w:t>
      </w:r>
      <w:r>
        <w:rPr>
          <w:rFonts w:ascii="Arial" w:hAnsi="Arial" w:eastAsia="宋体" w:cs="Arial"/>
          <w:sz w:val="24"/>
          <w:szCs w:val="24"/>
        </w:rPr>
        <w:t>强烈鼓励申请人在研究开始之前就安排收集财务信息ꟷ以确保信息得以保留，以便能够完整地提交信息，并采取必要措施使偏倚的可能性最小化。如不可能，例如，由于申请人正在提交的申请是由另一实体申办的国外涉及研究，申请人没有监督、支持或指导该研究，则申请人应采取适当的措施从研究申办方、研究者或其他合理的来源获得财务信息。请见</w:t>
      </w:r>
      <w:r>
        <w:rPr>
          <w:rFonts w:ascii="Arial" w:hAnsi="Arial" w:eastAsia="宋体" w:cs="Arial"/>
          <w:color w:val="0000FF"/>
          <w:sz w:val="24"/>
          <w:szCs w:val="24"/>
          <w:u w:val="single"/>
        </w:rPr>
        <w:t>问题F.2</w:t>
      </w:r>
      <w:r>
        <w:rPr>
          <w:rFonts w:ascii="Arial" w:hAnsi="Arial" w:eastAsia="宋体" w:cs="Arial"/>
          <w:sz w:val="24"/>
          <w:szCs w:val="24"/>
        </w:rPr>
        <w:t>。</w:t>
      </w:r>
    </w:p>
    <w:p w14:paraId="77E5A7C9">
      <w:pPr>
        <w:pStyle w:val="50"/>
        <w:overflowPunct w:val="0"/>
        <w:adjustRightInd w:val="0"/>
        <w:snapToGrid w:val="0"/>
        <w:spacing w:before="0" w:after="50" w:line="300" w:lineRule="auto"/>
        <w:ind w:firstLine="0"/>
        <w:jc w:val="both"/>
        <w:rPr>
          <w:rFonts w:ascii="Arial" w:hAnsi="Arial" w:eastAsia="宋体" w:cs="Arial"/>
          <w:b/>
          <w:sz w:val="24"/>
          <w:szCs w:val="24"/>
        </w:rPr>
      </w:pPr>
    </w:p>
    <w:p w14:paraId="31BED454">
      <w:pPr>
        <w:spacing w:after="0" w:line="240" w:lineRule="auto"/>
        <w:rPr>
          <w:rFonts w:ascii="Arial" w:hAnsi="Arial" w:eastAsia="宋体" w:cs="Arial"/>
          <w:b/>
          <w:bCs/>
          <w:kern w:val="2"/>
          <w:sz w:val="24"/>
          <w:szCs w:val="24"/>
        </w:rPr>
      </w:pPr>
      <w:r>
        <w:rPr>
          <w:rFonts w:ascii="Arial" w:hAnsi="Arial" w:eastAsia="宋体" w:cs="Arial"/>
          <w:sz w:val="24"/>
          <w:szCs w:val="24"/>
        </w:rPr>
        <w:br w:type="page"/>
      </w:r>
    </w:p>
    <w:p w14:paraId="2CAE9EC1">
      <w:pPr>
        <w:pStyle w:val="44"/>
        <w:numPr>
          <w:ilvl w:val="0"/>
          <w:numId w:val="5"/>
        </w:numPr>
        <w:shd w:val="clear" w:color="auto" w:fill="auto"/>
        <w:overflowPunct w:val="0"/>
        <w:snapToGrid w:val="0"/>
        <w:spacing w:after="156" w:afterLines="50" w:line="360" w:lineRule="auto"/>
        <w:ind w:left="357" w:hanging="357"/>
        <w:jc w:val="both"/>
        <w:outlineLvl w:val="1"/>
        <w:rPr>
          <w:rFonts w:ascii="Arial" w:hAnsi="Arial" w:eastAsia="宋体" w:cs="Arial"/>
          <w:sz w:val="24"/>
          <w:szCs w:val="24"/>
        </w:rPr>
      </w:pPr>
      <w:bookmarkStart w:id="23" w:name="_Toc496025808"/>
      <w:r>
        <w:rPr>
          <w:rFonts w:ascii="Arial" w:hAnsi="Arial" w:eastAsia="宋体" w:cs="Arial"/>
          <w:sz w:val="24"/>
          <w:szCs w:val="24"/>
        </w:rPr>
        <w:t>涉及的临床研究</w:t>
      </w:r>
      <w:bookmarkEnd w:id="23"/>
    </w:p>
    <w:p w14:paraId="23137F8E">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G.1</w:t>
      </w:r>
      <w:r>
        <w:rPr>
          <w:rFonts w:hint="eastAsia" w:ascii="Arial" w:hAnsi="Arial" w:eastAsia="宋体" w:cs="Arial"/>
          <w:sz w:val="24"/>
          <w:szCs w:val="24"/>
        </w:rPr>
        <w:tab/>
      </w:r>
      <w:r>
        <w:rPr>
          <w:rFonts w:ascii="Arial" w:hAnsi="Arial" w:eastAsia="宋体" w:cs="Arial"/>
          <w:sz w:val="24"/>
          <w:szCs w:val="24"/>
        </w:rPr>
        <w:t>问：经济利益和协议的披露仅适用于涉及的临床研究，特别是据此而提供了产品的有效性支持的决定性研究，或是个别研究者对证明产品的安全性做出了重大贡献的研究（21 CFR§§54.2 （e）和54.3）</w:t>
      </w:r>
      <w:r>
        <w:rPr>
          <w:rFonts w:ascii="Arial" w:hAnsi="Arial" w:eastAsia="宋体" w:cs="Arial"/>
          <w:b w:val="0"/>
          <w:sz w:val="24"/>
          <w:szCs w:val="24"/>
        </w:rPr>
        <w:t>。</w:t>
      </w:r>
      <w:r>
        <w:rPr>
          <w:rFonts w:ascii="Arial" w:hAnsi="Arial" w:eastAsia="宋体" w:cs="Arial"/>
          <w:sz w:val="24"/>
          <w:szCs w:val="24"/>
        </w:rPr>
        <w:t>IND申办方应尽早</w:t>
      </w:r>
      <w:r>
        <w:rPr>
          <w:rFonts w:hint="eastAsia" w:ascii="Arial" w:hAnsi="Arial" w:eastAsia="宋体" w:cs="Arial"/>
          <w:sz w:val="24"/>
          <w:szCs w:val="24"/>
        </w:rPr>
        <w:t>采取措施</w:t>
      </w:r>
      <w:r>
        <w:rPr>
          <w:rFonts w:ascii="Arial" w:hAnsi="Arial" w:eastAsia="宋体" w:cs="Arial"/>
          <w:sz w:val="24"/>
          <w:szCs w:val="24"/>
        </w:rPr>
        <w:t>，必须于确定研究在申请中的最终作用之前，对研究者的经济利益和协议（21 CFR§312.53）介入调查</w:t>
      </w:r>
      <w:r>
        <w:rPr>
          <w:rFonts w:ascii="Arial" w:hAnsi="Arial" w:eastAsia="宋体" w:cs="Arial"/>
          <w:b w:val="0"/>
          <w:sz w:val="24"/>
          <w:szCs w:val="24"/>
        </w:rPr>
        <w:t>。</w:t>
      </w:r>
      <w:r>
        <w:rPr>
          <w:rFonts w:ascii="Arial" w:hAnsi="Arial" w:eastAsia="宋体" w:cs="Arial"/>
          <w:sz w:val="24"/>
          <w:szCs w:val="24"/>
        </w:rPr>
        <w:t>IND申办方将如何确定哪些研究最终需要证明/披露声明？</w:t>
      </w:r>
    </w:p>
    <w:p w14:paraId="39CA0717">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IND申办方应基于研究规模、设计和其他考量，需要对特定研究的潜在作用进行考虑。几乎任何受到控制的有效性研究，根据</w:t>
      </w:r>
      <w:r>
        <w:rPr>
          <w:rFonts w:hint="eastAsia" w:ascii="Arial" w:hAnsi="Arial" w:eastAsia="宋体" w:cs="Arial"/>
          <w:sz w:val="24"/>
          <w:szCs w:val="24"/>
        </w:rPr>
        <w:t>结果</w:t>
      </w:r>
      <w:r>
        <w:rPr>
          <w:rFonts w:ascii="Arial" w:hAnsi="Arial" w:eastAsia="宋体" w:cs="Arial"/>
          <w:sz w:val="24"/>
          <w:szCs w:val="24"/>
        </w:rPr>
        <w:t>，均可以成为上市申请的一部分，但是其他研究也可能至关重要，例如在亚组人群中的药效学研究或支持新剂型的生物等效性研究。因此，对于许多研究，如果该研究最终需要证明和披露声明，收集信息应谨慎。</w:t>
      </w:r>
    </w:p>
    <w:p w14:paraId="7FF0CB02">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G.2</w:t>
      </w:r>
      <w:r>
        <w:rPr>
          <w:rFonts w:hint="eastAsia" w:ascii="Arial" w:hAnsi="Arial" w:eastAsia="宋体" w:cs="Arial"/>
          <w:bCs w:val="0"/>
          <w:sz w:val="24"/>
          <w:szCs w:val="24"/>
        </w:rPr>
        <w:tab/>
      </w:r>
      <w:r>
        <w:rPr>
          <w:rFonts w:ascii="Arial" w:hAnsi="Arial" w:eastAsia="宋体" w:cs="Arial"/>
          <w:bCs w:val="0"/>
          <w:sz w:val="24"/>
          <w:szCs w:val="24"/>
        </w:rPr>
        <w:t>问：报告的要求</w:t>
      </w:r>
      <w:r>
        <w:rPr>
          <w:rFonts w:hint="eastAsia" w:ascii="Arial" w:hAnsi="Arial" w:eastAsia="宋体" w:cs="Arial"/>
          <w:bCs w:val="0"/>
          <w:sz w:val="24"/>
          <w:szCs w:val="24"/>
        </w:rPr>
        <w:t>是否</w:t>
      </w:r>
      <w:r>
        <w:rPr>
          <w:rFonts w:ascii="Arial" w:hAnsi="Arial" w:eastAsia="宋体" w:cs="Arial"/>
          <w:bCs w:val="0"/>
          <w:sz w:val="24"/>
          <w:szCs w:val="24"/>
        </w:rPr>
        <w:t>适用于包括大量研究者和多个中心的研究？</w:t>
      </w:r>
      <w:r>
        <w:rPr>
          <w:rFonts w:hint="eastAsia" w:ascii="Arial" w:hAnsi="Arial" w:eastAsia="宋体" w:cs="Arial"/>
          <w:bCs w:val="0"/>
          <w:sz w:val="24"/>
          <w:szCs w:val="24"/>
        </w:rPr>
        <w:t>该机构</w:t>
      </w:r>
      <w:r>
        <w:rPr>
          <w:rFonts w:ascii="Arial" w:hAnsi="Arial" w:eastAsia="宋体" w:cs="Arial"/>
          <w:bCs w:val="0"/>
          <w:sz w:val="24"/>
          <w:szCs w:val="24"/>
        </w:rPr>
        <w:t>是否会考虑一项豁免机制使申请人免予收集进行这些研究的临床研究者信息？</w:t>
      </w:r>
    </w:p>
    <w:p w14:paraId="179F000E">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：许多有多名研究者参与的大型多中心有效性研究，被认为是条例中所指</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（21 CFR§54.2（e））。仅占受试者总人数一小部分的研究者数据（在有多名研究者参与的多中心研究中），仍然会影响整体的研究</w:t>
      </w:r>
      <w:r>
        <w:rPr>
          <w:rFonts w:hint="eastAsia" w:ascii="Arial" w:hAnsi="Arial" w:eastAsia="宋体" w:cs="Arial"/>
          <w:sz w:val="24"/>
          <w:szCs w:val="24"/>
        </w:rPr>
        <w:t>结果</w:t>
      </w:r>
      <w:r>
        <w:rPr>
          <w:rFonts w:ascii="Arial" w:hAnsi="Arial" w:eastAsia="宋体" w:cs="Arial"/>
          <w:sz w:val="24"/>
          <w:szCs w:val="24"/>
        </w:rPr>
        <w:t>，这取决于其结果对整体研究结果的影响。或者如果申办方提交的数据来自包括数名受试者的一项大型多中心双盲研究，</w:t>
      </w:r>
      <w:r>
        <w:rPr>
          <w:rFonts w:hint="eastAsia" w:ascii="Arial" w:hAnsi="Arial" w:eastAsia="宋体" w:cs="Arial"/>
          <w:sz w:val="24"/>
          <w:szCs w:val="24"/>
        </w:rPr>
        <w:t>则</w:t>
      </w:r>
      <w:r>
        <w:rPr>
          <w:rFonts w:ascii="Arial" w:hAnsi="Arial" w:eastAsia="宋体" w:cs="Arial"/>
          <w:sz w:val="24"/>
          <w:szCs w:val="24"/>
        </w:rPr>
        <w:t>在较大研究中心内的个别临床研究者可能会负责人数众多的研究受试者。无论哪种情况，如果研究者伪造数据或以其他方式影响了数据的完整性，均可能会影响结果。</w:t>
      </w:r>
    </w:p>
    <w:p w14:paraId="0CAA4280">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相比之下，有大量研究者参与的大型开放的安全性研究和治疗方案一般不会认为是</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。正如最终法规的序言所述</w:t>
      </w:r>
      <w:r>
        <w:rPr>
          <w:rStyle w:val="24"/>
          <w:rFonts w:ascii="Arial" w:hAnsi="Arial" w:eastAsia="宋体" w:cs="Arial"/>
          <w:sz w:val="24"/>
          <w:szCs w:val="24"/>
        </w:rPr>
        <w:footnoteReference w:id="15"/>
      </w:r>
      <w:r>
        <w:rPr>
          <w:rFonts w:ascii="Arial" w:hAnsi="Arial" w:eastAsia="宋体" w:cs="Arial"/>
          <w:sz w:val="24"/>
          <w:szCs w:val="24"/>
        </w:rPr>
        <w:t>，在这些大型开放的安全性研究和治疗方案中，大量研究者通常意味着没有个别研究者会对数据产生重大影响。另外，重大不良事件一般是显而易见的，因为</w:t>
      </w:r>
      <w:r>
        <w:rPr>
          <w:rFonts w:hint="eastAsia" w:ascii="Arial" w:hAnsi="Arial" w:eastAsia="宋体" w:cs="Arial"/>
          <w:sz w:val="24"/>
          <w:szCs w:val="24"/>
        </w:rPr>
        <w:t>其</w:t>
      </w:r>
      <w:r>
        <w:rPr>
          <w:rFonts w:ascii="Arial" w:hAnsi="Arial" w:eastAsia="宋体" w:cs="Arial"/>
          <w:sz w:val="24"/>
          <w:szCs w:val="24"/>
        </w:rPr>
        <w:t>会导致停止治疗并提交病例报告表。虽然经济利益在这些研究中可能</w:t>
      </w:r>
      <w:r>
        <w:rPr>
          <w:rFonts w:hint="eastAsia" w:ascii="Arial" w:hAnsi="Arial" w:eastAsia="宋体" w:cs="Arial"/>
          <w:sz w:val="24"/>
          <w:szCs w:val="24"/>
        </w:rPr>
        <w:t>很</w:t>
      </w:r>
      <w:r>
        <w:rPr>
          <w:rFonts w:ascii="Arial" w:hAnsi="Arial" w:eastAsia="宋体" w:cs="Arial"/>
          <w:sz w:val="24"/>
          <w:szCs w:val="24"/>
        </w:rPr>
        <w:t>重要，但相对来说是不太可能。</w:t>
      </w:r>
    </w:p>
    <w:p w14:paraId="0DF3A0AC">
      <w:pPr>
        <w:pStyle w:val="50"/>
        <w:overflowPunct w:val="0"/>
        <w:adjustRightInd w:val="0"/>
        <w:snapToGrid w:val="0"/>
        <w:spacing w:before="0" w:after="50" w:line="300" w:lineRule="auto"/>
        <w:ind w:firstLine="0"/>
        <w:jc w:val="both"/>
        <w:rPr>
          <w:rFonts w:ascii="Arial" w:hAnsi="Arial" w:eastAsia="宋体" w:cs="Arial"/>
          <w:sz w:val="24"/>
          <w:szCs w:val="24"/>
        </w:rPr>
      </w:pPr>
    </w:p>
    <w:p w14:paraId="1578165F">
      <w:pPr>
        <w:spacing w:after="0" w:line="240" w:lineRule="auto"/>
        <w:rPr>
          <w:rFonts w:ascii="Arial" w:hAnsi="Arial" w:eastAsia="宋体" w:cs="Arial"/>
          <w:kern w:val="2"/>
          <w:sz w:val="24"/>
          <w:szCs w:val="24"/>
        </w:rPr>
      </w:pPr>
      <w:r>
        <w:rPr>
          <w:rFonts w:ascii="Arial" w:hAnsi="Arial" w:eastAsia="宋体" w:cs="Arial"/>
          <w:sz w:val="24"/>
          <w:szCs w:val="24"/>
        </w:rPr>
        <w:br w:type="page"/>
      </w:r>
    </w:p>
    <w:p w14:paraId="5AA06DB1">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该条例</w:t>
      </w:r>
      <w:r>
        <w:rPr>
          <w:rStyle w:val="24"/>
          <w:rFonts w:ascii="Arial" w:hAnsi="Arial" w:eastAsia="宋体" w:cs="Arial"/>
          <w:sz w:val="24"/>
          <w:szCs w:val="24"/>
        </w:rPr>
        <w:footnoteReference w:id="16"/>
      </w:r>
      <w:r>
        <w:rPr>
          <w:rFonts w:ascii="Arial" w:hAnsi="Arial" w:eastAsia="宋体" w:cs="Arial"/>
          <w:sz w:val="24"/>
          <w:szCs w:val="24"/>
        </w:rPr>
        <w:t>允许申办方寻求某些要求的豁免，包括财务披露要求。但是，FDA认为这是非常不可能的，因为申办方应该已经开始持续地收集信息，而豁免对于在1999年2月2日（条例生效日期）以后开始的研究是合理的。FDA将根据个案的具体情况评估任何豁免请求。</w:t>
      </w:r>
    </w:p>
    <w:p w14:paraId="077DB0CC">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G.3</w:t>
      </w:r>
      <w:r>
        <w:rPr>
          <w:rFonts w:hint="eastAsia" w:ascii="Arial" w:hAnsi="Arial" w:eastAsia="宋体" w:cs="Arial"/>
          <w:bCs w:val="0"/>
          <w:sz w:val="24"/>
          <w:szCs w:val="24"/>
        </w:rPr>
        <w:tab/>
      </w:r>
      <w:r>
        <w:rPr>
          <w:rFonts w:ascii="Arial" w:hAnsi="Arial" w:eastAsia="宋体" w:cs="Arial"/>
          <w:bCs w:val="0"/>
          <w:sz w:val="24"/>
          <w:szCs w:val="24"/>
        </w:rPr>
        <w:t>问：涉及的临床研究的定义包括</w:t>
      </w:r>
      <w:r>
        <w:rPr>
          <w:rFonts w:ascii="宋体" w:hAnsi="宋体" w:eastAsia="宋体" w:cs="Arial"/>
          <w:bCs w:val="0"/>
          <w:sz w:val="24"/>
          <w:szCs w:val="24"/>
        </w:rPr>
        <w:t>“</w:t>
      </w:r>
      <w:r>
        <w:rPr>
          <w:rFonts w:ascii="Arial" w:hAnsi="Arial" w:eastAsia="宋体" w:cs="Arial"/>
          <w:bCs w:val="0"/>
          <w:sz w:val="24"/>
          <w:szCs w:val="24"/>
        </w:rPr>
        <w:t>个别研究者对安全性证明作出重大贡献的任何研究</w:t>
      </w:r>
      <w:r>
        <w:rPr>
          <w:rFonts w:cs="Arial" w:asciiTheme="majorEastAsia" w:hAnsiTheme="majorEastAsia" w:eastAsiaTheme="majorEastAsia"/>
          <w:bCs w:val="0"/>
          <w:sz w:val="24"/>
          <w:szCs w:val="24"/>
        </w:rPr>
        <w:t>”</w:t>
      </w:r>
      <w:r>
        <w:rPr>
          <w:rFonts w:ascii="Arial" w:hAnsi="Arial" w:eastAsia="宋体" w:cs="Arial"/>
          <w:bCs w:val="0"/>
          <w:sz w:val="24"/>
          <w:szCs w:val="24"/>
        </w:rPr>
        <w:t>，这是什么意思？</w:t>
      </w:r>
    </w:p>
    <w:p w14:paraId="4B99F455">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：举例来说，通常个别研究者对安全性证明做出重大贡献的研究是针对特定的安全性问题进行的研究。例如，一项内</w:t>
      </w:r>
      <w:r>
        <w:rPr>
          <w:rFonts w:hint="eastAsia" w:ascii="Arial" w:hAnsi="Arial" w:eastAsia="宋体" w:cs="Arial"/>
          <w:sz w:val="24"/>
          <w:szCs w:val="24"/>
        </w:rPr>
        <w:t>窥</w:t>
      </w:r>
      <w:r>
        <w:rPr>
          <w:rFonts w:ascii="Arial" w:hAnsi="Arial" w:eastAsia="宋体" w:cs="Arial"/>
          <w:sz w:val="24"/>
          <w:szCs w:val="24"/>
        </w:rPr>
        <w:t>镜检查研究来评估产品对胃粘膜的影响，或者一项对于</w:t>
      </w:r>
      <w:r>
        <w:rPr>
          <w:rFonts w:hint="eastAsia" w:ascii="Arial" w:hAnsi="Arial" w:eastAsia="宋体" w:cs="Arial"/>
          <w:sz w:val="24"/>
          <w:szCs w:val="24"/>
        </w:rPr>
        <w:t>具有特定预先存在的病症</w:t>
      </w:r>
      <w:r>
        <w:rPr>
          <w:rFonts w:ascii="Arial" w:hAnsi="Arial" w:eastAsia="宋体" w:cs="Arial"/>
          <w:sz w:val="24"/>
          <w:szCs w:val="24"/>
        </w:rPr>
        <w:t>或疾病的患者的亚组</w:t>
      </w:r>
      <w:r>
        <w:rPr>
          <w:rFonts w:hint="eastAsia" w:ascii="Arial" w:hAnsi="Arial" w:eastAsia="宋体" w:cs="Arial"/>
          <w:sz w:val="24"/>
          <w:szCs w:val="24"/>
        </w:rPr>
        <w:t>中</w:t>
      </w:r>
      <w:r>
        <w:rPr>
          <w:rFonts w:ascii="Arial" w:hAnsi="Arial" w:eastAsia="宋体" w:cs="Arial"/>
          <w:sz w:val="24"/>
          <w:szCs w:val="24"/>
        </w:rPr>
        <w:t>进行的研究，比如显著的心血管危险因素或对其他治疗的无效（不良反应）的历史。这样的研究可能有</w:t>
      </w:r>
      <w:r>
        <w:rPr>
          <w:rFonts w:hint="eastAsia" w:ascii="Arial" w:hAnsi="Arial" w:eastAsia="宋体" w:cs="Arial"/>
          <w:sz w:val="24"/>
          <w:szCs w:val="24"/>
        </w:rPr>
        <w:t>1名</w:t>
      </w:r>
      <w:r>
        <w:rPr>
          <w:rFonts w:ascii="Arial" w:hAnsi="Arial" w:eastAsia="宋体" w:cs="Arial"/>
          <w:sz w:val="24"/>
          <w:szCs w:val="24"/>
        </w:rPr>
        <w:t>单独的研究者，或者可能涉及</w:t>
      </w:r>
      <w:r>
        <w:rPr>
          <w:rFonts w:hint="eastAsia" w:ascii="Arial" w:hAnsi="Arial" w:eastAsia="宋体" w:cs="Arial"/>
          <w:sz w:val="24"/>
          <w:szCs w:val="24"/>
        </w:rPr>
        <w:t>1名</w:t>
      </w:r>
      <w:r>
        <w:rPr>
          <w:rFonts w:ascii="Arial" w:hAnsi="Arial" w:eastAsia="宋体" w:cs="Arial"/>
          <w:sz w:val="24"/>
          <w:szCs w:val="24"/>
        </w:rPr>
        <w:t>以上的临床研究者，如果每</w:t>
      </w:r>
      <w:r>
        <w:rPr>
          <w:rFonts w:hint="eastAsia" w:ascii="Arial" w:hAnsi="Arial" w:eastAsia="宋体" w:cs="Arial"/>
          <w:sz w:val="24"/>
          <w:szCs w:val="24"/>
        </w:rPr>
        <w:t>名</w:t>
      </w:r>
      <w:r>
        <w:rPr>
          <w:rFonts w:ascii="Arial" w:hAnsi="Arial" w:eastAsia="宋体" w:cs="Arial"/>
          <w:sz w:val="24"/>
          <w:szCs w:val="24"/>
        </w:rPr>
        <w:t>研究者对研究均做出了重大贡献，因此，为了证明安全性，这些研究将认为是</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并需进行财务披露。</w:t>
      </w:r>
    </w:p>
    <w:p w14:paraId="02E524CF">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大型开放的安全性研究（大量的临床研究者对受试者进行入组）通常不作为</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，这些研究旨在观察总体的不良事件，而不是关注特定的安全性问题。</w:t>
      </w:r>
    </w:p>
    <w:p w14:paraId="373FE6DD">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G.4</w:t>
      </w:r>
      <w:r>
        <w:rPr>
          <w:rFonts w:hint="eastAsia" w:ascii="Arial" w:hAnsi="Arial" w:eastAsia="宋体" w:cs="Arial"/>
          <w:sz w:val="24"/>
          <w:szCs w:val="24"/>
        </w:rPr>
        <w:tab/>
      </w:r>
      <w:r>
        <w:rPr>
          <w:rFonts w:ascii="Arial" w:hAnsi="Arial" w:eastAsia="宋体" w:cs="Arial"/>
          <w:sz w:val="24"/>
          <w:szCs w:val="24"/>
        </w:rPr>
        <w:t>问：</w:t>
      </w:r>
      <w:r>
        <w:rPr>
          <w:rFonts w:hint="eastAsia" w:ascii="Arial" w:hAnsi="Arial" w:eastAsia="宋体" w:cs="Arial"/>
          <w:sz w:val="24"/>
          <w:szCs w:val="24"/>
        </w:rPr>
        <w:t>是否</w:t>
      </w:r>
      <w:r>
        <w:rPr>
          <w:rFonts w:ascii="Arial" w:hAnsi="Arial" w:eastAsia="宋体" w:cs="Arial"/>
          <w:sz w:val="24"/>
          <w:szCs w:val="24"/>
        </w:rPr>
        <w:t>可以将文献报道视为涉及的临床研究？</w:t>
      </w:r>
    </w:p>
    <w:p w14:paraId="74F6B586">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是的，如果申请人或FDA依据该文献确认了该产品是</w:t>
      </w:r>
      <w:r>
        <w:rPr>
          <w:rFonts w:hint="eastAsia" w:ascii="Arial" w:hAnsi="Arial" w:eastAsia="宋体" w:cs="Arial"/>
          <w:sz w:val="24"/>
          <w:szCs w:val="24"/>
        </w:rPr>
        <w:t>的</w:t>
      </w:r>
      <w:r>
        <w:rPr>
          <w:rFonts w:ascii="Arial" w:hAnsi="Arial" w:eastAsia="宋体" w:cs="Arial"/>
          <w:sz w:val="24"/>
          <w:szCs w:val="24"/>
        </w:rPr>
        <w:t>有效</w:t>
      </w:r>
      <w:r>
        <w:rPr>
          <w:rFonts w:hint="eastAsia" w:ascii="Arial" w:hAnsi="Arial" w:eastAsia="宋体" w:cs="Arial"/>
          <w:sz w:val="24"/>
          <w:szCs w:val="24"/>
        </w:rPr>
        <w:t>性</w:t>
      </w:r>
      <w:r>
        <w:rPr>
          <w:rFonts w:ascii="Arial" w:hAnsi="Arial" w:eastAsia="宋体" w:cs="Arial"/>
          <w:sz w:val="24"/>
          <w:szCs w:val="24"/>
        </w:rPr>
        <w:t>，或者有个别研究者对证明产品的安全性做出了重大贡献的文献</w:t>
      </w:r>
      <w:r>
        <w:rPr>
          <w:rStyle w:val="24"/>
          <w:rFonts w:ascii="Arial" w:hAnsi="Arial" w:eastAsia="宋体" w:cs="Arial"/>
          <w:sz w:val="24"/>
          <w:szCs w:val="24"/>
        </w:rPr>
        <w:footnoteReference w:id="17"/>
      </w:r>
      <w:r>
        <w:rPr>
          <w:rFonts w:ascii="Arial" w:hAnsi="Arial" w:eastAsia="宋体" w:cs="Arial"/>
          <w:sz w:val="24"/>
          <w:szCs w:val="24"/>
        </w:rPr>
        <w:t>，该文献可视作</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。当申请人以这种方式依据该文献</w:t>
      </w:r>
      <w:r>
        <w:rPr>
          <w:rFonts w:hint="eastAsia" w:ascii="Arial" w:hAnsi="Arial" w:eastAsia="宋体" w:cs="Arial"/>
          <w:sz w:val="24"/>
          <w:szCs w:val="24"/>
        </w:rPr>
        <w:t>报告</w:t>
      </w:r>
      <w:r>
        <w:rPr>
          <w:rFonts w:ascii="Arial" w:hAnsi="Arial" w:eastAsia="宋体" w:cs="Arial"/>
          <w:sz w:val="24"/>
          <w:szCs w:val="24"/>
        </w:rPr>
        <w:t>时，需要临床研究者的财务披露。应联系研究的作者和临床研究者以获取此信息，以使申请人可以提交证明和/或披露表格，或者如果申请人无法获得信息，应证明该申请人已经为获取信息而进行了尽职调查。由于需要报告的是与所涉临床研究的申办方和研究产品相关的经济利益和协议，临床研究者不需要向申请人报告其经济利益和协议，除非申请人是所涉研究的申办方。</w:t>
      </w:r>
    </w:p>
    <w:p w14:paraId="6F4C8117">
      <w:pPr>
        <w:pStyle w:val="50"/>
        <w:overflowPunct w:val="0"/>
        <w:adjustRightInd w:val="0"/>
        <w:snapToGrid w:val="0"/>
        <w:spacing w:before="0" w:after="50" w:line="300" w:lineRule="auto"/>
        <w:ind w:firstLine="0"/>
        <w:jc w:val="both"/>
        <w:rPr>
          <w:rFonts w:ascii="Arial" w:hAnsi="Arial" w:eastAsia="宋体" w:cs="Arial"/>
          <w:sz w:val="24"/>
          <w:szCs w:val="24"/>
        </w:rPr>
      </w:pPr>
    </w:p>
    <w:p w14:paraId="79766A39">
      <w:pPr>
        <w:spacing w:after="0" w:line="240" w:lineRule="auto"/>
        <w:rPr>
          <w:rFonts w:ascii="Arial" w:hAnsi="Arial" w:eastAsia="宋体" w:cs="Arial"/>
          <w:b/>
          <w:bCs/>
          <w:kern w:val="2"/>
          <w:sz w:val="24"/>
          <w:szCs w:val="24"/>
        </w:rPr>
      </w:pPr>
      <w:r>
        <w:rPr>
          <w:rFonts w:ascii="Arial" w:hAnsi="Arial" w:eastAsia="宋体" w:cs="Arial"/>
          <w:sz w:val="24"/>
          <w:szCs w:val="24"/>
        </w:rPr>
        <w:br w:type="page"/>
      </w:r>
    </w:p>
    <w:p w14:paraId="03564BD1">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G.5</w:t>
      </w:r>
      <w:r>
        <w:rPr>
          <w:rFonts w:hint="eastAsia" w:ascii="Arial" w:hAnsi="Arial" w:eastAsia="宋体" w:cs="Arial"/>
          <w:sz w:val="24"/>
          <w:szCs w:val="24"/>
        </w:rPr>
        <w:tab/>
      </w:r>
      <w:r>
        <w:rPr>
          <w:rFonts w:ascii="Arial" w:hAnsi="Arial" w:eastAsia="宋体" w:cs="Arial"/>
          <w:sz w:val="24"/>
          <w:szCs w:val="24"/>
        </w:rPr>
        <w:t>问：该条例是否</w:t>
      </w:r>
      <w:r>
        <w:rPr>
          <w:rFonts w:ascii="Arial" w:hAnsi="Arial" w:eastAsia="宋体" w:cs="Arial"/>
          <w:bCs w:val="0"/>
          <w:sz w:val="24"/>
          <w:szCs w:val="24"/>
        </w:rPr>
        <w:t>包括</w:t>
      </w:r>
      <w:r>
        <w:rPr>
          <w:rFonts w:ascii="Arial" w:hAnsi="Arial" w:eastAsia="宋体" w:cs="Arial"/>
          <w:sz w:val="24"/>
          <w:szCs w:val="24"/>
        </w:rPr>
        <w:t>简略新药申请（ANDA）？该条例是否包括有临床数据的510（k）？对于生物仿制药如何？</w:t>
      </w:r>
    </w:p>
    <w:p w14:paraId="0B463A8F">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该条例要求申请人对于提交的资料中援用临床数据的部分需要披露这些经济利益和协议。</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是指用于上市申请的任何药物（包括生物制剂）或医疗器械的人体研究，申请人或FDA据此而确认了该产品</w:t>
      </w:r>
      <w:r>
        <w:rPr>
          <w:rFonts w:hint="eastAsia" w:ascii="Arial" w:hAnsi="Arial" w:eastAsia="宋体" w:cs="Arial"/>
          <w:sz w:val="24"/>
          <w:szCs w:val="24"/>
        </w:rPr>
        <w:t>的</w:t>
      </w:r>
      <w:r>
        <w:rPr>
          <w:rFonts w:ascii="Arial" w:hAnsi="Arial" w:eastAsia="宋体" w:cs="Arial"/>
          <w:sz w:val="24"/>
          <w:szCs w:val="24"/>
        </w:rPr>
        <w:t>有效</w:t>
      </w:r>
      <w:r>
        <w:rPr>
          <w:rFonts w:hint="eastAsia" w:ascii="Arial" w:hAnsi="Arial" w:eastAsia="宋体" w:cs="Arial"/>
          <w:sz w:val="24"/>
          <w:szCs w:val="24"/>
        </w:rPr>
        <w:t>性</w:t>
      </w:r>
      <w:r>
        <w:rPr>
          <w:rFonts w:ascii="Arial" w:hAnsi="Arial" w:eastAsia="宋体" w:cs="Arial"/>
          <w:sz w:val="24"/>
          <w:szCs w:val="24"/>
        </w:rPr>
        <w:t>（包括与有效产品的等同性研究），或者个别研究者对证明产品的安全性做出了重大贡献的任何研究。通常，这不包括1期耐受性研究或药代动力学研究、大多数临床药理学研究（除非</w:t>
      </w:r>
      <w:r>
        <w:rPr>
          <w:rFonts w:hint="eastAsia" w:ascii="Arial" w:hAnsi="Arial" w:eastAsia="宋体" w:cs="Arial"/>
          <w:sz w:val="24"/>
          <w:szCs w:val="24"/>
        </w:rPr>
        <w:t>其</w:t>
      </w:r>
      <w:r>
        <w:rPr>
          <w:rFonts w:ascii="Arial" w:hAnsi="Arial" w:eastAsia="宋体" w:cs="Arial"/>
          <w:sz w:val="24"/>
          <w:szCs w:val="24"/>
        </w:rPr>
        <w:t>对疗效确定至关重要）、大型多中心开放的安全性研究、治疗方案和</w:t>
      </w:r>
      <w:r>
        <w:rPr>
          <w:rFonts w:hint="eastAsia" w:ascii="Arial" w:hAnsi="Arial" w:eastAsia="宋体" w:cs="Arial"/>
          <w:sz w:val="24"/>
          <w:szCs w:val="24"/>
        </w:rPr>
        <w:t>扩展</w:t>
      </w:r>
      <w:r>
        <w:rPr>
          <w:rFonts w:ascii="Arial" w:hAnsi="Arial" w:eastAsia="宋体" w:cs="Arial"/>
          <w:sz w:val="24"/>
          <w:szCs w:val="24"/>
        </w:rPr>
        <w:t>应用的方案。（21 CFR§§54.2和54.3。）ANDA应符合21 CFR第54</w:t>
      </w:r>
      <w:r>
        <w:rPr>
          <w:rFonts w:hint="eastAsia" w:ascii="Arial" w:hAnsi="Arial" w:eastAsia="宋体" w:cs="Arial"/>
          <w:sz w:val="24"/>
          <w:szCs w:val="24"/>
        </w:rPr>
        <w:t>部分</w:t>
      </w:r>
      <w:r>
        <w:rPr>
          <w:rFonts w:ascii="Arial" w:hAnsi="Arial" w:eastAsia="宋体" w:cs="Arial"/>
          <w:sz w:val="24"/>
          <w:szCs w:val="24"/>
        </w:rPr>
        <w:t>（21 CFR§314.94（a）（13））， 510（k）应符合（21 CFR§807.87（i））。此外，生物制剂的申请，包括根据</w:t>
      </w:r>
      <w:r>
        <w:rPr>
          <w:rFonts w:ascii="宋体" w:hAnsi="宋体" w:eastAsia="宋体" w:cs="Arial"/>
          <w:sz w:val="24"/>
          <w:szCs w:val="24"/>
        </w:rPr>
        <w:t>“</w:t>
      </w:r>
      <w:r>
        <w:rPr>
          <w:rFonts w:ascii="Arial" w:hAnsi="Arial" w:eastAsia="宋体" w:cs="Arial"/>
          <w:sz w:val="24"/>
          <w:szCs w:val="24"/>
        </w:rPr>
        <w:t>公共卫生服务法</w:t>
      </w:r>
      <w:r>
        <w:rPr>
          <w:rFonts w:cs="Arial" w:asciiTheme="majorEastAsia" w:hAnsiTheme="majorEastAsia" w:eastAsiaTheme="majorEastAsia"/>
          <w:sz w:val="24"/>
          <w:szCs w:val="24"/>
        </w:rPr>
        <w:t>”</w:t>
      </w:r>
      <w:r>
        <w:rPr>
          <w:rFonts w:ascii="Arial" w:hAnsi="Arial" w:eastAsia="宋体" w:cs="Arial"/>
          <w:sz w:val="24"/>
          <w:szCs w:val="24"/>
        </w:rPr>
        <w:t>351（k）提交的申请，也应符合该条例的规定。</w:t>
      </w:r>
    </w:p>
    <w:p w14:paraId="715E0977">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G.6</w:t>
      </w:r>
      <w:r>
        <w:rPr>
          <w:rFonts w:hint="eastAsia" w:ascii="Arial" w:hAnsi="Arial" w:eastAsia="宋体" w:cs="Arial"/>
          <w:bCs w:val="0"/>
          <w:sz w:val="24"/>
          <w:szCs w:val="24"/>
        </w:rPr>
        <w:tab/>
      </w:r>
      <w:r>
        <w:rPr>
          <w:rFonts w:ascii="Arial" w:hAnsi="Arial" w:eastAsia="宋体" w:cs="Arial"/>
          <w:bCs w:val="0"/>
          <w:sz w:val="24"/>
          <w:szCs w:val="24"/>
        </w:rPr>
        <w:t>问：该条例是否适用于支持标签变更的研究？</w:t>
      </w:r>
    </w:p>
    <w:p w14:paraId="66E902EA">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该条例适用于在补充申请中提交的研究（若这些研究符合</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的定义）。该定义包括支持安全性标签变更的研究，其中个别研究者会对安全性信息做出重大贡献，还包括支持新适应症有效性的研究。（21 CFR§§54.2和54.3。）</w:t>
      </w:r>
    </w:p>
    <w:p w14:paraId="41DAE3D1">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G.7</w:t>
      </w:r>
      <w:r>
        <w:rPr>
          <w:rFonts w:hint="eastAsia" w:ascii="Arial" w:hAnsi="Arial" w:eastAsia="宋体" w:cs="Arial"/>
          <w:sz w:val="24"/>
          <w:szCs w:val="24"/>
        </w:rPr>
        <w:tab/>
      </w:r>
      <w:r>
        <w:rPr>
          <w:rFonts w:ascii="Arial" w:hAnsi="Arial" w:eastAsia="宋体" w:cs="Arial"/>
          <w:bCs w:val="0"/>
          <w:sz w:val="24"/>
          <w:szCs w:val="24"/>
        </w:rPr>
        <w:t>问：为支持药物从</w:t>
      </w:r>
      <w:r>
        <w:rPr>
          <w:rFonts w:ascii="Arial" w:hAnsi="Arial" w:eastAsia="宋体" w:cs="Arial"/>
          <w:sz w:val="24"/>
          <w:szCs w:val="24"/>
        </w:rPr>
        <w:t>处方药</w:t>
      </w:r>
      <w:r>
        <w:rPr>
          <w:rFonts w:ascii="Arial" w:hAnsi="Arial" w:eastAsia="宋体" w:cs="Arial"/>
          <w:bCs w:val="0"/>
          <w:sz w:val="24"/>
          <w:szCs w:val="24"/>
        </w:rPr>
        <w:t>转为非处方药（OTC）状态而进行的实际使用和标签理解研究，是否符合</w:t>
      </w:r>
      <w:r>
        <w:rPr>
          <w:rFonts w:ascii="宋体" w:hAnsi="宋体" w:eastAsia="宋体" w:cs="Arial"/>
          <w:bCs w:val="0"/>
          <w:sz w:val="24"/>
          <w:szCs w:val="24"/>
        </w:rPr>
        <w:t>“</w:t>
      </w:r>
      <w:r>
        <w:rPr>
          <w:rFonts w:ascii="Arial" w:hAnsi="Arial" w:eastAsia="宋体" w:cs="Arial"/>
          <w:bCs w:val="0"/>
          <w:sz w:val="24"/>
          <w:szCs w:val="24"/>
        </w:rPr>
        <w:t>涉及的临床研究</w:t>
      </w:r>
      <w:r>
        <w:rPr>
          <w:rFonts w:cs="Arial" w:asciiTheme="majorEastAsia" w:hAnsiTheme="majorEastAsia" w:eastAsiaTheme="majorEastAsia"/>
          <w:bCs w:val="0"/>
          <w:sz w:val="24"/>
          <w:szCs w:val="24"/>
        </w:rPr>
        <w:t>”</w:t>
      </w:r>
      <w:r>
        <w:rPr>
          <w:rFonts w:ascii="Arial" w:hAnsi="Arial" w:eastAsia="宋体" w:cs="Arial"/>
          <w:bCs w:val="0"/>
          <w:sz w:val="24"/>
          <w:szCs w:val="24"/>
        </w:rPr>
        <w:t>的定义？</w:t>
      </w:r>
    </w:p>
    <w:p w14:paraId="497D3BED">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bCs/>
          <w:sz w:val="24"/>
          <w:szCs w:val="24"/>
        </w:rPr>
        <w:t>答</w:t>
      </w:r>
      <w:r>
        <w:rPr>
          <w:rFonts w:ascii="Arial" w:hAnsi="Arial" w:eastAsia="宋体" w:cs="Arial"/>
          <w:bCs/>
          <w:sz w:val="24"/>
          <w:szCs w:val="24"/>
        </w:rPr>
        <w:t>：</w:t>
      </w:r>
      <w:r>
        <w:rPr>
          <w:rFonts w:ascii="Arial" w:hAnsi="Arial" w:eastAsia="宋体" w:cs="Arial"/>
          <w:sz w:val="24"/>
          <w:szCs w:val="24"/>
        </w:rPr>
        <w:t>申请人向FDA提交补充申请，申请将处方药转为OTC状态，或者提交OTC新药申请，经常进行实际使用和标签理解研究。这些可能是旨在证明该产品在没有执业医师的监管下使用是安全有效的；在其他情况下，他们可能会</w:t>
      </w:r>
      <w:r>
        <w:rPr>
          <w:rFonts w:hint="eastAsia" w:ascii="Arial" w:hAnsi="Arial" w:eastAsia="宋体" w:cs="Arial"/>
          <w:sz w:val="24"/>
          <w:szCs w:val="24"/>
        </w:rPr>
        <w:t>基于</w:t>
      </w:r>
      <w:r>
        <w:rPr>
          <w:rFonts w:ascii="Arial" w:hAnsi="Arial" w:eastAsia="宋体" w:cs="Arial"/>
          <w:sz w:val="24"/>
          <w:szCs w:val="24"/>
        </w:rPr>
        <w:t>标签的理解或其他治疗方面对消费者进行测试。用于支持这些应用的实际使用研究，如果</w:t>
      </w:r>
      <w:r>
        <w:rPr>
          <w:rFonts w:hint="eastAsia" w:ascii="Arial" w:hAnsi="Arial" w:eastAsia="宋体" w:cs="Arial"/>
          <w:sz w:val="24"/>
          <w:szCs w:val="24"/>
        </w:rPr>
        <w:t>其</w:t>
      </w:r>
      <w:r>
        <w:rPr>
          <w:rFonts w:ascii="Arial" w:hAnsi="Arial" w:eastAsia="宋体" w:cs="Arial"/>
          <w:sz w:val="24"/>
          <w:szCs w:val="24"/>
        </w:rPr>
        <w:t>是用于证明设定为OTC的药物有效性，或者如果</w:t>
      </w:r>
      <w:r>
        <w:rPr>
          <w:rFonts w:hint="eastAsia" w:ascii="Arial" w:hAnsi="Arial" w:eastAsia="宋体" w:cs="Arial"/>
          <w:sz w:val="24"/>
          <w:szCs w:val="24"/>
        </w:rPr>
        <w:t>其</w:t>
      </w:r>
      <w:r>
        <w:rPr>
          <w:rFonts w:ascii="Arial" w:hAnsi="Arial" w:eastAsia="宋体" w:cs="Arial"/>
          <w:sz w:val="24"/>
          <w:szCs w:val="24"/>
        </w:rPr>
        <w:t>代表有任一研究者做出重大贡献的安全性研究（21 CFR§§54.2和54.3），则视为</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。标签理解研究不认为是</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w:t>
      </w:r>
    </w:p>
    <w:p w14:paraId="39A9F011">
      <w:pPr>
        <w:overflowPunct w:val="0"/>
        <w:snapToGrid w:val="0"/>
        <w:spacing w:after="50" w:line="300" w:lineRule="auto"/>
        <w:jc w:val="both"/>
        <w:rPr>
          <w:rFonts w:ascii="Arial" w:hAnsi="Arial" w:eastAsia="宋体" w:cs="Arial"/>
          <w:b/>
          <w:kern w:val="2"/>
          <w:sz w:val="24"/>
          <w:szCs w:val="24"/>
        </w:rPr>
      </w:pPr>
      <w:r>
        <w:rPr>
          <w:rFonts w:ascii="Arial" w:hAnsi="Arial" w:eastAsia="宋体" w:cs="Arial"/>
          <w:bCs/>
          <w:sz w:val="24"/>
          <w:szCs w:val="24"/>
        </w:rPr>
        <w:br w:type="page"/>
      </w:r>
    </w:p>
    <w:p w14:paraId="0FAB65ED">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G.8</w:t>
      </w:r>
      <w:r>
        <w:rPr>
          <w:rFonts w:hint="eastAsia" w:ascii="Arial" w:hAnsi="Arial" w:eastAsia="宋体" w:cs="Arial"/>
          <w:bCs w:val="0"/>
          <w:sz w:val="24"/>
          <w:szCs w:val="24"/>
        </w:rPr>
        <w:tab/>
      </w:r>
      <w:r>
        <w:rPr>
          <w:rFonts w:ascii="Arial" w:hAnsi="Arial" w:eastAsia="宋体" w:cs="Arial"/>
          <w:bCs w:val="0"/>
          <w:sz w:val="24"/>
          <w:szCs w:val="24"/>
        </w:rPr>
        <w:t>问：本条例</w:t>
      </w:r>
      <w:r>
        <w:rPr>
          <w:rFonts w:hint="eastAsia" w:ascii="Arial" w:hAnsi="Arial" w:eastAsia="宋体" w:cs="Arial"/>
          <w:bCs w:val="0"/>
          <w:sz w:val="24"/>
          <w:szCs w:val="24"/>
        </w:rPr>
        <w:t>是否</w:t>
      </w:r>
      <w:r>
        <w:rPr>
          <w:rFonts w:ascii="Arial" w:hAnsi="Arial" w:eastAsia="宋体" w:cs="Arial"/>
          <w:bCs w:val="0"/>
          <w:sz w:val="24"/>
          <w:szCs w:val="24"/>
        </w:rPr>
        <w:t>包括体外诊断试剂（IVD）的临床研究者？</w:t>
      </w:r>
    </w:p>
    <w:p w14:paraId="3D7CE33A">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：是。提交IVD上市申请（包括了涉及的临床研究）的申请人，必须提供适当的财务证明或披露信息（21 CFR§54.3）。虽然IVD研究可能仅涉及</w:t>
      </w:r>
      <w:r>
        <w:rPr>
          <w:rFonts w:hint="eastAsia" w:ascii="Arial" w:hAnsi="Arial" w:eastAsia="宋体" w:cs="Arial"/>
          <w:sz w:val="24"/>
          <w:szCs w:val="24"/>
        </w:rPr>
        <w:t>试样</w:t>
      </w:r>
      <w:r>
        <w:rPr>
          <w:rFonts w:ascii="Arial" w:hAnsi="Arial" w:eastAsia="宋体" w:cs="Arial"/>
          <w:sz w:val="24"/>
          <w:szCs w:val="24"/>
        </w:rPr>
        <w:t>，根据21 CFR§812.3（p），</w:t>
      </w:r>
      <w:r>
        <w:rPr>
          <w:rFonts w:ascii="宋体" w:hAnsi="宋体" w:eastAsia="宋体" w:cs="Arial"/>
          <w:sz w:val="24"/>
          <w:szCs w:val="24"/>
        </w:rPr>
        <w:t>“</w:t>
      </w:r>
      <w:r>
        <w:rPr>
          <w:rFonts w:ascii="Arial" w:hAnsi="Arial" w:eastAsia="宋体" w:cs="Arial"/>
          <w:sz w:val="24"/>
          <w:szCs w:val="24"/>
        </w:rPr>
        <w:t>受试者</w:t>
      </w:r>
      <w:r>
        <w:rPr>
          <w:rFonts w:cs="Arial" w:asciiTheme="majorEastAsia" w:hAnsiTheme="majorEastAsia" w:eastAsiaTheme="majorEastAsia"/>
          <w:sz w:val="24"/>
          <w:szCs w:val="24"/>
        </w:rPr>
        <w:t>”</w:t>
      </w:r>
      <w:r>
        <w:rPr>
          <w:rFonts w:ascii="Arial" w:hAnsi="Arial" w:eastAsia="宋体" w:cs="Arial"/>
          <w:sz w:val="24"/>
          <w:szCs w:val="24"/>
        </w:rPr>
        <w:t>定义为</w:t>
      </w:r>
      <w:r>
        <w:rPr>
          <w:rFonts w:ascii="宋体" w:hAnsi="宋体" w:eastAsia="宋体" w:cs="Arial"/>
          <w:sz w:val="24"/>
          <w:szCs w:val="24"/>
        </w:rPr>
        <w:t>“</w:t>
      </w:r>
      <w:r>
        <w:rPr>
          <w:rFonts w:ascii="Arial" w:hAnsi="Arial" w:eastAsia="宋体" w:cs="Arial"/>
          <w:sz w:val="24"/>
          <w:szCs w:val="24"/>
        </w:rPr>
        <w:t>参与研究的人，无论是作为个体或其</w:t>
      </w:r>
      <w:r>
        <w:rPr>
          <w:rFonts w:hint="eastAsia" w:ascii="Arial" w:hAnsi="Arial" w:eastAsia="宋体" w:cs="Arial"/>
          <w:sz w:val="24"/>
          <w:szCs w:val="24"/>
        </w:rPr>
        <w:t>试样</w:t>
      </w:r>
      <w:r>
        <w:rPr>
          <w:rFonts w:ascii="Arial" w:hAnsi="Arial" w:eastAsia="宋体" w:cs="Arial"/>
          <w:sz w:val="24"/>
          <w:szCs w:val="24"/>
        </w:rPr>
        <w:t>用于研究用器械或对照研究</w:t>
      </w:r>
      <w:r>
        <w:rPr>
          <w:rFonts w:cs="Arial" w:asciiTheme="majorEastAsia" w:hAnsiTheme="majorEastAsia" w:eastAsiaTheme="majorEastAsia"/>
          <w:sz w:val="24"/>
          <w:szCs w:val="24"/>
        </w:rPr>
        <w:t>”</w:t>
      </w:r>
      <w:r>
        <w:rPr>
          <w:rFonts w:ascii="Arial" w:hAnsi="Arial" w:eastAsia="宋体" w:cs="Arial"/>
          <w:sz w:val="24"/>
          <w:szCs w:val="24"/>
        </w:rPr>
        <w:t>。根据21 CFR§812.3（h），</w:t>
      </w:r>
      <w:r>
        <w:rPr>
          <w:rFonts w:ascii="宋体" w:hAnsi="宋体" w:eastAsia="宋体" w:cs="Arial"/>
          <w:sz w:val="24"/>
          <w:szCs w:val="24"/>
        </w:rPr>
        <w:t>“</w:t>
      </w:r>
      <w:r>
        <w:rPr>
          <w:rFonts w:ascii="Arial" w:hAnsi="Arial" w:eastAsia="宋体" w:cs="Arial"/>
          <w:sz w:val="24"/>
          <w:szCs w:val="24"/>
        </w:rPr>
        <w:t>研究</w:t>
      </w:r>
      <w:r>
        <w:rPr>
          <w:rFonts w:cs="Arial" w:asciiTheme="majorEastAsia" w:hAnsiTheme="majorEastAsia" w:eastAsiaTheme="majorEastAsia"/>
          <w:sz w:val="24"/>
          <w:szCs w:val="24"/>
        </w:rPr>
        <w:t>”</w:t>
      </w:r>
      <w:r>
        <w:rPr>
          <w:rFonts w:ascii="Arial" w:hAnsi="Arial" w:eastAsia="宋体" w:cs="Arial"/>
          <w:sz w:val="24"/>
          <w:szCs w:val="24"/>
        </w:rPr>
        <w:t>定义为</w:t>
      </w:r>
      <w:r>
        <w:rPr>
          <w:rFonts w:ascii="宋体" w:hAnsi="宋体" w:eastAsia="宋体" w:cs="Arial"/>
          <w:sz w:val="24"/>
          <w:szCs w:val="24"/>
        </w:rPr>
        <w:t>“</w:t>
      </w:r>
      <w:r>
        <w:rPr>
          <w:rFonts w:ascii="Arial" w:hAnsi="Arial" w:eastAsia="宋体" w:cs="Arial"/>
          <w:sz w:val="24"/>
          <w:szCs w:val="24"/>
        </w:rPr>
        <w:t>涉及一名或多名受试者，用以确定器械的安全性或有效性的临床研究或研究</w:t>
      </w:r>
      <w:r>
        <w:rPr>
          <w:rFonts w:cs="Arial" w:asciiTheme="majorEastAsia" w:hAnsiTheme="majorEastAsia" w:eastAsiaTheme="majorEastAsia"/>
          <w:sz w:val="24"/>
          <w:szCs w:val="24"/>
        </w:rPr>
        <w:t>”</w:t>
      </w:r>
      <w:r>
        <w:rPr>
          <w:rFonts w:ascii="Arial" w:hAnsi="Arial" w:eastAsia="宋体" w:cs="Arial"/>
          <w:sz w:val="24"/>
          <w:szCs w:val="24"/>
        </w:rPr>
        <w:t>。因此，如果IVD的一项研究用于支持上市申请，并符合涉及的临床研究的定义，则应符合本条例（21 CFR§54.3）的规定。</w:t>
      </w:r>
    </w:p>
    <w:p w14:paraId="49D2BC93">
      <w:pPr>
        <w:pStyle w:val="44"/>
        <w:numPr>
          <w:ilvl w:val="0"/>
          <w:numId w:val="5"/>
        </w:numPr>
        <w:shd w:val="clear" w:color="auto" w:fill="auto"/>
        <w:overflowPunct w:val="0"/>
        <w:snapToGrid w:val="0"/>
        <w:spacing w:after="156" w:afterLines="50" w:line="360" w:lineRule="auto"/>
        <w:ind w:left="357" w:hanging="357"/>
        <w:jc w:val="both"/>
        <w:outlineLvl w:val="1"/>
        <w:rPr>
          <w:rFonts w:ascii="Arial" w:hAnsi="Arial" w:eastAsia="宋体" w:cs="Arial"/>
          <w:sz w:val="24"/>
          <w:szCs w:val="24"/>
        </w:rPr>
      </w:pPr>
      <w:bookmarkStart w:id="24" w:name="_Toc496025809"/>
      <w:r>
        <w:rPr>
          <w:rFonts w:ascii="Arial" w:hAnsi="Arial" w:eastAsia="宋体" w:cs="Arial"/>
          <w:sz w:val="24"/>
          <w:szCs w:val="24"/>
        </w:rPr>
        <w:t>FDA审查</w:t>
      </w:r>
      <w:bookmarkEnd w:id="24"/>
    </w:p>
    <w:p w14:paraId="6D32C582">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H.1</w:t>
      </w:r>
      <w:r>
        <w:rPr>
          <w:rFonts w:hint="eastAsia" w:ascii="Arial" w:hAnsi="Arial" w:eastAsia="宋体" w:cs="Arial"/>
          <w:sz w:val="24"/>
          <w:szCs w:val="24"/>
        </w:rPr>
        <w:tab/>
      </w:r>
      <w:r>
        <w:rPr>
          <w:rFonts w:ascii="Arial" w:hAnsi="Arial" w:eastAsia="宋体" w:cs="Arial"/>
          <w:sz w:val="24"/>
          <w:szCs w:val="24"/>
        </w:rPr>
        <w:t>问：在什么情况下，FDA将拒绝提交的申请？</w:t>
      </w:r>
    </w:p>
    <w:p w14:paraId="4F45E4F8">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FDA可以拒收任何以</w:t>
      </w:r>
      <w:r>
        <w:rPr>
          <w:rFonts w:ascii="宋体" w:hAnsi="宋体" w:eastAsia="宋体" w:cs="Arial"/>
          <w:sz w:val="24"/>
          <w:szCs w:val="24"/>
        </w:rPr>
        <w:t>“</w:t>
      </w:r>
      <w:r>
        <w:rPr>
          <w:rFonts w:ascii="Arial" w:hAnsi="Arial" w:eastAsia="宋体" w:cs="Arial"/>
          <w:sz w:val="24"/>
          <w:szCs w:val="24"/>
        </w:rPr>
        <w:t>涉及的临床研究</w:t>
      </w:r>
      <w:r>
        <w:rPr>
          <w:rFonts w:cs="Arial" w:asciiTheme="majorEastAsia" w:hAnsiTheme="majorEastAsia" w:eastAsiaTheme="majorEastAsia"/>
          <w:sz w:val="24"/>
          <w:szCs w:val="24"/>
        </w:rPr>
        <w:t>”</w:t>
      </w:r>
      <w:r>
        <w:rPr>
          <w:rFonts w:ascii="Arial" w:hAnsi="Arial" w:eastAsia="宋体" w:cs="Arial"/>
          <w:sz w:val="24"/>
          <w:szCs w:val="24"/>
        </w:rPr>
        <w:t>为支持但其中未包含以下资料的上市申请：对于非申办方雇员的每名研究者，证明其不存在如54.4（a）（3）中所规定的经济利益或协议；一份披露声明以</w:t>
      </w:r>
      <w:r>
        <w:rPr>
          <w:rFonts w:hint="eastAsia" w:ascii="Arial" w:hAnsi="Arial" w:eastAsia="宋体" w:cs="Arial"/>
          <w:sz w:val="24"/>
          <w:szCs w:val="24"/>
        </w:rPr>
        <w:t>确定</w:t>
      </w:r>
      <w:r>
        <w:rPr>
          <w:rFonts w:ascii="Arial" w:hAnsi="Arial" w:eastAsia="宋体" w:cs="Arial"/>
          <w:sz w:val="24"/>
          <w:szCs w:val="24"/>
        </w:rPr>
        <w:t>具体的经济利益或协议以及使偏倚最小化的措施；或申请人为获取所需信息已进行了尽职调查却未能获得</w:t>
      </w:r>
      <w:r>
        <w:rPr>
          <w:rFonts w:hint="eastAsia" w:ascii="Arial" w:hAnsi="Arial" w:eastAsia="宋体" w:cs="Arial"/>
          <w:sz w:val="24"/>
          <w:szCs w:val="24"/>
        </w:rPr>
        <w:t>信息的</w:t>
      </w:r>
      <w:r>
        <w:rPr>
          <w:rFonts w:ascii="Arial" w:hAnsi="Arial" w:eastAsia="宋体" w:cs="Arial"/>
          <w:sz w:val="24"/>
          <w:szCs w:val="24"/>
        </w:rPr>
        <w:t>证明，并说明原因（21 CFR§54.4（ C））。一般来说，如果在形式审查期间，FDA审查员会识别出缺失的信息，并尝试联系申请人以获取缺失的信息；然而，申请人应采取合理措施以确保提交的申请完整。鼓励申请人与FDA讨论有关财务信息的特殊事项的问题。</w:t>
      </w:r>
    </w:p>
    <w:p w14:paraId="1F3D683F">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H.2</w:t>
      </w:r>
      <w:r>
        <w:rPr>
          <w:rFonts w:hint="eastAsia" w:ascii="Arial" w:hAnsi="Arial" w:eastAsia="宋体" w:cs="Arial"/>
          <w:sz w:val="24"/>
          <w:szCs w:val="24"/>
        </w:rPr>
        <w:tab/>
      </w:r>
      <w:r>
        <w:rPr>
          <w:rFonts w:ascii="Arial" w:hAnsi="Arial" w:eastAsia="宋体" w:cs="Arial"/>
          <w:sz w:val="24"/>
          <w:szCs w:val="24"/>
        </w:rPr>
        <w:t>问：在上市</w:t>
      </w:r>
      <w:r>
        <w:rPr>
          <w:rFonts w:ascii="Arial" w:hAnsi="Arial" w:eastAsia="宋体" w:cs="Arial"/>
          <w:bCs w:val="0"/>
          <w:sz w:val="24"/>
          <w:szCs w:val="24"/>
        </w:rPr>
        <w:t>申请</w:t>
      </w:r>
      <w:r>
        <w:rPr>
          <w:rFonts w:ascii="Arial" w:hAnsi="Arial" w:eastAsia="宋体" w:cs="Arial"/>
          <w:sz w:val="24"/>
          <w:szCs w:val="24"/>
        </w:rPr>
        <w:t>中提交此类信息时，谁将审查指定的经济利益和协议的信息披露？</w:t>
      </w:r>
    </w:p>
    <w:p w14:paraId="38E0668D">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：FDA评审员，可能包括项目经理、消费者安全性主管、医务人员和/或具有监管或科学专业知识或监管</w:t>
      </w:r>
      <w:r>
        <w:rPr>
          <w:rFonts w:hint="eastAsia" w:ascii="Arial" w:hAnsi="Arial" w:eastAsia="宋体" w:cs="Arial"/>
          <w:sz w:val="24"/>
          <w:szCs w:val="24"/>
        </w:rPr>
        <w:t>机构</w:t>
      </w:r>
      <w:r>
        <w:rPr>
          <w:rFonts w:ascii="Arial" w:hAnsi="Arial" w:eastAsia="宋体" w:cs="Arial"/>
          <w:sz w:val="24"/>
          <w:szCs w:val="24"/>
        </w:rPr>
        <w:t>的其他人员，将评估财务披露信息。</w:t>
      </w:r>
    </w:p>
    <w:p w14:paraId="60C7F55E">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H.3</w:t>
      </w:r>
      <w:r>
        <w:rPr>
          <w:rFonts w:hint="eastAsia" w:ascii="Arial" w:hAnsi="Arial" w:eastAsia="宋体" w:cs="Arial"/>
          <w:bCs w:val="0"/>
          <w:sz w:val="24"/>
          <w:szCs w:val="24"/>
        </w:rPr>
        <w:tab/>
      </w:r>
      <w:r>
        <w:rPr>
          <w:rFonts w:ascii="Arial" w:hAnsi="Arial" w:eastAsia="宋体" w:cs="Arial"/>
          <w:bCs w:val="0"/>
          <w:sz w:val="24"/>
          <w:szCs w:val="24"/>
        </w:rPr>
        <w:t>问：在评估财务披露信息时，FDA审评员会考虑什么？</w:t>
      </w:r>
    </w:p>
    <w:p w14:paraId="7FF52C31">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：FDA审评员将评估在每项申请中披露的关于每项涉及的临床研究的信息，以确定所有披露的经济利益或协议对数据可靠性的影响。参见21 CFR§54.5（a）。FDA在评估时可能会考虑许多因素（21 CFR§§54.5（a）和（b））。</w:t>
      </w:r>
    </w:p>
    <w:p w14:paraId="137DA4EF">
      <w:pPr>
        <w:overflowPunct w:val="0"/>
        <w:snapToGrid w:val="0"/>
        <w:spacing w:after="50" w:line="300" w:lineRule="auto"/>
        <w:jc w:val="both"/>
        <w:rPr>
          <w:rFonts w:ascii="Arial" w:hAnsi="Arial" w:eastAsia="宋体" w:cs="Arial"/>
          <w:kern w:val="2"/>
          <w:sz w:val="24"/>
          <w:szCs w:val="24"/>
        </w:rPr>
      </w:pPr>
      <w:r>
        <w:rPr>
          <w:rFonts w:ascii="Arial" w:hAnsi="Arial" w:eastAsia="宋体" w:cs="Arial"/>
          <w:sz w:val="24"/>
          <w:szCs w:val="24"/>
        </w:rPr>
        <w:br w:type="page"/>
      </w:r>
    </w:p>
    <w:p w14:paraId="6E2BA720">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对于作为申办方全职或兼职雇员的临床研究者，第54</w:t>
      </w:r>
      <w:r>
        <w:rPr>
          <w:rFonts w:hint="eastAsia" w:ascii="Arial" w:hAnsi="Arial" w:eastAsia="宋体" w:cs="Arial"/>
          <w:sz w:val="24"/>
          <w:szCs w:val="24"/>
        </w:rPr>
        <w:t>部分</w:t>
      </w:r>
      <w:r>
        <w:rPr>
          <w:rFonts w:ascii="Arial" w:hAnsi="Arial" w:eastAsia="宋体" w:cs="Arial"/>
          <w:sz w:val="24"/>
          <w:szCs w:val="24"/>
        </w:rPr>
        <w:t>并没有</w:t>
      </w:r>
      <w:r>
        <w:rPr>
          <w:rFonts w:hint="eastAsia" w:ascii="Arial" w:hAnsi="Arial" w:eastAsia="宋体" w:cs="Arial"/>
          <w:sz w:val="24"/>
          <w:szCs w:val="24"/>
        </w:rPr>
        <w:t>明确禁止</w:t>
      </w:r>
      <w:r>
        <w:rPr>
          <w:rFonts w:ascii="Arial" w:hAnsi="Arial" w:eastAsia="宋体" w:cs="Arial"/>
          <w:sz w:val="24"/>
          <w:szCs w:val="24"/>
        </w:rPr>
        <w:t>经济利益或协议，</w:t>
      </w:r>
      <w:r>
        <w:rPr>
          <w:rFonts w:hint="eastAsia" w:ascii="Arial" w:hAnsi="Arial" w:eastAsia="宋体" w:cs="Arial"/>
          <w:sz w:val="24"/>
          <w:szCs w:val="24"/>
        </w:rPr>
        <w:t>但其</w:t>
      </w:r>
      <w:r>
        <w:rPr>
          <w:rFonts w:ascii="Arial" w:hAnsi="Arial" w:eastAsia="宋体" w:cs="Arial"/>
          <w:sz w:val="24"/>
          <w:szCs w:val="24"/>
        </w:rPr>
        <w:t>要求申请人提交一份临床研究者名单，并就其他研究者提交披露或证明，以便FDA可以评估偏倚的可能性。所披露的经济利益或协议的类型很重要，因为在评估数据的可靠性时，会更关注某些经济利益和协议。例如，</w:t>
      </w:r>
      <w:r>
        <w:rPr>
          <w:rFonts w:hint="eastAsia" w:ascii="Arial" w:hAnsi="Arial" w:eastAsia="宋体" w:cs="Arial"/>
          <w:sz w:val="24"/>
          <w:szCs w:val="24"/>
        </w:rPr>
        <w:t>结果</w:t>
      </w:r>
      <w:r>
        <w:rPr>
          <w:rFonts w:ascii="Arial" w:hAnsi="Arial" w:eastAsia="宋体" w:cs="Arial"/>
          <w:sz w:val="24"/>
          <w:szCs w:val="24"/>
        </w:rPr>
        <w:t>支付（即取决于研究</w:t>
      </w:r>
      <w:r>
        <w:rPr>
          <w:rFonts w:hint="eastAsia" w:ascii="Arial" w:hAnsi="Arial" w:eastAsia="宋体" w:cs="Arial"/>
          <w:sz w:val="24"/>
          <w:szCs w:val="24"/>
        </w:rPr>
        <w:t>结果的款项</w:t>
      </w:r>
      <w:r>
        <w:rPr>
          <w:rFonts w:ascii="Arial" w:hAnsi="Arial" w:eastAsia="宋体" w:cs="Arial"/>
          <w:sz w:val="24"/>
          <w:szCs w:val="24"/>
        </w:rPr>
        <w:t>）会引起最高程度的关注，其次是试验样品中的专有权益（如专利、版税等）。关于股权和/或SPOOS，可以考虑股权和支付的金额和性质。</w:t>
      </w:r>
    </w:p>
    <w:p w14:paraId="72B0ED22">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当一名临床研究者具有需披露的经济利益或协议时，FDA审评员会仔细考虑申办方采取的偏倚</w:t>
      </w:r>
      <w:r>
        <w:rPr>
          <w:rStyle w:val="24"/>
          <w:rFonts w:ascii="Arial" w:hAnsi="Arial" w:eastAsia="宋体" w:cs="Arial"/>
          <w:sz w:val="24"/>
          <w:szCs w:val="24"/>
        </w:rPr>
        <w:footnoteReference w:id="18"/>
      </w:r>
      <w:r>
        <w:rPr>
          <w:rFonts w:ascii="Arial" w:hAnsi="Arial" w:eastAsia="宋体" w:cs="Arial"/>
          <w:sz w:val="24"/>
          <w:szCs w:val="24"/>
        </w:rPr>
        <w:t>（如FDA 3455表附件中所述）最小化措施。这些措施可能包括研究设计、使用多名临床研究者和研究中心</w:t>
      </w:r>
      <w:r>
        <w:rPr>
          <w:rFonts w:hint="eastAsia" w:ascii="Arial" w:hAnsi="Arial" w:eastAsia="宋体" w:cs="Arial"/>
          <w:sz w:val="24"/>
          <w:szCs w:val="24"/>
        </w:rPr>
        <w:t>以及</w:t>
      </w:r>
      <w:r>
        <w:rPr>
          <w:rFonts w:ascii="Arial" w:hAnsi="Arial" w:eastAsia="宋体" w:cs="Arial"/>
          <w:sz w:val="24"/>
          <w:szCs w:val="24"/>
        </w:rPr>
        <w:t>研究结果的</w:t>
      </w:r>
      <w:r>
        <w:rPr>
          <w:rFonts w:hint="eastAsia" w:ascii="Arial" w:hAnsi="Arial" w:eastAsia="宋体" w:cs="Arial"/>
          <w:sz w:val="24"/>
          <w:szCs w:val="24"/>
        </w:rPr>
        <w:t>复制</w:t>
      </w:r>
      <w:r>
        <w:rPr>
          <w:rFonts w:ascii="Arial" w:hAnsi="Arial" w:eastAsia="宋体" w:cs="Arial"/>
          <w:sz w:val="24"/>
          <w:szCs w:val="24"/>
        </w:rPr>
        <w:t>。</w:t>
      </w:r>
      <w:r>
        <w:rPr>
          <w:rFonts w:hint="eastAsia" w:ascii="Arial" w:hAnsi="Arial" w:eastAsia="宋体" w:cs="Arial"/>
          <w:sz w:val="24"/>
          <w:szCs w:val="24"/>
        </w:rPr>
        <w:t>该机构</w:t>
      </w:r>
      <w:r>
        <w:rPr>
          <w:rFonts w:ascii="Arial" w:hAnsi="Arial" w:eastAsia="宋体" w:cs="Arial"/>
          <w:sz w:val="24"/>
          <w:szCs w:val="24"/>
        </w:rPr>
        <w:t>还对来自临床研究者（申办方的全职或兼职雇员）的数据进行详细审查，因为在研究</w:t>
      </w:r>
      <w:r>
        <w:rPr>
          <w:rFonts w:hint="eastAsia" w:ascii="Arial" w:hAnsi="Arial" w:eastAsia="宋体" w:cs="Arial"/>
          <w:sz w:val="24"/>
          <w:szCs w:val="24"/>
        </w:rPr>
        <w:t>结果</w:t>
      </w:r>
      <w:r>
        <w:rPr>
          <w:rFonts w:ascii="Arial" w:hAnsi="Arial" w:eastAsia="宋体" w:cs="Arial"/>
          <w:sz w:val="24"/>
          <w:szCs w:val="24"/>
        </w:rPr>
        <w:t>中可能有重大的经济利益。（下文中，我们将这些研究者类型合并称为</w:t>
      </w:r>
      <w:r>
        <w:rPr>
          <w:rFonts w:ascii="宋体" w:hAnsi="宋体" w:eastAsia="宋体" w:cs="Arial"/>
          <w:sz w:val="24"/>
          <w:szCs w:val="24"/>
        </w:rPr>
        <w:t>“</w:t>
      </w:r>
      <w:r>
        <w:rPr>
          <w:rFonts w:ascii="Arial" w:hAnsi="Arial" w:eastAsia="宋体" w:cs="Arial"/>
          <w:sz w:val="24"/>
          <w:szCs w:val="24"/>
        </w:rPr>
        <w:t>披露研究者</w:t>
      </w:r>
      <w:r>
        <w:rPr>
          <w:rFonts w:cs="Arial" w:asciiTheme="majorEastAsia" w:hAnsiTheme="majorEastAsia" w:eastAsiaTheme="majorEastAsia"/>
          <w:sz w:val="24"/>
          <w:szCs w:val="24"/>
        </w:rPr>
        <w:t>”</w:t>
      </w:r>
      <w:r>
        <w:rPr>
          <w:rFonts w:ascii="Arial" w:hAnsi="Arial" w:eastAsia="宋体" w:cs="Arial"/>
          <w:sz w:val="24"/>
          <w:szCs w:val="24"/>
        </w:rPr>
        <w:t>。）对于申请人虽进行了尽职调查而无法取得披露或证明的那些研究者，将根据具体情况予以考虑。</w:t>
      </w:r>
    </w:p>
    <w:p w14:paraId="36BAE39A">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FDA审评员可以考虑研究设计的要素，包括随机分组的方法、盲法等级（双盲</w:t>
      </w:r>
      <w:r>
        <w:rPr>
          <w:rFonts w:hint="eastAsia" w:ascii="Arial" w:hAnsi="Arial" w:eastAsia="宋体" w:cs="Arial"/>
          <w:sz w:val="24"/>
          <w:szCs w:val="24"/>
        </w:rPr>
        <w:t>、</w:t>
      </w:r>
      <w:r>
        <w:rPr>
          <w:rFonts w:ascii="Arial" w:hAnsi="Arial" w:eastAsia="宋体" w:cs="Arial"/>
          <w:sz w:val="24"/>
          <w:szCs w:val="24"/>
        </w:rPr>
        <w:t>单盲）、存在或不存在对照组、安慰剂或活性药物、主要和次要终点的性质（客观</w:t>
      </w:r>
      <w:r>
        <w:rPr>
          <w:rFonts w:hint="eastAsia" w:ascii="Arial" w:hAnsi="Arial" w:eastAsia="宋体" w:cs="Arial"/>
          <w:sz w:val="24"/>
          <w:szCs w:val="24"/>
        </w:rPr>
        <w:t>、</w:t>
      </w:r>
      <w:r>
        <w:rPr>
          <w:rFonts w:ascii="Arial" w:hAnsi="Arial" w:eastAsia="宋体" w:cs="Arial"/>
          <w:sz w:val="24"/>
          <w:szCs w:val="24"/>
        </w:rPr>
        <w:t>主观）、终点评价的方法、评估方法（包括披露研究者以外的人是否对终点进行了判断）以及是否有多名研究者（其中大多数并非披露研究者）参加了研究。FDA审评员也可能考虑研究中的研究者和受试者的总数，披露研究者所入组的受试者数量和百分比，现场检查获得的信息，以及与其他研究者相比，披露研究者的数据（包括不良事件）。审评员可以查看由申请人或FDA进行的排除披露研究者结果后的数据再分析，其他相关类型的再分析和/或是否可将结果复制到多项研究中。</w:t>
      </w:r>
    </w:p>
    <w:p w14:paraId="33588825">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审评员将对披露的经济利益或协议是否影响研究结果的解释，或者要求采取进一步行动做出判断。例如，如果一名披露研究者参与了一项涉及的临床研究，其中（1）患者已随机化分配以接受治疗，（2）具有明确的客观终点（如存活）或由盲法观察员进行终点评估，而非临床研究者，（3）有多个研究中心（使得每名研究者入组的受试者人数所占比例较小），以及（4）结果与其他研究者的结果大致相似，</w:t>
      </w:r>
      <w:r>
        <w:rPr>
          <w:rFonts w:hint="eastAsia" w:ascii="Arial" w:hAnsi="Arial" w:eastAsia="宋体" w:cs="Arial"/>
          <w:sz w:val="24"/>
          <w:szCs w:val="24"/>
        </w:rPr>
        <w:t>则</w:t>
      </w:r>
      <w:r>
        <w:rPr>
          <w:rFonts w:ascii="Arial" w:hAnsi="Arial" w:eastAsia="宋体" w:cs="Arial"/>
          <w:sz w:val="24"/>
          <w:szCs w:val="24"/>
        </w:rPr>
        <w:t>假如没有其他材料、反补贴考虑因素，评审员可能会确定，经济利益、雇佣关系、或者缺乏证明或披露不会对所涉临床研究的完整性产生严重的问题从而需要采取进一步</w:t>
      </w:r>
      <w:r>
        <w:rPr>
          <w:rFonts w:hint="eastAsia" w:ascii="Arial" w:hAnsi="Arial" w:eastAsia="宋体" w:cs="Arial"/>
          <w:sz w:val="24"/>
          <w:szCs w:val="24"/>
        </w:rPr>
        <w:t>措施</w:t>
      </w:r>
      <w:r>
        <w:rPr>
          <w:rFonts w:ascii="Arial" w:hAnsi="Arial" w:eastAsia="宋体" w:cs="Arial"/>
          <w:sz w:val="24"/>
          <w:szCs w:val="24"/>
        </w:rPr>
        <w:t>。另一方面，如果披露研究者的结果明显比其他研究者或中心的结果更为有利，且披露研究者的结果可能会影响</w:t>
      </w:r>
      <w:r>
        <w:rPr>
          <w:rFonts w:hint="eastAsia" w:ascii="Arial" w:hAnsi="Arial" w:eastAsia="宋体" w:cs="Arial"/>
          <w:sz w:val="24"/>
          <w:szCs w:val="24"/>
        </w:rPr>
        <w:t>结果</w:t>
      </w:r>
      <w:r>
        <w:rPr>
          <w:rFonts w:ascii="Arial" w:hAnsi="Arial" w:eastAsia="宋体" w:cs="Arial"/>
          <w:sz w:val="24"/>
          <w:szCs w:val="24"/>
        </w:rPr>
        <w:t>，则评审员通常需要考虑采取进一步</w:t>
      </w:r>
      <w:r>
        <w:rPr>
          <w:rFonts w:hint="eastAsia" w:ascii="Arial" w:hAnsi="Arial" w:eastAsia="宋体" w:cs="Arial"/>
          <w:sz w:val="24"/>
          <w:szCs w:val="24"/>
        </w:rPr>
        <w:t>措施</w:t>
      </w:r>
      <w:r>
        <w:rPr>
          <w:rFonts w:ascii="Arial" w:hAnsi="Arial" w:eastAsia="宋体" w:cs="Arial"/>
          <w:sz w:val="24"/>
          <w:szCs w:val="24"/>
        </w:rPr>
        <w:t>。（21 CFR§54.5（c））。</w:t>
      </w:r>
    </w:p>
    <w:p w14:paraId="4183915E">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FDA评审员应根据需要与其管理层进行商讨以确定适当的</w:t>
      </w:r>
      <w:r>
        <w:rPr>
          <w:rFonts w:hint="eastAsia" w:ascii="Arial" w:hAnsi="Arial" w:eastAsia="宋体" w:cs="Arial"/>
          <w:sz w:val="24"/>
          <w:szCs w:val="24"/>
        </w:rPr>
        <w:t>措施</w:t>
      </w:r>
      <w:r>
        <w:rPr>
          <w:rFonts w:ascii="Arial" w:hAnsi="Arial" w:eastAsia="宋体" w:cs="Arial"/>
          <w:sz w:val="24"/>
          <w:szCs w:val="24"/>
        </w:rPr>
        <w:t>。</w:t>
      </w:r>
    </w:p>
    <w:p w14:paraId="62A7E6B3">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H.4</w:t>
      </w:r>
      <w:r>
        <w:rPr>
          <w:rFonts w:hint="eastAsia" w:ascii="Arial" w:hAnsi="Arial" w:eastAsia="宋体" w:cs="Arial"/>
          <w:bCs w:val="0"/>
          <w:sz w:val="24"/>
          <w:szCs w:val="24"/>
        </w:rPr>
        <w:tab/>
      </w:r>
      <w:r>
        <w:rPr>
          <w:rFonts w:ascii="Arial" w:hAnsi="Arial" w:eastAsia="宋体" w:cs="Arial"/>
          <w:bCs w:val="0"/>
          <w:sz w:val="24"/>
          <w:szCs w:val="24"/>
        </w:rPr>
        <w:t>问：当临床研究者是申办方的雇员或具有需披露的经济利益或协议时，FDA可采取什么</w:t>
      </w:r>
      <w:r>
        <w:rPr>
          <w:rFonts w:hint="eastAsia" w:ascii="Arial" w:hAnsi="Arial" w:eastAsia="宋体" w:cs="Arial"/>
          <w:bCs w:val="0"/>
          <w:sz w:val="24"/>
          <w:szCs w:val="24"/>
        </w:rPr>
        <w:t>措施</w:t>
      </w:r>
      <w:r>
        <w:rPr>
          <w:rFonts w:ascii="Arial" w:hAnsi="Arial" w:eastAsia="宋体" w:cs="Arial"/>
          <w:bCs w:val="0"/>
          <w:sz w:val="24"/>
          <w:szCs w:val="24"/>
        </w:rPr>
        <w:t>？</w:t>
      </w:r>
    </w:p>
    <w:p w14:paraId="574A22DD">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bCs/>
          <w:sz w:val="24"/>
          <w:szCs w:val="24"/>
        </w:rPr>
        <w:t>答</w:t>
      </w:r>
      <w:r>
        <w:rPr>
          <w:rFonts w:hint="eastAsia" w:ascii="Arial" w:hAnsi="Arial" w:eastAsia="宋体" w:cs="Arial"/>
          <w:bCs/>
          <w:sz w:val="24"/>
          <w:szCs w:val="24"/>
        </w:rPr>
        <w:t>：</w:t>
      </w:r>
      <w:r>
        <w:rPr>
          <w:rFonts w:ascii="Arial" w:hAnsi="Arial" w:eastAsia="宋体" w:cs="Arial"/>
          <w:sz w:val="24"/>
          <w:szCs w:val="24"/>
        </w:rPr>
        <w:t>如果FDA确定研究者的经济利益对数据的完整性产生了严重的问题，FDA将采取其认为必要的任何措施来确保数据的可靠性（21 CFR§54.5（c））。有关可能采取的</w:t>
      </w:r>
      <w:r>
        <w:rPr>
          <w:rFonts w:hint="eastAsia" w:ascii="Arial" w:hAnsi="Arial" w:eastAsia="宋体" w:cs="Arial"/>
          <w:sz w:val="24"/>
          <w:szCs w:val="24"/>
        </w:rPr>
        <w:t>措施</w:t>
      </w:r>
      <w:r>
        <w:rPr>
          <w:rFonts w:ascii="Arial" w:hAnsi="Arial" w:eastAsia="宋体" w:cs="Arial"/>
          <w:sz w:val="24"/>
          <w:szCs w:val="24"/>
        </w:rPr>
        <w:t>，请参见本指南第</w:t>
      </w:r>
      <w:r>
        <w:rPr>
          <w:rFonts w:ascii="Arial" w:hAnsi="Arial" w:eastAsia="宋体" w:cs="Arial"/>
          <w:color w:val="0000FF"/>
          <w:sz w:val="24"/>
          <w:szCs w:val="24"/>
          <w:u w:val="single"/>
        </w:rPr>
        <w:t>III.C节</w:t>
      </w:r>
      <w:r>
        <w:rPr>
          <w:rFonts w:ascii="Arial" w:hAnsi="Arial" w:eastAsia="宋体" w:cs="Arial"/>
          <w:sz w:val="24"/>
          <w:szCs w:val="24"/>
        </w:rPr>
        <w:t>。</w:t>
      </w:r>
    </w:p>
    <w:p w14:paraId="77E7068A">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H.5</w:t>
      </w:r>
      <w:r>
        <w:rPr>
          <w:rFonts w:hint="eastAsia" w:ascii="Arial" w:hAnsi="Arial" w:eastAsia="宋体" w:cs="Arial"/>
          <w:bCs w:val="0"/>
          <w:sz w:val="24"/>
          <w:szCs w:val="24"/>
        </w:rPr>
        <w:tab/>
      </w:r>
      <w:r>
        <w:rPr>
          <w:rFonts w:ascii="Arial" w:hAnsi="Arial" w:eastAsia="宋体" w:cs="Arial"/>
          <w:bCs w:val="0"/>
          <w:sz w:val="24"/>
          <w:szCs w:val="24"/>
        </w:rPr>
        <w:t>问：如何记录审查？</w:t>
      </w:r>
    </w:p>
    <w:p w14:paraId="0CB49EF5">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b/>
          <w:bCs/>
          <w:sz w:val="24"/>
          <w:szCs w:val="24"/>
        </w:rPr>
      </w:pPr>
      <w:r>
        <w:rPr>
          <w:rFonts w:ascii="Arial" w:hAnsi="Arial" w:eastAsia="宋体" w:cs="Arial"/>
          <w:sz w:val="24"/>
          <w:szCs w:val="24"/>
        </w:rPr>
        <w:t>答：每个FDA中心都会为评审员提供审查模板或清单供使用，其中包括财务披露问题的部分。</w:t>
      </w:r>
    </w:p>
    <w:p w14:paraId="73BC5747">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一般来说，审查应记录所提供的每项涉及的临床研究的临床研究者名单，而且如适用，对于名单中每名非申办方雇员的研究者，都有需披露的经济利益和协议的证明或文件</w:t>
      </w:r>
      <w:r>
        <w:rPr>
          <w:rStyle w:val="24"/>
          <w:rFonts w:ascii="Arial" w:hAnsi="Arial" w:eastAsia="宋体" w:cs="Arial"/>
          <w:sz w:val="24"/>
          <w:szCs w:val="24"/>
        </w:rPr>
        <w:footnoteReference w:id="19"/>
      </w:r>
      <w:r>
        <w:rPr>
          <w:rFonts w:ascii="Arial" w:hAnsi="Arial" w:eastAsia="宋体" w:cs="Arial"/>
          <w:sz w:val="24"/>
          <w:szCs w:val="24"/>
        </w:rPr>
        <w:t>（21 CFR§54.4）。</w:t>
      </w:r>
    </w:p>
    <w:p w14:paraId="4E8BE856">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当申请中包括经济利益和协议的披露（FDA 3455表）时，评审员应确保需披露的经济利益和协议的详细资料附于表格后，并附上申办方为使任何披露利益或协议的临床研究结果的潜在偏倚最小化而采取的措施（21 CFR§54.4（a）（3））。评审员将要解决的问题：这些利益和协议是否对数据的完整性产生问题并说明为使偏倚最小化而采取的任何措施。评审员还将说明</w:t>
      </w:r>
      <w:r>
        <w:rPr>
          <w:rFonts w:hint="eastAsia" w:ascii="Arial" w:hAnsi="Arial" w:eastAsia="宋体" w:cs="Arial"/>
          <w:sz w:val="24"/>
          <w:szCs w:val="24"/>
        </w:rPr>
        <w:t>机构</w:t>
      </w:r>
      <w:r>
        <w:rPr>
          <w:rFonts w:ascii="Arial" w:hAnsi="Arial" w:eastAsia="宋体" w:cs="Arial"/>
          <w:sz w:val="24"/>
          <w:szCs w:val="24"/>
        </w:rPr>
        <w:t>会采取的所有</w:t>
      </w:r>
      <w:r>
        <w:rPr>
          <w:rFonts w:hint="eastAsia" w:ascii="Arial" w:hAnsi="Arial" w:eastAsia="宋体" w:cs="Arial"/>
          <w:sz w:val="24"/>
          <w:szCs w:val="24"/>
        </w:rPr>
        <w:t>措施</w:t>
      </w:r>
      <w:r>
        <w:rPr>
          <w:rFonts w:ascii="Arial" w:hAnsi="Arial" w:eastAsia="宋体" w:cs="Arial"/>
          <w:sz w:val="24"/>
          <w:szCs w:val="24"/>
        </w:rPr>
        <w:t>，用以解决由需披露的经济利益而产生的任何问题，或者对为何不采取</w:t>
      </w:r>
      <w:r>
        <w:rPr>
          <w:rFonts w:hint="eastAsia" w:ascii="Arial" w:hAnsi="Arial" w:eastAsia="宋体" w:cs="Arial"/>
          <w:sz w:val="24"/>
          <w:szCs w:val="24"/>
        </w:rPr>
        <w:t>措施</w:t>
      </w:r>
      <w:r>
        <w:rPr>
          <w:rFonts w:ascii="Arial" w:hAnsi="Arial" w:eastAsia="宋体" w:cs="Arial"/>
          <w:sz w:val="24"/>
          <w:szCs w:val="24"/>
        </w:rPr>
        <w:t>而做出解释（21 CFR§54.5）。该文件应纳入审</w:t>
      </w:r>
      <w:r>
        <w:rPr>
          <w:rFonts w:hint="eastAsia" w:ascii="Arial" w:hAnsi="Arial" w:eastAsia="宋体" w:cs="Arial"/>
          <w:sz w:val="24"/>
          <w:szCs w:val="24"/>
        </w:rPr>
        <w:t>查</w:t>
      </w:r>
      <w:r>
        <w:rPr>
          <w:rFonts w:ascii="Arial" w:hAnsi="Arial" w:eastAsia="宋体" w:cs="Arial"/>
          <w:sz w:val="24"/>
          <w:szCs w:val="24"/>
        </w:rPr>
        <w:t>模板的适当部分。</w:t>
      </w:r>
    </w:p>
    <w:p w14:paraId="2D1B5CDB">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当申办方证明他/她为获得有关临床研究者的经济利益和协议的信息而进行了尽职调查，但无法获得</w:t>
      </w:r>
      <w:r>
        <w:rPr>
          <w:rFonts w:hint="eastAsia" w:ascii="Arial" w:hAnsi="Arial" w:eastAsia="宋体" w:cs="Arial"/>
          <w:sz w:val="24"/>
          <w:szCs w:val="24"/>
        </w:rPr>
        <w:t>信息</w:t>
      </w:r>
      <w:r>
        <w:rPr>
          <w:rFonts w:ascii="Arial" w:hAnsi="Arial" w:eastAsia="宋体" w:cs="Arial"/>
          <w:sz w:val="24"/>
          <w:szCs w:val="24"/>
        </w:rPr>
        <w:t>时，评审员应确保对于无法获得信息的原因解释以及为获取信息而做出的努力均附于FDA 3454表中（21 CFR§54.4）。有关尽职调查的讨论，请参见</w:t>
      </w:r>
      <w:r>
        <w:rPr>
          <w:rFonts w:ascii="Arial" w:hAnsi="Arial" w:eastAsia="宋体" w:cs="Arial"/>
          <w:color w:val="0000FF"/>
          <w:sz w:val="24"/>
          <w:szCs w:val="24"/>
          <w:u w:val="single"/>
        </w:rPr>
        <w:t>问题B.7</w:t>
      </w:r>
      <w:r>
        <w:rPr>
          <w:rFonts w:ascii="Arial" w:hAnsi="Arial" w:eastAsia="宋体" w:cs="Arial"/>
          <w:sz w:val="24"/>
          <w:szCs w:val="24"/>
        </w:rPr>
        <w:t>。</w:t>
      </w:r>
    </w:p>
    <w:p w14:paraId="43352982">
      <w:pPr>
        <w:spacing w:after="0" w:line="240" w:lineRule="auto"/>
        <w:rPr>
          <w:rFonts w:ascii="Arial" w:hAnsi="Arial" w:eastAsia="宋体" w:cs="Arial"/>
          <w:b/>
          <w:kern w:val="2"/>
          <w:sz w:val="24"/>
          <w:szCs w:val="24"/>
        </w:rPr>
      </w:pPr>
      <w:r>
        <w:rPr>
          <w:rFonts w:ascii="Arial" w:hAnsi="Arial" w:eastAsia="宋体" w:cs="Arial"/>
          <w:bCs/>
          <w:sz w:val="24"/>
          <w:szCs w:val="24"/>
        </w:rPr>
        <w:br w:type="page"/>
      </w:r>
    </w:p>
    <w:p w14:paraId="5FF1B1C0">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H.6</w:t>
      </w:r>
      <w:r>
        <w:rPr>
          <w:rFonts w:hint="eastAsia" w:ascii="Arial" w:hAnsi="Arial" w:eastAsia="宋体" w:cs="Arial"/>
          <w:bCs w:val="0"/>
          <w:sz w:val="24"/>
          <w:szCs w:val="24"/>
        </w:rPr>
        <w:tab/>
      </w:r>
      <w:r>
        <w:rPr>
          <w:rFonts w:ascii="Arial" w:hAnsi="Arial" w:eastAsia="宋体" w:cs="Arial"/>
          <w:bCs w:val="0"/>
          <w:sz w:val="24"/>
          <w:szCs w:val="24"/>
        </w:rPr>
        <w:t>问：FDA在什么情况下会对向</w:t>
      </w:r>
      <w:r>
        <w:rPr>
          <w:rFonts w:hint="eastAsia" w:ascii="Arial" w:hAnsi="Arial" w:eastAsia="宋体" w:cs="Arial"/>
          <w:bCs w:val="0"/>
          <w:sz w:val="24"/>
          <w:szCs w:val="24"/>
        </w:rPr>
        <w:t>机构</w:t>
      </w:r>
      <w:r>
        <w:rPr>
          <w:rFonts w:ascii="Arial" w:hAnsi="Arial" w:eastAsia="宋体" w:cs="Arial"/>
          <w:bCs w:val="0"/>
          <w:sz w:val="24"/>
          <w:szCs w:val="24"/>
        </w:rPr>
        <w:t>披露的经济利益和协议进行公开讨论？</w:t>
      </w:r>
    </w:p>
    <w:p w14:paraId="555FC89B">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：如1998年最终法规</w:t>
      </w:r>
      <w:r>
        <w:rPr>
          <w:rStyle w:val="24"/>
          <w:rFonts w:ascii="Arial" w:hAnsi="Arial" w:eastAsia="宋体" w:cs="Arial"/>
          <w:sz w:val="24"/>
          <w:szCs w:val="24"/>
        </w:rPr>
        <w:footnoteReference w:id="20"/>
      </w:r>
      <w:r>
        <w:rPr>
          <w:rFonts w:ascii="Arial" w:hAnsi="Arial" w:eastAsia="宋体" w:cs="Arial"/>
          <w:sz w:val="24"/>
          <w:szCs w:val="24"/>
        </w:rPr>
        <w:t>序言所述，FDA的政策是，根据该法规要求的某些类型的财务信息，特别是临床研究者的股权，将受到保护而免于公开披露，除非是公共利益明显超过临床研究者已明确的隐私权益的情况。FDA</w:t>
      </w:r>
      <w:r>
        <w:rPr>
          <w:rFonts w:hint="eastAsia" w:ascii="Arial" w:hAnsi="Arial" w:eastAsia="宋体" w:cs="Arial"/>
          <w:sz w:val="24"/>
          <w:szCs w:val="24"/>
        </w:rPr>
        <w:t>引用了</w:t>
      </w:r>
      <w:r>
        <w:rPr>
          <w:rFonts w:ascii="Arial" w:hAnsi="Arial" w:eastAsia="宋体" w:cs="Arial"/>
          <w:sz w:val="24"/>
          <w:szCs w:val="24"/>
        </w:rPr>
        <w:t>财务利益或协议</w:t>
      </w:r>
      <w:r>
        <w:rPr>
          <w:rFonts w:hint="eastAsia" w:ascii="Arial" w:hAnsi="Arial" w:eastAsia="宋体" w:cs="Arial"/>
          <w:sz w:val="24"/>
          <w:szCs w:val="24"/>
        </w:rPr>
        <w:t>，因此</w:t>
      </w:r>
      <w:r>
        <w:rPr>
          <w:rFonts w:ascii="Arial" w:hAnsi="Arial" w:eastAsia="宋体" w:cs="Arial"/>
          <w:sz w:val="24"/>
          <w:szCs w:val="24"/>
        </w:rPr>
        <w:t>影响研究的可靠性</w:t>
      </w:r>
      <w:r>
        <w:rPr>
          <w:rFonts w:hint="eastAsia" w:ascii="Arial" w:hAnsi="Arial" w:eastAsia="宋体" w:cs="Arial"/>
          <w:sz w:val="24"/>
          <w:szCs w:val="24"/>
        </w:rPr>
        <w:t>示例</w:t>
      </w:r>
      <w:r>
        <w:rPr>
          <w:rFonts w:ascii="Arial" w:hAnsi="Arial" w:eastAsia="宋体" w:cs="Arial"/>
          <w:sz w:val="24"/>
          <w:szCs w:val="24"/>
        </w:rPr>
        <w:t>，</w:t>
      </w:r>
      <w:r>
        <w:rPr>
          <w:rFonts w:hint="eastAsia" w:ascii="Arial" w:hAnsi="Arial" w:eastAsia="宋体" w:cs="Arial"/>
          <w:sz w:val="24"/>
          <w:szCs w:val="24"/>
        </w:rPr>
        <w:t>以便</w:t>
      </w:r>
      <w:r>
        <w:rPr>
          <w:rFonts w:ascii="Arial" w:hAnsi="Arial" w:eastAsia="宋体" w:cs="Arial"/>
          <w:sz w:val="24"/>
          <w:szCs w:val="24"/>
        </w:rPr>
        <w:t>顾问小组在研究评估</w:t>
      </w:r>
      <w:r>
        <w:rPr>
          <w:rFonts w:hint="eastAsia" w:ascii="Arial" w:hAnsi="Arial" w:eastAsia="宋体" w:cs="Arial"/>
          <w:sz w:val="24"/>
          <w:szCs w:val="24"/>
        </w:rPr>
        <w:t>期间保证</w:t>
      </w:r>
      <w:r>
        <w:rPr>
          <w:rFonts w:ascii="Arial" w:hAnsi="Arial" w:eastAsia="宋体" w:cs="Arial"/>
          <w:sz w:val="24"/>
          <w:szCs w:val="24"/>
        </w:rPr>
        <w:t>其公开披露。FDA希望研究者的隐私权利绝少被公共利益所超越，因此需要披露经济利益或协议的细节。</w:t>
      </w:r>
      <w:r>
        <w:rPr>
          <w:rFonts w:hint="eastAsia" w:ascii="Arial" w:hAnsi="Arial" w:eastAsia="宋体" w:cs="Arial"/>
          <w:sz w:val="24"/>
          <w:szCs w:val="24"/>
        </w:rPr>
        <w:t>机构</w:t>
      </w:r>
      <w:r>
        <w:rPr>
          <w:rFonts w:ascii="Arial" w:hAnsi="Arial" w:eastAsia="宋体" w:cs="Arial"/>
          <w:sz w:val="24"/>
          <w:szCs w:val="24"/>
        </w:rPr>
        <w:t>将根据具体事项来仔细评估每种情况。</w:t>
      </w:r>
    </w:p>
    <w:p w14:paraId="3C127658">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然而，FDA认识到，在临床研究者及其所参与的临床试验的申办方之间，财务协议的利益不断增大。为此，FDA打算在新产品审查时，为了做出FDA的批准决定而要求提供有关需披露经济利益或协议的临床研究者数量的信息。这些信息不会以姓名来识别临床研究者，但可能会包括诸如研究中临床研究者的数量以及需披露经济利益或协议的研究者数量</w:t>
      </w:r>
      <w:r>
        <w:rPr>
          <w:rStyle w:val="24"/>
          <w:rFonts w:ascii="Arial" w:hAnsi="Arial" w:eastAsia="宋体" w:cs="Arial"/>
          <w:sz w:val="24"/>
          <w:szCs w:val="24"/>
        </w:rPr>
        <w:footnoteReference w:id="21"/>
      </w:r>
      <w:r>
        <w:rPr>
          <w:rFonts w:ascii="Arial" w:hAnsi="Arial" w:eastAsia="宋体" w:cs="Arial"/>
          <w:sz w:val="24"/>
          <w:szCs w:val="24"/>
        </w:rPr>
        <w:t>（如果有的话）。</w:t>
      </w:r>
    </w:p>
    <w:p w14:paraId="7F8BA91B">
      <w:pPr>
        <w:pStyle w:val="44"/>
        <w:numPr>
          <w:ilvl w:val="0"/>
          <w:numId w:val="5"/>
        </w:numPr>
        <w:shd w:val="clear" w:color="auto" w:fill="auto"/>
        <w:overflowPunct w:val="0"/>
        <w:snapToGrid w:val="0"/>
        <w:spacing w:after="156" w:afterLines="50" w:line="360" w:lineRule="auto"/>
        <w:ind w:left="357" w:hanging="357"/>
        <w:jc w:val="both"/>
        <w:outlineLvl w:val="1"/>
        <w:rPr>
          <w:rFonts w:ascii="Arial" w:hAnsi="Arial" w:eastAsia="宋体" w:cs="Arial"/>
          <w:sz w:val="24"/>
          <w:szCs w:val="24"/>
        </w:rPr>
      </w:pPr>
      <w:bookmarkStart w:id="25" w:name="_Toc496025810"/>
      <w:r>
        <w:rPr>
          <w:rFonts w:ascii="Arial" w:hAnsi="Arial" w:eastAsia="宋体" w:cs="Arial"/>
          <w:sz w:val="24"/>
          <w:szCs w:val="24"/>
        </w:rPr>
        <w:t>记录保存</w:t>
      </w:r>
      <w:bookmarkEnd w:id="25"/>
    </w:p>
    <w:p w14:paraId="5E0FC16D">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I.1</w:t>
      </w:r>
      <w:r>
        <w:rPr>
          <w:rFonts w:hint="eastAsia" w:ascii="Arial" w:hAnsi="Arial" w:eastAsia="宋体" w:cs="Arial"/>
          <w:bCs w:val="0"/>
          <w:sz w:val="24"/>
          <w:szCs w:val="24"/>
        </w:rPr>
        <w:tab/>
      </w:r>
      <w:r>
        <w:rPr>
          <w:rFonts w:ascii="Arial" w:hAnsi="Arial" w:eastAsia="宋体" w:cs="Arial"/>
          <w:sz w:val="24"/>
          <w:szCs w:val="24"/>
        </w:rPr>
        <w:t>问：对于财务披露信息的记录保存要求是什么？</w:t>
      </w:r>
    </w:p>
    <w:p w14:paraId="4D39783C">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：21 CFR§54.6中描述了申请人的记录保存要求。申请人必须保留临床研究者经济利益和协议的一些信息（21 CFR§54.6（a）），并允许FDA</w:t>
      </w:r>
      <w:r>
        <w:rPr>
          <w:rFonts w:hint="eastAsia" w:ascii="Arial" w:hAnsi="Arial" w:eastAsia="宋体" w:cs="Arial"/>
          <w:sz w:val="24"/>
          <w:szCs w:val="24"/>
        </w:rPr>
        <w:t>工作人员</w:t>
      </w:r>
      <w:r>
        <w:rPr>
          <w:rFonts w:ascii="Arial" w:hAnsi="Arial" w:eastAsia="宋体" w:cs="Arial"/>
          <w:sz w:val="24"/>
          <w:szCs w:val="24"/>
        </w:rPr>
        <w:t>在合理期限内获取信息并复制记录（21 CFR§54.6（b）（2））。记录将在申请批准之日后保存两年（21 CFR§54.6（b）（1））。</w:t>
      </w:r>
    </w:p>
    <w:p w14:paraId="5227539E">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此外，IND和IDE的申办方必须保留财务披露信息的完整而准确的记录，作为研究记录的一部分（21 CFR§§312.57（b）和812.140（b）（3）），并根据IND和IDE条例中确定的要求保留期来保留记录（21 CFR§§312.57（c）和812.140（d））。</w:t>
      </w:r>
    </w:p>
    <w:p w14:paraId="4D66585A">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5A84CFD8">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1FECC324">
      <w:pPr>
        <w:spacing w:after="0" w:line="240" w:lineRule="auto"/>
        <w:rPr>
          <w:rFonts w:ascii="Arial" w:hAnsi="Arial" w:eastAsia="宋体" w:cs="Arial"/>
          <w:b/>
          <w:kern w:val="2"/>
          <w:sz w:val="24"/>
          <w:szCs w:val="24"/>
        </w:rPr>
      </w:pPr>
      <w:r>
        <w:rPr>
          <w:rFonts w:ascii="Arial" w:hAnsi="Arial" w:eastAsia="宋体" w:cs="Arial"/>
          <w:b/>
          <w:sz w:val="24"/>
          <w:szCs w:val="24"/>
        </w:rPr>
        <w:br w:type="page"/>
      </w:r>
    </w:p>
    <w:p w14:paraId="66E87B1E">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I.2</w:t>
      </w:r>
      <w:r>
        <w:rPr>
          <w:rFonts w:hint="eastAsia" w:ascii="Arial" w:hAnsi="Arial" w:eastAsia="宋体" w:cs="Arial"/>
          <w:b w:val="0"/>
          <w:sz w:val="24"/>
          <w:szCs w:val="24"/>
        </w:rPr>
        <w:tab/>
      </w:r>
      <w:r>
        <w:rPr>
          <w:rFonts w:ascii="Arial" w:hAnsi="Arial" w:eastAsia="宋体" w:cs="Arial"/>
          <w:sz w:val="24"/>
          <w:szCs w:val="24"/>
        </w:rPr>
        <w:t>问：申请人需要以哪种性质的文件来保护有关证明和/或披露的问题？</w:t>
      </w:r>
    </w:p>
    <w:p w14:paraId="134DD9D9">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若申请人将研究者作为可能披露的经济利益和协议的信息来源，则应保留</w:t>
      </w:r>
      <w:r>
        <w:rPr>
          <w:rFonts w:hint="eastAsia" w:ascii="Arial" w:hAnsi="Arial" w:eastAsia="宋体" w:cs="Arial"/>
          <w:sz w:val="24"/>
          <w:szCs w:val="24"/>
        </w:rPr>
        <w:t>基本</w:t>
      </w:r>
      <w:r>
        <w:rPr>
          <w:rFonts w:ascii="Arial" w:hAnsi="Arial" w:eastAsia="宋体" w:cs="Arial"/>
          <w:sz w:val="24"/>
          <w:szCs w:val="24"/>
        </w:rPr>
        <w:t>文件（例如研究者交回的已完成的</w:t>
      </w:r>
      <w:r>
        <w:rPr>
          <w:rFonts w:hint="eastAsia" w:ascii="Arial" w:hAnsi="Arial" w:eastAsia="宋体" w:cs="Arial"/>
          <w:sz w:val="24"/>
          <w:szCs w:val="24"/>
        </w:rPr>
        <w:t>问卷调查</w:t>
      </w:r>
      <w:r>
        <w:rPr>
          <w:rFonts w:ascii="Arial" w:hAnsi="Arial" w:eastAsia="宋体" w:cs="Arial"/>
          <w:sz w:val="24"/>
          <w:szCs w:val="24"/>
        </w:rPr>
        <w:t>副本</w:t>
      </w:r>
      <w:r>
        <w:rPr>
          <w:rFonts w:hint="eastAsia" w:ascii="Arial" w:hAnsi="Arial" w:eastAsia="宋体" w:cs="Arial"/>
          <w:sz w:val="24"/>
          <w:szCs w:val="24"/>
        </w:rPr>
        <w:t>、</w:t>
      </w:r>
      <w:r>
        <w:rPr>
          <w:rFonts w:ascii="Arial" w:hAnsi="Arial" w:eastAsia="宋体" w:cs="Arial"/>
          <w:sz w:val="24"/>
          <w:szCs w:val="24"/>
        </w:rPr>
        <w:t>涉及财务披露的通信</w:t>
      </w:r>
      <w:r>
        <w:rPr>
          <w:rFonts w:hint="eastAsia" w:ascii="Arial" w:hAnsi="Arial" w:eastAsia="宋体" w:cs="Arial"/>
          <w:sz w:val="24"/>
          <w:szCs w:val="24"/>
        </w:rPr>
        <w:t>、</w:t>
      </w:r>
      <w:r>
        <w:rPr>
          <w:rFonts w:ascii="Arial" w:hAnsi="Arial" w:eastAsia="宋体" w:cs="Arial"/>
          <w:sz w:val="24"/>
          <w:szCs w:val="24"/>
        </w:rPr>
        <w:t>邮件收到凭证等）。同样地，若申请人并未申办所涉及的临床研究而是依据申办方提供的信息，则应保留基本文件，包括与申办方相关的所有通信和报告。若申请人是根据内部获得的信息，则应保留有关经济利益或协议的所有适当的财务文件。例如，在其他种类的巨额款项情况下，申请人应保存文件，包括但不限于电子金融交易记录，邮件发送证明等（21 CFR§§54.6（a）</w:t>
      </w:r>
      <w:r>
        <w:rPr>
          <w:rFonts w:hint="eastAsia" w:ascii="Arial" w:hAnsi="Arial" w:eastAsia="宋体" w:cs="Arial"/>
          <w:sz w:val="24"/>
          <w:szCs w:val="24"/>
        </w:rPr>
        <w:t>、</w:t>
      </w:r>
      <w:r>
        <w:rPr>
          <w:rFonts w:ascii="Arial" w:hAnsi="Arial" w:eastAsia="宋体" w:cs="Arial"/>
          <w:sz w:val="24"/>
          <w:szCs w:val="24"/>
        </w:rPr>
        <w:t>312.57（b）和812.140（b）（3））。</w:t>
      </w:r>
    </w:p>
    <w:p w14:paraId="7E3E3E53">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sz w:val="24"/>
          <w:szCs w:val="24"/>
        </w:rPr>
        <w:t>如果</w:t>
      </w:r>
      <w:r>
        <w:rPr>
          <w:rFonts w:hint="eastAsia" w:ascii="Arial" w:hAnsi="Arial" w:eastAsia="宋体" w:cs="Arial"/>
          <w:sz w:val="24"/>
          <w:szCs w:val="24"/>
        </w:rPr>
        <w:t>存在</w:t>
      </w:r>
      <w:r>
        <w:rPr>
          <w:rFonts w:ascii="Arial" w:hAnsi="Arial" w:eastAsia="宋体" w:cs="Arial"/>
          <w:sz w:val="24"/>
          <w:szCs w:val="24"/>
        </w:rPr>
        <w:t>存储空间问题，申办方和申请人可以使用电子存储。例如，所需记录可以作为原始的认证副本</w:t>
      </w:r>
      <w:r>
        <w:rPr>
          <w:rStyle w:val="24"/>
          <w:rFonts w:ascii="Arial" w:hAnsi="Arial" w:eastAsia="宋体" w:cs="Arial"/>
          <w:sz w:val="24"/>
          <w:szCs w:val="24"/>
        </w:rPr>
        <w:footnoteReference w:id="22"/>
      </w:r>
      <w:r>
        <w:rPr>
          <w:rFonts w:ascii="Arial" w:hAnsi="Arial" w:eastAsia="宋体" w:cs="Arial"/>
          <w:sz w:val="24"/>
          <w:szCs w:val="24"/>
        </w:rPr>
        <w:t>进行扫描，并以电子方式存储，只要记录仍可供FDA检查和复制即可（参见问题J.1）。如果使用电子记录，</w:t>
      </w:r>
      <w:r>
        <w:rPr>
          <w:rFonts w:hint="eastAsia" w:ascii="Arial" w:hAnsi="Arial" w:eastAsia="宋体" w:cs="Arial"/>
          <w:sz w:val="24"/>
          <w:szCs w:val="24"/>
        </w:rPr>
        <w:t>贵公司</w:t>
      </w:r>
      <w:r>
        <w:rPr>
          <w:rFonts w:ascii="Arial" w:hAnsi="Arial" w:eastAsia="宋体" w:cs="Arial"/>
          <w:sz w:val="24"/>
          <w:szCs w:val="24"/>
        </w:rPr>
        <w:t>应参考</w:t>
      </w:r>
      <w:r>
        <w:rPr>
          <w:rFonts w:ascii="宋体" w:hAnsi="宋体" w:eastAsia="宋体" w:cs="Arial"/>
          <w:sz w:val="24"/>
          <w:szCs w:val="24"/>
        </w:rPr>
        <w:t>“</w:t>
      </w:r>
      <w:r>
        <w:rPr>
          <w:rFonts w:ascii="Arial" w:hAnsi="Arial" w:eastAsia="宋体" w:cs="Arial"/>
          <w:sz w:val="24"/>
          <w:szCs w:val="24"/>
        </w:rPr>
        <w:t>临床研究记录的电子存储指南</w:t>
      </w:r>
      <w:r>
        <w:rPr>
          <w:rFonts w:cs="Arial" w:asciiTheme="majorEastAsia" w:hAnsiTheme="majorEastAsia" w:eastAsiaTheme="majorEastAsia"/>
          <w:sz w:val="24"/>
          <w:szCs w:val="24"/>
        </w:rPr>
        <w:t>”</w:t>
      </w:r>
      <w:r>
        <w:rPr>
          <w:rFonts w:ascii="Arial" w:hAnsi="Arial" w:eastAsia="宋体" w:cs="Arial"/>
          <w:sz w:val="24"/>
          <w:szCs w:val="24"/>
        </w:rPr>
        <w:t>第11</w:t>
      </w:r>
      <w:r>
        <w:rPr>
          <w:rFonts w:hint="eastAsia" w:ascii="Arial" w:hAnsi="Arial" w:eastAsia="宋体" w:cs="Arial"/>
          <w:sz w:val="24"/>
          <w:szCs w:val="24"/>
        </w:rPr>
        <w:t>部分</w:t>
      </w:r>
      <w:r>
        <w:rPr>
          <w:rFonts w:ascii="宋体" w:hAnsi="宋体" w:eastAsia="宋体" w:cs="Arial"/>
          <w:sz w:val="24"/>
          <w:szCs w:val="24"/>
        </w:rPr>
        <w:t>“</w:t>
      </w:r>
      <w:r>
        <w:rPr>
          <w:rFonts w:ascii="Arial" w:hAnsi="Arial" w:eastAsia="宋体" w:cs="Arial"/>
          <w:sz w:val="24"/>
          <w:szCs w:val="24"/>
        </w:rPr>
        <w:t>临床研究中使用的计算机化系统</w:t>
      </w:r>
      <w:r>
        <w:rPr>
          <w:rFonts w:cs="Arial" w:asciiTheme="majorEastAsia" w:hAnsiTheme="majorEastAsia" w:eastAsiaTheme="majorEastAsia"/>
          <w:sz w:val="24"/>
          <w:szCs w:val="24"/>
        </w:rPr>
        <w:t>”</w:t>
      </w:r>
      <w:r>
        <w:rPr>
          <w:rStyle w:val="24"/>
          <w:rFonts w:ascii="Arial" w:hAnsi="Arial" w:eastAsia="宋体" w:cs="Arial"/>
          <w:sz w:val="24"/>
          <w:szCs w:val="24"/>
        </w:rPr>
        <w:footnoteReference w:id="23"/>
      </w:r>
      <w:r>
        <w:rPr>
          <w:rFonts w:ascii="Arial" w:hAnsi="Arial" w:eastAsia="宋体" w:cs="Arial"/>
          <w:sz w:val="24"/>
          <w:szCs w:val="24"/>
        </w:rPr>
        <w:t>，以获取关于维护扫描文件的更多信息。</w:t>
      </w:r>
    </w:p>
    <w:p w14:paraId="19E79821">
      <w:pPr>
        <w:pStyle w:val="44"/>
        <w:numPr>
          <w:ilvl w:val="0"/>
          <w:numId w:val="5"/>
        </w:numPr>
        <w:shd w:val="clear" w:color="auto" w:fill="auto"/>
        <w:overflowPunct w:val="0"/>
        <w:snapToGrid w:val="0"/>
        <w:spacing w:after="156" w:afterLines="50" w:line="360" w:lineRule="auto"/>
        <w:ind w:left="357" w:hanging="357"/>
        <w:jc w:val="both"/>
        <w:outlineLvl w:val="1"/>
        <w:rPr>
          <w:rFonts w:ascii="Arial" w:hAnsi="Arial" w:eastAsia="宋体" w:cs="Arial"/>
          <w:sz w:val="24"/>
          <w:szCs w:val="24"/>
        </w:rPr>
      </w:pPr>
      <w:bookmarkStart w:id="26" w:name="_Toc496025811"/>
      <w:r>
        <w:rPr>
          <w:rFonts w:ascii="Arial" w:hAnsi="Arial" w:eastAsia="宋体" w:cs="Arial"/>
          <w:sz w:val="24"/>
          <w:szCs w:val="24"/>
        </w:rPr>
        <w:t>FDA检查</w:t>
      </w:r>
      <w:bookmarkEnd w:id="26"/>
    </w:p>
    <w:p w14:paraId="4A7C45D0">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 w:val="0"/>
          <w:sz w:val="24"/>
          <w:szCs w:val="24"/>
        </w:rPr>
      </w:pPr>
      <w:r>
        <w:rPr>
          <w:rFonts w:ascii="Arial" w:hAnsi="Arial" w:eastAsia="宋体" w:cs="Arial"/>
          <w:sz w:val="24"/>
          <w:szCs w:val="24"/>
        </w:rPr>
        <w:t>J.1</w:t>
      </w:r>
      <w:r>
        <w:rPr>
          <w:rFonts w:hint="eastAsia" w:ascii="Arial" w:hAnsi="Arial" w:eastAsia="宋体" w:cs="Arial"/>
          <w:b w:val="0"/>
          <w:sz w:val="24"/>
          <w:szCs w:val="24"/>
        </w:rPr>
        <w:tab/>
      </w:r>
      <w:r>
        <w:rPr>
          <w:rFonts w:ascii="Arial" w:hAnsi="Arial" w:eastAsia="宋体" w:cs="Arial"/>
          <w:sz w:val="24"/>
          <w:szCs w:val="24"/>
        </w:rPr>
        <w:t>问：在申办方的生物研究监测计划（BIMO）检查期间是否会审查财务披露信息？</w:t>
      </w:r>
    </w:p>
    <w:p w14:paraId="1EA424E7">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在申办方检查期间，FDA的政策是审查临床研究者向申办方提供的财务披露信息，尽管FDA可能会在其他适当的时间要求访问这些记录。FDA有权访问和复制申请人在上市申请中提交的证明或披露声明等支持性文件（21 CFR§54.6（b）（2））。FDA的条例要求申办方建立和维护在药品、生物制剂和医疗器械的临床研究过程中获得的数据记录，使</w:t>
      </w:r>
      <w:r>
        <w:rPr>
          <w:rFonts w:hint="eastAsia" w:ascii="Arial" w:hAnsi="Arial" w:eastAsia="宋体" w:cs="Arial"/>
          <w:sz w:val="24"/>
          <w:szCs w:val="24"/>
        </w:rPr>
        <w:t>机构</w:t>
      </w:r>
      <w:r>
        <w:rPr>
          <w:rFonts w:ascii="Arial" w:hAnsi="Arial" w:eastAsia="宋体" w:cs="Arial"/>
          <w:sz w:val="24"/>
          <w:szCs w:val="24"/>
        </w:rPr>
        <w:t>能够评估产品的安全性和有效性</w:t>
      </w:r>
      <w:r>
        <w:rPr>
          <w:rStyle w:val="24"/>
          <w:rFonts w:ascii="Arial" w:hAnsi="Arial" w:eastAsia="宋体" w:cs="Arial"/>
          <w:sz w:val="24"/>
          <w:szCs w:val="24"/>
        </w:rPr>
        <w:footnoteReference w:id="24"/>
      </w:r>
      <w:r>
        <w:rPr>
          <w:rFonts w:ascii="Arial" w:hAnsi="Arial" w:eastAsia="宋体" w:cs="Arial"/>
          <w:sz w:val="24"/>
          <w:szCs w:val="24"/>
        </w:rPr>
        <w:t>。</w:t>
      </w:r>
    </w:p>
    <w:p w14:paraId="66BF64AE">
      <w:pPr>
        <w:spacing w:after="0" w:line="240" w:lineRule="auto"/>
        <w:rPr>
          <w:rFonts w:ascii="Arial" w:hAnsi="Arial" w:eastAsia="宋体" w:cs="Arial"/>
          <w:b/>
          <w:kern w:val="2"/>
          <w:sz w:val="24"/>
          <w:szCs w:val="24"/>
        </w:rPr>
      </w:pPr>
      <w:r>
        <w:rPr>
          <w:rFonts w:ascii="Arial" w:hAnsi="Arial" w:eastAsia="宋体" w:cs="Arial"/>
          <w:bCs/>
          <w:sz w:val="24"/>
          <w:szCs w:val="24"/>
        </w:rPr>
        <w:br w:type="page"/>
      </w:r>
    </w:p>
    <w:p w14:paraId="1AB5867A">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J.2</w:t>
      </w:r>
      <w:r>
        <w:rPr>
          <w:rFonts w:hint="eastAsia" w:ascii="Arial" w:hAnsi="Arial" w:eastAsia="宋体" w:cs="Arial"/>
          <w:sz w:val="24"/>
          <w:szCs w:val="24"/>
        </w:rPr>
        <w:tab/>
      </w:r>
      <w:r>
        <w:rPr>
          <w:rFonts w:ascii="Arial" w:hAnsi="Arial" w:eastAsia="宋体" w:cs="Arial"/>
          <w:bCs w:val="0"/>
          <w:sz w:val="24"/>
          <w:szCs w:val="24"/>
        </w:rPr>
        <w:t>问：财务披露是否是临床中心BIMO检查的一部分？</w:t>
      </w:r>
    </w:p>
    <w:p w14:paraId="46403BD7">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FDA的政策是，FDA审查员应向临床研究者询问他/她是否在研究开始前向申办方提交了信息，并根据需要在该中心完成研究后一年内更新该信息。</w:t>
      </w:r>
    </w:p>
    <w:p w14:paraId="6C9EB6D2">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J.3</w:t>
      </w:r>
      <w:r>
        <w:rPr>
          <w:rFonts w:hint="eastAsia" w:ascii="Arial" w:hAnsi="Arial" w:eastAsia="宋体" w:cs="Arial"/>
          <w:bCs w:val="0"/>
          <w:sz w:val="24"/>
          <w:szCs w:val="24"/>
        </w:rPr>
        <w:tab/>
      </w:r>
      <w:r>
        <w:rPr>
          <w:rFonts w:ascii="Arial" w:hAnsi="Arial" w:eastAsia="宋体" w:cs="Arial"/>
          <w:bCs w:val="0"/>
          <w:sz w:val="24"/>
          <w:szCs w:val="24"/>
        </w:rPr>
        <w:t>问：有关财务披露的记录审查，对于FDA的检查人员是否有指示说明？</w:t>
      </w:r>
    </w:p>
    <w:p w14:paraId="23C40E0A">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b/>
          <w:bCs/>
          <w:sz w:val="24"/>
          <w:szCs w:val="24"/>
        </w:rPr>
      </w:pPr>
      <w:r>
        <w:rPr>
          <w:rFonts w:ascii="Arial" w:hAnsi="Arial" w:eastAsia="宋体" w:cs="Arial"/>
          <w:sz w:val="24"/>
          <w:szCs w:val="24"/>
        </w:rPr>
        <w:t>答：FDA已经在</w:t>
      </w:r>
      <w:r>
        <w:rPr>
          <w:rFonts w:ascii="宋体" w:hAnsi="宋体" w:eastAsia="宋体" w:cs="Arial"/>
          <w:sz w:val="24"/>
          <w:szCs w:val="24"/>
        </w:rPr>
        <w:t>“</w:t>
      </w:r>
      <w:r>
        <w:rPr>
          <w:rFonts w:ascii="Arial" w:hAnsi="Arial" w:eastAsia="宋体" w:cs="Arial"/>
          <w:sz w:val="24"/>
          <w:szCs w:val="24"/>
        </w:rPr>
        <w:t>合规性程序指导手册</w:t>
      </w:r>
      <w:r>
        <w:rPr>
          <w:rFonts w:cs="Arial" w:asciiTheme="majorEastAsia" w:hAnsiTheme="majorEastAsia" w:eastAsiaTheme="majorEastAsia"/>
          <w:sz w:val="24"/>
          <w:szCs w:val="24"/>
        </w:rPr>
        <w:t>”</w:t>
      </w:r>
      <w:r>
        <w:rPr>
          <w:rFonts w:ascii="Arial" w:hAnsi="Arial" w:eastAsia="宋体" w:cs="Arial"/>
          <w:sz w:val="24"/>
          <w:szCs w:val="24"/>
        </w:rPr>
        <w:t>（CPGM）的章节中提供了有关临床研究者检查</w:t>
      </w:r>
      <w:r>
        <w:rPr>
          <w:rStyle w:val="24"/>
          <w:rFonts w:ascii="Arial" w:hAnsi="Arial" w:eastAsia="宋体" w:cs="Arial"/>
          <w:sz w:val="24"/>
          <w:szCs w:val="24"/>
        </w:rPr>
        <w:footnoteReference w:id="25"/>
      </w:r>
      <w:r>
        <w:rPr>
          <w:rFonts w:ascii="Arial" w:hAnsi="Arial" w:eastAsia="宋体" w:cs="Arial"/>
          <w:sz w:val="24"/>
          <w:szCs w:val="24"/>
        </w:rPr>
        <w:t>和申办方检查</w:t>
      </w:r>
      <w:r>
        <w:rPr>
          <w:rStyle w:val="24"/>
          <w:rFonts w:ascii="Arial" w:hAnsi="Arial" w:eastAsia="宋体" w:cs="Arial"/>
          <w:sz w:val="24"/>
          <w:szCs w:val="24"/>
        </w:rPr>
        <w:footnoteReference w:id="26"/>
      </w:r>
      <w:r>
        <w:rPr>
          <w:rFonts w:ascii="Arial" w:hAnsi="Arial" w:eastAsia="宋体" w:cs="Arial"/>
          <w:sz w:val="24"/>
          <w:szCs w:val="24"/>
        </w:rPr>
        <w:t>的说明。</w:t>
      </w:r>
    </w:p>
    <w:p w14:paraId="7A6087BB">
      <w:pPr>
        <w:pStyle w:val="44"/>
        <w:numPr>
          <w:ilvl w:val="0"/>
          <w:numId w:val="5"/>
        </w:numPr>
        <w:shd w:val="clear" w:color="auto" w:fill="auto"/>
        <w:overflowPunct w:val="0"/>
        <w:snapToGrid w:val="0"/>
        <w:spacing w:after="156" w:afterLines="50" w:line="360" w:lineRule="auto"/>
        <w:ind w:left="357" w:hanging="357"/>
        <w:jc w:val="both"/>
        <w:outlineLvl w:val="1"/>
        <w:rPr>
          <w:rFonts w:ascii="Arial" w:hAnsi="Arial" w:eastAsia="宋体" w:cs="Arial"/>
          <w:sz w:val="24"/>
          <w:szCs w:val="24"/>
        </w:rPr>
      </w:pPr>
      <w:bookmarkStart w:id="27" w:name="_Toc496025812"/>
      <w:r>
        <w:rPr>
          <w:rFonts w:ascii="Arial" w:hAnsi="Arial" w:eastAsia="宋体" w:cs="Arial"/>
          <w:sz w:val="24"/>
          <w:szCs w:val="24"/>
        </w:rPr>
        <w:t>联系</w:t>
      </w:r>
      <w:r>
        <w:rPr>
          <w:rFonts w:hint="eastAsia" w:ascii="Arial" w:hAnsi="Arial" w:eastAsia="宋体" w:cs="Arial"/>
          <w:sz w:val="24"/>
          <w:szCs w:val="24"/>
        </w:rPr>
        <w:t>方式</w:t>
      </w:r>
      <w:bookmarkEnd w:id="27"/>
    </w:p>
    <w:p w14:paraId="56FBC044">
      <w:pPr>
        <w:pStyle w:val="54"/>
        <w:shd w:val="clear" w:color="auto" w:fill="auto"/>
        <w:overflowPunct w:val="0"/>
        <w:adjustRightInd w:val="0"/>
        <w:snapToGrid w:val="0"/>
        <w:spacing w:before="0" w:after="156" w:afterLines="50" w:line="300" w:lineRule="auto"/>
        <w:ind w:left="862" w:leftChars="81" w:hanging="684" w:hangingChars="284"/>
        <w:jc w:val="both"/>
        <w:rPr>
          <w:rFonts w:ascii="Arial" w:hAnsi="Arial" w:eastAsia="宋体" w:cs="Arial"/>
          <w:bCs w:val="0"/>
          <w:sz w:val="24"/>
          <w:szCs w:val="24"/>
        </w:rPr>
      </w:pPr>
      <w:r>
        <w:rPr>
          <w:rFonts w:ascii="Arial" w:hAnsi="Arial" w:eastAsia="宋体" w:cs="Arial"/>
          <w:bCs w:val="0"/>
          <w:sz w:val="24"/>
          <w:szCs w:val="24"/>
        </w:rPr>
        <w:t>K.1</w:t>
      </w:r>
      <w:r>
        <w:rPr>
          <w:rFonts w:hint="eastAsia" w:ascii="Arial" w:hAnsi="Arial" w:eastAsia="宋体" w:cs="Arial"/>
          <w:bCs w:val="0"/>
          <w:sz w:val="24"/>
          <w:szCs w:val="24"/>
        </w:rPr>
        <w:tab/>
      </w:r>
      <w:r>
        <w:rPr>
          <w:rFonts w:ascii="Arial" w:hAnsi="Arial" w:eastAsia="宋体" w:cs="Arial"/>
          <w:bCs w:val="0"/>
          <w:sz w:val="24"/>
          <w:szCs w:val="24"/>
        </w:rPr>
        <w:t>问：每个FDA中心联系</w:t>
      </w:r>
      <w:r>
        <w:rPr>
          <w:rFonts w:hint="eastAsia" w:ascii="Arial" w:hAnsi="Arial" w:eastAsia="宋体" w:cs="Arial"/>
          <w:bCs w:val="0"/>
          <w:sz w:val="24"/>
          <w:szCs w:val="24"/>
        </w:rPr>
        <w:t>谁</w:t>
      </w:r>
      <w:r>
        <w:rPr>
          <w:rFonts w:ascii="Arial" w:hAnsi="Arial" w:eastAsia="宋体" w:cs="Arial"/>
          <w:bCs w:val="0"/>
          <w:sz w:val="24"/>
          <w:szCs w:val="24"/>
        </w:rPr>
        <w:t>来回答关于本条例的问题？</w:t>
      </w:r>
    </w:p>
    <w:p w14:paraId="0F4EE289">
      <w:pPr>
        <w:pStyle w:val="50"/>
        <w:shd w:val="clear" w:color="auto" w:fill="auto"/>
        <w:overflowPunct w:val="0"/>
        <w:adjustRightInd w:val="0"/>
        <w:snapToGrid w:val="0"/>
        <w:spacing w:before="0" w:after="156" w:afterLines="50" w:line="300" w:lineRule="auto"/>
        <w:ind w:left="796" w:leftChars="362" w:firstLine="0"/>
        <w:jc w:val="both"/>
        <w:rPr>
          <w:rFonts w:ascii="Arial" w:hAnsi="Arial" w:eastAsia="宋体" w:cs="Arial"/>
          <w:sz w:val="24"/>
          <w:szCs w:val="24"/>
        </w:rPr>
      </w:pPr>
      <w:r>
        <w:rPr>
          <w:rFonts w:ascii="Arial" w:hAnsi="Arial" w:eastAsia="宋体" w:cs="Arial"/>
          <w:b/>
          <w:sz w:val="24"/>
          <w:szCs w:val="24"/>
        </w:rPr>
        <w:t>答：</w:t>
      </w:r>
      <w:r>
        <w:rPr>
          <w:rFonts w:ascii="Arial" w:hAnsi="Arial" w:eastAsia="宋体" w:cs="Arial"/>
          <w:sz w:val="24"/>
          <w:szCs w:val="24"/>
        </w:rPr>
        <w:t>可联系以下机构：药物评估和研究中心的药物信息部，电话：888-463-6332或301-796-3400，器械和放射</w:t>
      </w:r>
      <w:r>
        <w:rPr>
          <w:rFonts w:hint="eastAsia" w:ascii="Arial" w:hAnsi="Arial" w:eastAsia="宋体" w:cs="Arial"/>
          <w:sz w:val="24"/>
          <w:szCs w:val="24"/>
        </w:rPr>
        <w:t>健康</w:t>
      </w:r>
      <w:r>
        <w:rPr>
          <w:rFonts w:ascii="Arial" w:hAnsi="Arial" w:eastAsia="宋体" w:cs="Arial"/>
          <w:sz w:val="24"/>
          <w:szCs w:val="24"/>
        </w:rPr>
        <w:t>中心的小制造商、国际、和消费者援助司，电话：800-638-2041或301-796-7100，以及生物制剂评估和研究中心的交流、推广和发展办公室，电话：800-835-4709或301-827-1800。</w:t>
      </w:r>
    </w:p>
    <w:p w14:paraId="56981A23">
      <w:pPr>
        <w:spacing w:after="0" w:line="240" w:lineRule="auto"/>
        <w:rPr>
          <w:rFonts w:ascii="Arial" w:hAnsi="Arial" w:eastAsia="宋体" w:cs="Arial"/>
          <w:b/>
          <w:kern w:val="2"/>
          <w:sz w:val="24"/>
          <w:szCs w:val="24"/>
        </w:rPr>
      </w:pPr>
      <w:r>
        <w:rPr>
          <w:rFonts w:ascii="Arial" w:hAnsi="Arial" w:eastAsia="宋体" w:cs="Arial"/>
          <w:b/>
          <w:sz w:val="24"/>
          <w:szCs w:val="24"/>
        </w:rPr>
        <w:br w:type="page"/>
      </w:r>
    </w:p>
    <w:p w14:paraId="61F502A8">
      <w:pPr>
        <w:pStyle w:val="50"/>
        <w:shd w:val="clear" w:color="auto" w:fill="auto"/>
        <w:overflowPunct w:val="0"/>
        <w:adjustRightInd w:val="0"/>
        <w:snapToGrid w:val="0"/>
        <w:spacing w:before="0" w:after="50" w:line="300" w:lineRule="auto"/>
        <w:ind w:firstLine="0"/>
        <w:jc w:val="both"/>
        <w:outlineLvl w:val="0"/>
        <w:rPr>
          <w:rFonts w:ascii="Arial" w:hAnsi="Arial" w:eastAsia="宋体" w:cs="Arial"/>
          <w:b/>
          <w:sz w:val="24"/>
          <w:szCs w:val="24"/>
        </w:rPr>
      </w:pPr>
      <w:bookmarkStart w:id="28" w:name="_Toc496025813"/>
      <w:r>
        <w:rPr>
          <w:rFonts w:ascii="Arial" w:hAnsi="Arial" w:eastAsia="宋体" w:cs="Arial"/>
          <w:b/>
          <w:sz w:val="24"/>
          <w:szCs w:val="24"/>
        </w:rPr>
        <w:t>附录</w:t>
      </w:r>
      <w:bookmarkEnd w:id="28"/>
    </w:p>
    <w:p w14:paraId="77B21A63">
      <w:pPr>
        <w:pStyle w:val="50"/>
        <w:shd w:val="clear" w:color="auto" w:fill="auto"/>
        <w:overflowPunct w:val="0"/>
        <w:adjustRightInd w:val="0"/>
        <w:snapToGrid w:val="0"/>
        <w:spacing w:before="0" w:after="50" w:line="300" w:lineRule="auto"/>
        <w:ind w:firstLine="0"/>
        <w:jc w:val="both"/>
        <w:rPr>
          <w:rFonts w:ascii="Arial" w:hAnsi="Arial" w:eastAsia="宋体" w:cs="Arial"/>
          <w:b/>
          <w:sz w:val="24"/>
          <w:szCs w:val="24"/>
        </w:rPr>
      </w:pPr>
    </w:p>
    <w:p w14:paraId="60C373B5">
      <w:pPr>
        <w:pStyle w:val="50"/>
        <w:shd w:val="clear" w:color="auto" w:fill="auto"/>
        <w:overflowPunct w:val="0"/>
        <w:adjustRightInd w:val="0"/>
        <w:snapToGrid w:val="0"/>
        <w:spacing w:before="0" w:after="50" w:line="300" w:lineRule="auto"/>
        <w:ind w:firstLine="0"/>
        <w:jc w:val="center"/>
        <w:rPr>
          <w:rFonts w:ascii="Arial" w:hAnsi="Arial" w:eastAsia="宋体" w:cs="Arial"/>
          <w:b/>
          <w:sz w:val="24"/>
          <w:szCs w:val="24"/>
        </w:rPr>
      </w:pPr>
      <w:r>
        <w:rPr>
          <w:rFonts w:ascii="Arial" w:hAnsi="Arial" w:eastAsia="宋体" w:cs="Arial"/>
          <w:b/>
          <w:sz w:val="24"/>
          <w:szCs w:val="24"/>
        </w:rPr>
        <w:t>收集临床研究者财务披露信息的注意事项</w:t>
      </w:r>
    </w:p>
    <w:p w14:paraId="3F9940D9">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p>
    <w:p w14:paraId="36CAE803">
      <w:pPr>
        <w:pStyle w:val="50"/>
        <w:shd w:val="clear" w:color="auto" w:fill="auto"/>
        <w:overflowPunct w:val="0"/>
        <w:adjustRightInd w:val="0"/>
        <w:snapToGrid w:val="0"/>
        <w:spacing w:before="0" w:after="50" w:line="300" w:lineRule="auto"/>
        <w:ind w:firstLine="0"/>
        <w:jc w:val="both"/>
        <w:rPr>
          <w:rFonts w:ascii="Arial" w:hAnsi="Arial" w:eastAsia="宋体" w:cs="Arial"/>
          <w:sz w:val="24"/>
          <w:szCs w:val="24"/>
        </w:rPr>
      </w:pPr>
      <w:r>
        <w:rPr>
          <w:rFonts w:ascii="Arial" w:hAnsi="Arial" w:eastAsia="宋体" w:cs="Arial"/>
          <w:sz w:val="24"/>
          <w:szCs w:val="24"/>
        </w:rPr>
        <w:t>提供给临床研究者的建议项目，以协助</w:t>
      </w:r>
      <w:r>
        <w:rPr>
          <w:rFonts w:hint="eastAsia" w:ascii="Arial" w:hAnsi="Arial" w:eastAsia="宋体" w:cs="Arial"/>
          <w:sz w:val="24"/>
          <w:szCs w:val="24"/>
        </w:rPr>
        <w:t>其</w:t>
      </w:r>
      <w:r>
        <w:rPr>
          <w:rFonts w:ascii="Arial" w:hAnsi="Arial" w:eastAsia="宋体" w:cs="Arial"/>
          <w:sz w:val="24"/>
          <w:szCs w:val="24"/>
        </w:rPr>
        <w:t>遵守财务披露报告的要求：</w:t>
      </w:r>
    </w:p>
    <w:p w14:paraId="34BB1B77">
      <w:pPr>
        <w:pStyle w:val="50"/>
        <w:numPr>
          <w:ilvl w:val="2"/>
          <w:numId w:val="4"/>
        </w:numPr>
        <w:overflowPunct w:val="0"/>
        <w:adjustRightInd w:val="0"/>
        <w:snapToGrid w:val="0"/>
        <w:spacing w:before="0" w:after="50" w:line="300" w:lineRule="auto"/>
        <w:ind w:left="1004"/>
        <w:jc w:val="both"/>
        <w:rPr>
          <w:rFonts w:ascii="Arial" w:hAnsi="Arial" w:eastAsia="宋体" w:cs="Arial"/>
          <w:sz w:val="24"/>
          <w:szCs w:val="24"/>
        </w:rPr>
      </w:pPr>
      <w:r>
        <w:rPr>
          <w:rFonts w:ascii="Arial" w:hAnsi="Arial" w:eastAsia="宋体" w:cs="Arial"/>
          <w:sz w:val="24"/>
          <w:szCs w:val="24"/>
        </w:rPr>
        <w:t>明确涉及的临床研究的申办方。参见第</w:t>
      </w:r>
      <w:r>
        <w:rPr>
          <w:rFonts w:ascii="Arial" w:hAnsi="Arial" w:eastAsia="宋体" w:cs="Arial"/>
          <w:color w:val="0000FF"/>
          <w:sz w:val="24"/>
          <w:szCs w:val="24"/>
          <w:u w:val="single"/>
        </w:rPr>
        <w:t>IV.E节</w:t>
      </w:r>
      <w:r>
        <w:rPr>
          <w:rFonts w:ascii="Arial" w:hAnsi="Arial" w:eastAsia="宋体" w:cs="Arial"/>
          <w:sz w:val="24"/>
          <w:szCs w:val="24"/>
        </w:rPr>
        <w:t>。</w:t>
      </w:r>
    </w:p>
    <w:p w14:paraId="30383CA6">
      <w:pPr>
        <w:pStyle w:val="50"/>
        <w:numPr>
          <w:ilvl w:val="2"/>
          <w:numId w:val="4"/>
        </w:numPr>
        <w:overflowPunct w:val="0"/>
        <w:adjustRightInd w:val="0"/>
        <w:snapToGrid w:val="0"/>
        <w:spacing w:before="0" w:after="50" w:line="300" w:lineRule="auto"/>
        <w:ind w:left="1004"/>
        <w:jc w:val="both"/>
        <w:rPr>
          <w:rFonts w:ascii="Arial" w:hAnsi="Arial" w:eastAsia="宋体" w:cs="Arial"/>
          <w:sz w:val="24"/>
          <w:szCs w:val="24"/>
        </w:rPr>
      </w:pPr>
      <w:r>
        <w:rPr>
          <w:rFonts w:ascii="Arial" w:hAnsi="Arial" w:eastAsia="宋体" w:cs="Arial"/>
          <w:sz w:val="24"/>
          <w:szCs w:val="24"/>
        </w:rPr>
        <w:t>明确哪些经济利益和协议需要报告（例如，临床研究者、其配偶和受抚养子女）。参见第</w:t>
      </w:r>
      <w:r>
        <w:rPr>
          <w:rFonts w:ascii="Arial" w:hAnsi="Arial" w:eastAsia="宋体" w:cs="Arial"/>
          <w:color w:val="0000FF"/>
          <w:sz w:val="24"/>
          <w:szCs w:val="24"/>
          <w:u w:val="single"/>
        </w:rPr>
        <w:t>IV.D节</w:t>
      </w:r>
      <w:r>
        <w:rPr>
          <w:rFonts w:ascii="Arial" w:hAnsi="Arial" w:eastAsia="宋体" w:cs="Arial"/>
          <w:sz w:val="24"/>
          <w:szCs w:val="24"/>
        </w:rPr>
        <w:t>。</w:t>
      </w:r>
    </w:p>
    <w:p w14:paraId="50DC94F3">
      <w:pPr>
        <w:pStyle w:val="50"/>
        <w:numPr>
          <w:ilvl w:val="2"/>
          <w:numId w:val="4"/>
        </w:numPr>
        <w:overflowPunct w:val="0"/>
        <w:adjustRightInd w:val="0"/>
        <w:snapToGrid w:val="0"/>
        <w:spacing w:before="0" w:after="50" w:line="300" w:lineRule="auto"/>
        <w:ind w:left="1004"/>
        <w:jc w:val="both"/>
        <w:rPr>
          <w:rFonts w:ascii="Arial" w:hAnsi="Arial" w:eastAsia="宋体" w:cs="Arial"/>
          <w:sz w:val="24"/>
          <w:szCs w:val="24"/>
        </w:rPr>
      </w:pPr>
      <w:r>
        <w:rPr>
          <w:rFonts w:ascii="Arial" w:hAnsi="Arial" w:eastAsia="宋体" w:cs="Arial"/>
          <w:sz w:val="24"/>
          <w:szCs w:val="24"/>
        </w:rPr>
        <w:t>明确必须披露的经济利益和协议。参见第</w:t>
      </w:r>
      <w:r>
        <w:rPr>
          <w:rFonts w:ascii="Arial" w:hAnsi="Arial" w:eastAsia="宋体" w:cs="Arial"/>
          <w:color w:val="0000FF"/>
          <w:sz w:val="24"/>
          <w:szCs w:val="24"/>
          <w:u w:val="single"/>
        </w:rPr>
        <w:t>III.B节</w:t>
      </w:r>
      <w:r>
        <w:rPr>
          <w:rFonts w:ascii="Arial" w:hAnsi="Arial" w:eastAsia="宋体" w:cs="Arial"/>
          <w:sz w:val="24"/>
          <w:szCs w:val="24"/>
        </w:rPr>
        <w:t>和</w:t>
      </w:r>
      <w:r>
        <w:rPr>
          <w:rFonts w:ascii="Arial" w:hAnsi="Arial" w:eastAsia="宋体" w:cs="Arial"/>
          <w:color w:val="0000FF"/>
          <w:sz w:val="24"/>
          <w:szCs w:val="24"/>
          <w:u w:val="single"/>
        </w:rPr>
        <w:t>问题C.1</w:t>
      </w:r>
      <w:r>
        <w:rPr>
          <w:rFonts w:ascii="Arial" w:hAnsi="Arial" w:eastAsia="宋体" w:cs="Arial"/>
          <w:sz w:val="24"/>
          <w:szCs w:val="24"/>
        </w:rPr>
        <w:t>。</w:t>
      </w:r>
    </w:p>
    <w:p w14:paraId="39E5E401">
      <w:pPr>
        <w:pStyle w:val="50"/>
        <w:shd w:val="clear" w:color="auto" w:fill="auto"/>
        <w:overflowPunct w:val="0"/>
        <w:adjustRightInd w:val="0"/>
        <w:snapToGrid w:val="0"/>
        <w:spacing w:before="0" w:after="50" w:line="300" w:lineRule="auto"/>
        <w:ind w:left="1272" w:leftChars="578" w:firstLine="0"/>
        <w:jc w:val="both"/>
        <w:rPr>
          <w:rFonts w:ascii="Arial" w:hAnsi="Arial" w:eastAsia="宋体" w:cs="Arial"/>
          <w:sz w:val="24"/>
          <w:szCs w:val="24"/>
        </w:rPr>
      </w:pPr>
      <w:r>
        <w:rPr>
          <w:rFonts w:ascii="Arial" w:hAnsi="Arial" w:eastAsia="宋体" w:cs="Arial"/>
          <w:b/>
          <w:sz w:val="24"/>
          <w:szCs w:val="24"/>
        </w:rPr>
        <w:t>注意：</w:t>
      </w:r>
      <w:r>
        <w:rPr>
          <w:rFonts w:hint="eastAsia" w:ascii="Arial" w:hAnsi="Arial" w:eastAsia="宋体" w:cs="Arial"/>
          <w:sz w:val="24"/>
          <w:szCs w:val="24"/>
        </w:rPr>
        <w:t>阈值</w:t>
      </w:r>
      <w:r>
        <w:rPr>
          <w:rFonts w:ascii="Arial" w:hAnsi="Arial" w:eastAsia="宋体" w:cs="Arial"/>
          <w:sz w:val="24"/>
          <w:szCs w:val="24"/>
        </w:rPr>
        <w:t>分别适用于每</w:t>
      </w:r>
      <w:r>
        <w:rPr>
          <w:rFonts w:hint="eastAsia" w:ascii="Arial" w:hAnsi="Arial" w:eastAsia="宋体" w:cs="Arial"/>
          <w:sz w:val="24"/>
          <w:szCs w:val="24"/>
        </w:rPr>
        <w:t>名</w:t>
      </w:r>
      <w:r>
        <w:rPr>
          <w:rFonts w:ascii="Arial" w:hAnsi="Arial" w:eastAsia="宋体" w:cs="Arial"/>
          <w:sz w:val="24"/>
          <w:szCs w:val="24"/>
        </w:rPr>
        <w:t>申办方（见</w:t>
      </w:r>
      <w:r>
        <w:rPr>
          <w:rFonts w:ascii="Arial" w:hAnsi="Arial" w:eastAsia="宋体" w:cs="Arial"/>
          <w:color w:val="0000FF"/>
          <w:sz w:val="24"/>
          <w:szCs w:val="24"/>
          <w:u w:val="single"/>
        </w:rPr>
        <w:t>问题E.1</w:t>
      </w:r>
      <w:r>
        <w:rPr>
          <w:rFonts w:ascii="Arial" w:hAnsi="Arial" w:eastAsia="宋体" w:cs="Arial"/>
          <w:sz w:val="24"/>
          <w:szCs w:val="24"/>
        </w:rPr>
        <w:t>），但对于研究者及其配偶和受抚养子女来说是累积金额（参见第</w:t>
      </w:r>
      <w:r>
        <w:rPr>
          <w:rFonts w:ascii="Arial" w:hAnsi="Arial" w:eastAsia="宋体" w:cs="Arial"/>
          <w:color w:val="0000FF"/>
          <w:sz w:val="24"/>
          <w:szCs w:val="24"/>
          <w:u w:val="single"/>
        </w:rPr>
        <w:t>III.B节</w:t>
      </w:r>
      <w:r>
        <w:rPr>
          <w:rFonts w:ascii="Arial" w:hAnsi="Arial" w:eastAsia="宋体" w:cs="Arial"/>
          <w:sz w:val="24"/>
          <w:szCs w:val="24"/>
        </w:rPr>
        <w:t>）。</w:t>
      </w:r>
    </w:p>
    <w:p w14:paraId="3603B166">
      <w:pPr>
        <w:pStyle w:val="50"/>
        <w:numPr>
          <w:ilvl w:val="3"/>
          <w:numId w:val="4"/>
        </w:numPr>
        <w:tabs>
          <w:tab w:val="left" w:pos="1296"/>
        </w:tabs>
        <w:overflowPunct w:val="0"/>
        <w:adjustRightInd w:val="0"/>
        <w:snapToGrid w:val="0"/>
        <w:spacing w:before="0" w:after="50" w:line="300" w:lineRule="auto"/>
        <w:jc w:val="both"/>
        <w:rPr>
          <w:rFonts w:ascii="Arial" w:hAnsi="Arial" w:eastAsia="宋体" w:cs="Arial"/>
          <w:sz w:val="24"/>
          <w:szCs w:val="24"/>
        </w:rPr>
      </w:pPr>
      <w:r>
        <w:rPr>
          <w:rFonts w:ascii="Arial" w:hAnsi="Arial" w:eastAsia="宋体" w:cs="Arial"/>
          <w:sz w:val="24"/>
          <w:szCs w:val="24"/>
        </w:rPr>
        <w:t>任何申办方的雇员。参见第</w:t>
      </w:r>
      <w:r>
        <w:rPr>
          <w:rFonts w:ascii="Arial" w:hAnsi="Arial" w:eastAsia="宋体" w:cs="Arial"/>
          <w:color w:val="0000FF"/>
          <w:sz w:val="24"/>
          <w:szCs w:val="24"/>
          <w:u w:val="single"/>
        </w:rPr>
        <w:t>III节</w:t>
      </w:r>
      <w:r>
        <w:rPr>
          <w:rFonts w:ascii="Arial" w:hAnsi="Arial" w:eastAsia="宋体" w:cs="Arial"/>
          <w:sz w:val="24"/>
          <w:szCs w:val="24"/>
        </w:rPr>
        <w:t>和问题</w:t>
      </w:r>
      <w:r>
        <w:rPr>
          <w:rFonts w:ascii="Arial" w:hAnsi="Arial" w:eastAsia="宋体" w:cs="Arial"/>
          <w:color w:val="0000FF"/>
          <w:sz w:val="24"/>
          <w:szCs w:val="24"/>
          <w:u w:val="single"/>
        </w:rPr>
        <w:t>B.1</w:t>
      </w:r>
      <w:r>
        <w:rPr>
          <w:rFonts w:ascii="Arial" w:hAnsi="Arial" w:eastAsia="宋体" w:cs="Arial"/>
          <w:sz w:val="24"/>
          <w:szCs w:val="24"/>
        </w:rPr>
        <w:t>和</w:t>
      </w:r>
      <w:r>
        <w:rPr>
          <w:rFonts w:ascii="Arial" w:hAnsi="Arial" w:eastAsia="宋体" w:cs="Arial"/>
          <w:color w:val="0000FF"/>
          <w:sz w:val="24"/>
          <w:szCs w:val="24"/>
          <w:u w:val="single"/>
        </w:rPr>
        <w:t>D.4</w:t>
      </w:r>
      <w:r>
        <w:rPr>
          <w:rFonts w:ascii="Arial" w:hAnsi="Arial" w:eastAsia="宋体" w:cs="Arial"/>
          <w:sz w:val="24"/>
          <w:szCs w:val="24"/>
        </w:rPr>
        <w:t>。</w:t>
      </w:r>
    </w:p>
    <w:p w14:paraId="18450AAE">
      <w:pPr>
        <w:pStyle w:val="50"/>
        <w:numPr>
          <w:ilvl w:val="3"/>
          <w:numId w:val="4"/>
        </w:numPr>
        <w:tabs>
          <w:tab w:val="left" w:pos="1296"/>
        </w:tabs>
        <w:overflowPunct w:val="0"/>
        <w:adjustRightInd w:val="0"/>
        <w:snapToGrid w:val="0"/>
        <w:spacing w:before="0" w:after="50" w:line="300" w:lineRule="auto"/>
        <w:jc w:val="both"/>
        <w:rPr>
          <w:rFonts w:ascii="Arial" w:hAnsi="Arial" w:eastAsia="宋体" w:cs="Arial"/>
          <w:sz w:val="24"/>
          <w:szCs w:val="24"/>
        </w:rPr>
      </w:pPr>
      <w:r>
        <w:rPr>
          <w:rFonts w:ascii="Arial" w:hAnsi="Arial" w:eastAsia="宋体" w:cs="Arial"/>
          <w:sz w:val="24"/>
          <w:szCs w:val="24"/>
        </w:rPr>
        <w:t>任何申办方</w:t>
      </w:r>
      <w:r>
        <w:rPr>
          <w:rFonts w:hint="eastAsia" w:ascii="Arial" w:hAnsi="Arial" w:eastAsia="宋体" w:cs="Arial"/>
          <w:sz w:val="24"/>
          <w:szCs w:val="24"/>
        </w:rPr>
        <w:t>支付</w:t>
      </w:r>
      <w:r>
        <w:rPr>
          <w:rFonts w:ascii="Arial" w:hAnsi="Arial" w:eastAsia="宋体" w:cs="Arial"/>
          <w:sz w:val="24"/>
          <w:szCs w:val="24"/>
        </w:rPr>
        <w:t>的任何酬金（酬金金额受到研究</w:t>
      </w:r>
      <w:r>
        <w:rPr>
          <w:rFonts w:hint="eastAsia" w:ascii="Arial" w:hAnsi="Arial" w:eastAsia="宋体" w:cs="Arial"/>
          <w:sz w:val="24"/>
          <w:szCs w:val="24"/>
        </w:rPr>
        <w:t>结果</w:t>
      </w:r>
      <w:r>
        <w:rPr>
          <w:rFonts w:ascii="Arial" w:hAnsi="Arial" w:eastAsia="宋体" w:cs="Arial"/>
          <w:sz w:val="24"/>
          <w:szCs w:val="24"/>
        </w:rPr>
        <w:t>影响）。参见第</w:t>
      </w:r>
      <w:r>
        <w:rPr>
          <w:rFonts w:ascii="Arial" w:hAnsi="Arial" w:eastAsia="宋体" w:cs="Arial"/>
          <w:color w:val="0000FF"/>
          <w:sz w:val="24"/>
          <w:szCs w:val="24"/>
          <w:u w:val="single"/>
        </w:rPr>
        <w:t>III.B.1节</w:t>
      </w:r>
      <w:r>
        <w:rPr>
          <w:rFonts w:ascii="Arial" w:hAnsi="Arial" w:eastAsia="宋体" w:cs="Arial"/>
          <w:sz w:val="24"/>
          <w:szCs w:val="24"/>
        </w:rPr>
        <w:t>。</w:t>
      </w:r>
    </w:p>
    <w:p w14:paraId="295A30B6">
      <w:pPr>
        <w:pStyle w:val="50"/>
        <w:numPr>
          <w:ilvl w:val="3"/>
          <w:numId w:val="4"/>
        </w:numPr>
        <w:tabs>
          <w:tab w:val="left" w:pos="1296"/>
        </w:tabs>
        <w:overflowPunct w:val="0"/>
        <w:adjustRightInd w:val="0"/>
        <w:snapToGrid w:val="0"/>
        <w:spacing w:before="0" w:after="50" w:line="300" w:lineRule="auto"/>
        <w:jc w:val="both"/>
        <w:rPr>
          <w:rFonts w:ascii="Arial" w:hAnsi="Arial" w:eastAsia="宋体" w:cs="Arial"/>
          <w:sz w:val="24"/>
          <w:szCs w:val="24"/>
        </w:rPr>
      </w:pPr>
      <w:r>
        <w:rPr>
          <w:rFonts w:ascii="Arial" w:hAnsi="Arial" w:eastAsia="宋体" w:cs="Arial"/>
          <w:sz w:val="24"/>
          <w:szCs w:val="24"/>
        </w:rPr>
        <w:t>试验产品的任何所有权。参见第</w:t>
      </w:r>
      <w:r>
        <w:rPr>
          <w:rFonts w:ascii="Arial" w:hAnsi="Arial" w:eastAsia="宋体" w:cs="Arial"/>
          <w:color w:val="0000FF"/>
          <w:sz w:val="24"/>
          <w:szCs w:val="24"/>
          <w:u w:val="single"/>
        </w:rPr>
        <w:t>III.B.2节</w:t>
      </w:r>
      <w:r>
        <w:rPr>
          <w:rFonts w:ascii="Arial" w:hAnsi="Arial" w:eastAsia="宋体" w:cs="Arial"/>
          <w:sz w:val="24"/>
          <w:szCs w:val="24"/>
        </w:rPr>
        <w:t>。</w:t>
      </w:r>
    </w:p>
    <w:p w14:paraId="2CAA8D13">
      <w:pPr>
        <w:pStyle w:val="50"/>
        <w:numPr>
          <w:ilvl w:val="3"/>
          <w:numId w:val="4"/>
        </w:numPr>
        <w:tabs>
          <w:tab w:val="left" w:pos="1296"/>
        </w:tabs>
        <w:overflowPunct w:val="0"/>
        <w:adjustRightInd w:val="0"/>
        <w:snapToGrid w:val="0"/>
        <w:spacing w:before="0" w:after="50" w:line="300" w:lineRule="auto"/>
        <w:jc w:val="both"/>
        <w:rPr>
          <w:rFonts w:ascii="Arial" w:hAnsi="Arial" w:eastAsia="宋体" w:cs="Arial"/>
          <w:sz w:val="24"/>
          <w:szCs w:val="24"/>
        </w:rPr>
      </w:pPr>
      <w:r>
        <w:rPr>
          <w:rFonts w:ascii="Arial" w:hAnsi="Arial" w:eastAsia="宋体" w:cs="Arial"/>
          <w:sz w:val="24"/>
          <w:szCs w:val="24"/>
        </w:rPr>
        <w:t>所涉及临床研究的任何申办方的任何股权，其价值不能通过参考公开价格轻易确定。参见第</w:t>
      </w:r>
      <w:r>
        <w:rPr>
          <w:rFonts w:ascii="Arial" w:hAnsi="Arial" w:eastAsia="宋体" w:cs="Arial"/>
          <w:color w:val="0000FF"/>
          <w:sz w:val="24"/>
          <w:szCs w:val="24"/>
          <w:u w:val="single"/>
        </w:rPr>
        <w:t>III.B.3节</w:t>
      </w:r>
      <w:r>
        <w:rPr>
          <w:rFonts w:ascii="Arial" w:hAnsi="Arial" w:eastAsia="宋体" w:cs="Arial"/>
          <w:sz w:val="24"/>
          <w:szCs w:val="24"/>
        </w:rPr>
        <w:t>。</w:t>
      </w:r>
    </w:p>
    <w:p w14:paraId="206AA10D">
      <w:pPr>
        <w:pStyle w:val="50"/>
        <w:numPr>
          <w:ilvl w:val="3"/>
          <w:numId w:val="4"/>
        </w:numPr>
        <w:tabs>
          <w:tab w:val="left" w:pos="1296"/>
        </w:tabs>
        <w:overflowPunct w:val="0"/>
        <w:adjustRightInd w:val="0"/>
        <w:snapToGrid w:val="0"/>
        <w:spacing w:before="0" w:after="50" w:line="300" w:lineRule="auto"/>
        <w:jc w:val="both"/>
        <w:rPr>
          <w:rFonts w:ascii="Arial" w:hAnsi="Arial" w:eastAsia="宋体" w:cs="Arial"/>
          <w:sz w:val="24"/>
          <w:szCs w:val="24"/>
        </w:rPr>
      </w:pPr>
      <w:r>
        <w:rPr>
          <w:rFonts w:ascii="Arial" w:hAnsi="Arial" w:eastAsia="宋体" w:cs="Arial"/>
          <w:sz w:val="24"/>
          <w:szCs w:val="24"/>
        </w:rPr>
        <w:t>所涉及临床研究的任何申办方的任何股权，若申办方是上市公司且收益超过50,000美元。参见第</w:t>
      </w:r>
      <w:r>
        <w:rPr>
          <w:rFonts w:ascii="Arial" w:hAnsi="Arial" w:eastAsia="宋体" w:cs="Arial"/>
          <w:color w:val="0000FF"/>
          <w:sz w:val="24"/>
          <w:szCs w:val="24"/>
          <w:u w:val="single"/>
        </w:rPr>
        <w:t>III.B.4节</w:t>
      </w:r>
      <w:r>
        <w:rPr>
          <w:rFonts w:ascii="Arial" w:hAnsi="Arial" w:eastAsia="宋体" w:cs="Arial"/>
          <w:sz w:val="24"/>
          <w:szCs w:val="24"/>
        </w:rPr>
        <w:t>和问题</w:t>
      </w:r>
      <w:r>
        <w:rPr>
          <w:rFonts w:ascii="Arial" w:hAnsi="Arial" w:eastAsia="宋体" w:cs="Arial"/>
          <w:color w:val="0000FF"/>
          <w:sz w:val="24"/>
          <w:szCs w:val="24"/>
          <w:u w:val="single"/>
        </w:rPr>
        <w:t>C.2</w:t>
      </w:r>
      <w:r>
        <w:rPr>
          <w:rFonts w:ascii="Arial" w:hAnsi="Arial" w:eastAsia="宋体" w:cs="Arial"/>
          <w:sz w:val="24"/>
          <w:szCs w:val="24"/>
        </w:rPr>
        <w:t>和</w:t>
      </w:r>
      <w:r>
        <w:rPr>
          <w:rFonts w:ascii="Arial" w:hAnsi="Arial" w:eastAsia="宋体" w:cs="Arial"/>
          <w:color w:val="0000FF"/>
          <w:sz w:val="24"/>
          <w:szCs w:val="24"/>
          <w:u w:val="single"/>
        </w:rPr>
        <w:t>C.3</w:t>
      </w:r>
      <w:r>
        <w:rPr>
          <w:rFonts w:ascii="Arial" w:hAnsi="Arial" w:eastAsia="宋体" w:cs="Arial"/>
          <w:sz w:val="24"/>
          <w:szCs w:val="24"/>
        </w:rPr>
        <w:t>。</w:t>
      </w:r>
    </w:p>
    <w:p w14:paraId="62783AE5">
      <w:pPr>
        <w:pStyle w:val="50"/>
        <w:numPr>
          <w:ilvl w:val="3"/>
          <w:numId w:val="4"/>
        </w:numPr>
        <w:shd w:val="clear" w:color="auto" w:fill="auto"/>
        <w:tabs>
          <w:tab w:val="left" w:pos="1296"/>
        </w:tabs>
        <w:overflowPunct w:val="0"/>
        <w:adjustRightInd w:val="0"/>
        <w:snapToGrid w:val="0"/>
        <w:spacing w:before="0" w:after="50" w:line="300" w:lineRule="auto"/>
        <w:jc w:val="both"/>
        <w:rPr>
          <w:rFonts w:ascii="Arial" w:hAnsi="Arial" w:eastAsia="宋体" w:cs="Arial"/>
          <w:sz w:val="24"/>
          <w:szCs w:val="24"/>
        </w:rPr>
      </w:pPr>
      <w:r>
        <w:rPr>
          <w:rFonts w:ascii="Arial" w:hAnsi="Arial" w:eastAsia="宋体" w:cs="Arial"/>
          <w:sz w:val="24"/>
          <w:szCs w:val="24"/>
        </w:rPr>
        <w:t>向研究者或研究机构支付的累积货币价值25,000美元及以上的其他种类的</w:t>
      </w:r>
      <w:r>
        <w:rPr>
          <w:rFonts w:hint="eastAsia" w:ascii="Arial" w:hAnsi="Arial" w:eastAsia="宋体" w:cs="Arial"/>
          <w:sz w:val="24"/>
          <w:szCs w:val="24"/>
        </w:rPr>
        <w:t>巨额款项</w:t>
      </w:r>
      <w:r>
        <w:rPr>
          <w:rFonts w:ascii="Arial" w:hAnsi="Arial" w:eastAsia="宋体" w:cs="Arial"/>
          <w:sz w:val="24"/>
          <w:szCs w:val="24"/>
        </w:rPr>
        <w:t>（SPOOS）。参见第</w:t>
      </w:r>
      <w:r>
        <w:rPr>
          <w:rFonts w:ascii="Arial" w:hAnsi="Arial" w:eastAsia="宋体" w:cs="Arial"/>
          <w:color w:val="0000FF"/>
          <w:sz w:val="24"/>
          <w:szCs w:val="24"/>
          <w:u w:val="single"/>
        </w:rPr>
        <w:t>III.B.5节</w:t>
      </w:r>
      <w:r>
        <w:rPr>
          <w:rFonts w:ascii="Arial" w:hAnsi="Arial" w:eastAsia="宋体" w:cs="Arial"/>
          <w:sz w:val="24"/>
          <w:szCs w:val="24"/>
        </w:rPr>
        <w:t>和问题</w:t>
      </w:r>
      <w:r>
        <w:rPr>
          <w:rFonts w:ascii="Arial" w:hAnsi="Arial" w:eastAsia="宋体" w:cs="Arial"/>
          <w:color w:val="0000FF"/>
          <w:sz w:val="24"/>
          <w:szCs w:val="24"/>
          <w:u w:val="single"/>
        </w:rPr>
        <w:t>C.4</w:t>
      </w:r>
      <w:r>
        <w:rPr>
          <w:rFonts w:ascii="Arial" w:hAnsi="Arial" w:eastAsia="宋体" w:cs="Arial"/>
          <w:sz w:val="24"/>
          <w:szCs w:val="24"/>
        </w:rPr>
        <w:t>，</w:t>
      </w:r>
      <w:r>
        <w:rPr>
          <w:rFonts w:ascii="Arial" w:hAnsi="Arial" w:eastAsia="宋体" w:cs="Arial"/>
          <w:color w:val="0000FF"/>
          <w:sz w:val="24"/>
          <w:szCs w:val="24"/>
          <w:u w:val="single"/>
        </w:rPr>
        <w:t>C.5</w:t>
      </w:r>
      <w:r>
        <w:rPr>
          <w:rFonts w:ascii="Arial" w:hAnsi="Arial" w:eastAsia="宋体" w:cs="Arial"/>
          <w:sz w:val="24"/>
          <w:szCs w:val="24"/>
        </w:rPr>
        <w:t>和</w:t>
      </w:r>
      <w:r>
        <w:rPr>
          <w:rFonts w:ascii="Arial" w:hAnsi="Arial" w:eastAsia="宋体" w:cs="Arial"/>
          <w:color w:val="0000FF"/>
          <w:sz w:val="24"/>
          <w:szCs w:val="24"/>
          <w:u w:val="single"/>
        </w:rPr>
        <w:t>C.6</w:t>
      </w:r>
      <w:r>
        <w:rPr>
          <w:rFonts w:ascii="Arial" w:hAnsi="Arial" w:eastAsia="宋体" w:cs="Arial"/>
          <w:sz w:val="24"/>
          <w:szCs w:val="24"/>
        </w:rPr>
        <w:t>。</w:t>
      </w:r>
    </w:p>
    <w:p w14:paraId="2D3672C3">
      <w:pPr>
        <w:pStyle w:val="50"/>
        <w:numPr>
          <w:ilvl w:val="2"/>
          <w:numId w:val="4"/>
        </w:numPr>
        <w:overflowPunct w:val="0"/>
        <w:adjustRightInd w:val="0"/>
        <w:snapToGrid w:val="0"/>
        <w:spacing w:before="0" w:after="50" w:line="300" w:lineRule="auto"/>
        <w:ind w:left="1004"/>
        <w:jc w:val="both"/>
        <w:rPr>
          <w:rFonts w:ascii="Arial" w:hAnsi="Arial" w:eastAsia="宋体" w:cs="Arial"/>
          <w:sz w:val="24"/>
          <w:szCs w:val="24"/>
        </w:rPr>
      </w:pPr>
      <w:r>
        <w:rPr>
          <w:rFonts w:ascii="Arial" w:hAnsi="Arial" w:eastAsia="宋体" w:cs="Arial"/>
          <w:bCs/>
          <w:sz w:val="24"/>
          <w:szCs w:val="24"/>
        </w:rPr>
        <w:t>提醒研究者有义务在研究过程中和研究完成后一年内在财务披露信息发生相关变化时进行及时更新。参见问题</w:t>
      </w:r>
      <w:r>
        <w:rPr>
          <w:rFonts w:ascii="Arial" w:hAnsi="Arial" w:eastAsia="宋体" w:cs="Arial"/>
          <w:color w:val="0000FF"/>
          <w:sz w:val="24"/>
          <w:szCs w:val="24"/>
          <w:u w:val="single"/>
        </w:rPr>
        <w:t>C.2</w:t>
      </w:r>
      <w:r>
        <w:rPr>
          <w:rFonts w:ascii="Arial" w:hAnsi="Arial" w:eastAsia="宋体" w:cs="Arial"/>
          <w:bCs/>
          <w:sz w:val="24"/>
          <w:szCs w:val="24"/>
        </w:rPr>
        <w:t>和</w:t>
      </w:r>
      <w:r>
        <w:rPr>
          <w:rFonts w:ascii="Arial" w:hAnsi="Arial" w:eastAsia="宋体" w:cs="Arial"/>
          <w:color w:val="0000FF"/>
          <w:sz w:val="24"/>
          <w:szCs w:val="24"/>
          <w:u w:val="single"/>
        </w:rPr>
        <w:t>D.6</w:t>
      </w:r>
      <w:r>
        <w:rPr>
          <w:rFonts w:ascii="Arial" w:hAnsi="Arial" w:eastAsia="宋体" w:cs="Arial"/>
          <w:bCs/>
          <w:sz w:val="24"/>
          <w:szCs w:val="24"/>
        </w:rPr>
        <w:t>。</w:t>
      </w:r>
    </w:p>
    <w:p w14:paraId="564E4CAA">
      <w:pPr>
        <w:pStyle w:val="44"/>
        <w:pBdr>
          <w:top w:val="single" w:color="auto" w:sz="18" w:space="1"/>
        </w:pBdr>
        <w:shd w:val="clear" w:color="auto" w:fill="auto"/>
        <w:overflowPunct w:val="0"/>
        <w:snapToGrid w:val="0"/>
        <w:spacing w:after="0" w:line="300" w:lineRule="auto"/>
        <w:jc w:val="center"/>
        <w:rPr>
          <w:rFonts w:hint="eastAsia" w:eastAsia="宋体"/>
          <w:lang w:eastAsia="zh-CN"/>
        </w:rPr>
      </w:pPr>
    </w:p>
    <w:p w14:paraId="739A1391">
      <w:pPr>
        <w:pStyle w:val="44"/>
        <w:pBdr>
          <w:top w:val="single" w:color="auto" w:sz="18" w:space="1"/>
        </w:pBdr>
        <w:shd w:val="clear" w:color="auto" w:fill="auto"/>
        <w:overflowPunct w:val="0"/>
        <w:snapToGrid w:val="0"/>
        <w:spacing w:after="0" w:line="300" w:lineRule="auto"/>
        <w:jc w:val="center"/>
        <w:rPr>
          <w:rFonts w:hint="eastAsia" w:eastAsia="宋体"/>
          <w:lang w:eastAsia="zh-CN"/>
        </w:rPr>
      </w:pPr>
    </w:p>
    <w:p w14:paraId="15804593">
      <w:pPr>
        <w:pStyle w:val="44"/>
        <w:pBdr>
          <w:top w:val="single" w:color="auto" w:sz="18" w:space="1"/>
        </w:pBdr>
        <w:shd w:val="clear" w:color="auto" w:fill="auto"/>
        <w:overflowPunct w:val="0"/>
        <w:snapToGrid w:val="0"/>
        <w:spacing w:after="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6" w:type="default"/>
      <w:footerReference r:id="rId7" w:type="default"/>
      <w:pgSz w:w="11906" w:h="16838"/>
      <w:pgMar w:top="1440" w:right="1800" w:bottom="1440" w:left="1800" w:header="851" w:footer="425"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753676003"/>
      <w:docPartObj>
        <w:docPartGallery w:val="AutoText"/>
      </w:docPartObj>
    </w:sdtPr>
    <w:sdtEndPr>
      <w:rPr>
        <w:rFonts w:ascii="Arial" w:hAnsi="Arial" w:cs="Arial"/>
        <w:sz w:val="21"/>
        <w:szCs w:val="21"/>
      </w:rPr>
    </w:sdtEndPr>
    <w:sdtContent>
      <w:p w14:paraId="265CD74E">
        <w:pPr>
          <w:pStyle w:val="15"/>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Pr>
            <w:rFonts w:ascii="Arial" w:hAnsi="Arial" w:cs="Arial"/>
            <w:sz w:val="21"/>
            <w:szCs w:val="21"/>
            <w:lang w:val="zh-CN"/>
          </w:rPr>
          <w:t>32</w:t>
        </w:r>
        <w:r>
          <w:rPr>
            <w:rFonts w:ascii="Arial" w:hAnsi="Arial" w:cs="Arial"/>
            <w:sz w:val="21"/>
            <w:szCs w:val="21"/>
            <w:lang w:val="zh-CN"/>
          </w:rPr>
          <w:fldChar w:fldCharType="end"/>
        </w:r>
      </w:p>
    </w:sdtContent>
  </w:sdt>
  <w:p w14:paraId="72A46647">
    <w:pPr>
      <w:pStyle w:val="15"/>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4">
    <w:p>
      <w:pPr>
        <w:spacing w:before="0" w:after="0" w:line="259" w:lineRule="auto"/>
      </w:pPr>
      <w:r>
        <w:separator/>
      </w:r>
    </w:p>
  </w:footnote>
  <w:footnote w:type="continuationSeparator" w:id="55">
    <w:p>
      <w:pPr>
        <w:spacing w:before="0" w:after="0" w:line="259" w:lineRule="auto"/>
      </w:pPr>
      <w:r>
        <w:continuationSeparator/>
      </w:r>
    </w:p>
  </w:footnote>
  <w:footnote w:id="0">
    <w:p w14:paraId="02D191CF">
      <w:pPr>
        <w:pStyle w:val="17"/>
        <w:spacing w:after="0" w:line="300" w:lineRule="auto"/>
        <w:jc w:val="both"/>
        <w:rPr>
          <w:rFonts w:ascii="Arial" w:hAnsi="Arial" w:eastAsia="宋体" w:cs="Arial"/>
        </w:rPr>
      </w:pPr>
      <w:r>
        <w:rPr>
          <w:rStyle w:val="24"/>
          <w:rFonts w:ascii="Arial" w:hAnsi="Arial" w:eastAsia="宋体" w:cs="Arial"/>
        </w:rPr>
        <w:footnoteRef/>
      </w:r>
      <w:r>
        <w:rPr>
          <w:rFonts w:ascii="Arial" w:hAnsi="Arial" w:eastAsia="宋体" w:cs="Arial"/>
        </w:rPr>
        <w:t xml:space="preserve"> 该修订版指南由理事办公室起草，由药物评估和研究中心（CDER）、生物制品评估和研究中心（CBER）和器械与放射卫生中心（CDRH）提供。</w:t>
      </w:r>
    </w:p>
  </w:footnote>
  <w:footnote w:id="1">
    <w:p w14:paraId="7BD2B6A7">
      <w:pPr>
        <w:pStyle w:val="17"/>
        <w:spacing w:after="0" w:line="300" w:lineRule="auto"/>
        <w:jc w:val="both"/>
        <w:rPr>
          <w:rFonts w:ascii="Arial" w:hAnsi="Arial" w:eastAsia="宋体" w:cs="Arial"/>
        </w:rPr>
      </w:pPr>
      <w:r>
        <w:rPr>
          <w:rStyle w:val="24"/>
          <w:rFonts w:ascii="Arial" w:hAnsi="Arial" w:eastAsia="宋体" w:cs="Arial"/>
        </w:rPr>
        <w:footnoteRef/>
      </w:r>
      <w:r>
        <w:rPr>
          <w:rFonts w:ascii="Arial" w:hAnsi="Arial" w:eastAsia="宋体" w:cs="Arial"/>
        </w:rPr>
        <w:t xml:space="preserve"> OIG报告可见于</w:t>
      </w:r>
      <w:r>
        <w:rPr>
          <w:rFonts w:ascii="Arial" w:hAnsi="Arial" w:eastAsia="宋体" w:cs="Arial"/>
          <w:color w:val="0000FF"/>
          <w:u w:val="single"/>
        </w:rPr>
        <w:t>http://oig.hhs.gov/oei/reports/oei-05-07-00730.pdf</w:t>
      </w:r>
      <w:r>
        <w:rPr>
          <w:rFonts w:ascii="Arial" w:hAnsi="Arial" w:eastAsia="宋体" w:cs="Arial"/>
        </w:rPr>
        <w:t>。</w:t>
      </w:r>
    </w:p>
  </w:footnote>
  <w:footnote w:id="2">
    <w:p w14:paraId="6CC1CEF0">
      <w:pPr>
        <w:pStyle w:val="17"/>
        <w:spacing w:after="0" w:line="300" w:lineRule="auto"/>
        <w:jc w:val="both"/>
        <w:rPr>
          <w:rFonts w:ascii="Arial" w:hAnsi="Arial" w:eastAsia="宋体" w:cs="Arial"/>
        </w:rPr>
      </w:pPr>
      <w:r>
        <w:rPr>
          <w:rStyle w:val="24"/>
          <w:rFonts w:ascii="Arial" w:hAnsi="Arial" w:eastAsia="宋体" w:cs="Arial"/>
        </w:rPr>
        <w:footnoteRef/>
      </w:r>
      <w:r>
        <w:rPr>
          <w:rFonts w:ascii="Arial" w:hAnsi="Arial" w:eastAsia="宋体" w:cs="Arial"/>
        </w:rPr>
        <w:t xml:space="preserve"> 21 CFR 第 54</w:t>
      </w:r>
      <w:r>
        <w:rPr>
          <w:rFonts w:hint="eastAsia" w:ascii="Arial" w:hAnsi="Arial" w:eastAsia="宋体" w:cs="Arial"/>
        </w:rPr>
        <w:t>、</w:t>
      </w:r>
      <w:r>
        <w:rPr>
          <w:rFonts w:ascii="Arial" w:hAnsi="Arial" w:eastAsia="宋体" w:cs="Arial"/>
        </w:rPr>
        <w:t>312</w:t>
      </w:r>
      <w:r>
        <w:rPr>
          <w:rFonts w:hint="eastAsia" w:ascii="Arial" w:hAnsi="Arial" w:eastAsia="宋体" w:cs="Arial"/>
        </w:rPr>
        <w:t>、</w:t>
      </w:r>
      <w:r>
        <w:rPr>
          <w:rFonts w:ascii="Arial" w:hAnsi="Arial" w:eastAsia="宋体" w:cs="Arial"/>
        </w:rPr>
        <w:t>314</w:t>
      </w:r>
      <w:r>
        <w:rPr>
          <w:rFonts w:hint="eastAsia" w:ascii="Arial" w:hAnsi="Arial" w:eastAsia="宋体" w:cs="Arial"/>
        </w:rPr>
        <w:t>、</w:t>
      </w:r>
      <w:r>
        <w:rPr>
          <w:rFonts w:ascii="Arial" w:hAnsi="Arial" w:eastAsia="宋体" w:cs="Arial"/>
        </w:rPr>
        <w:t>320</w:t>
      </w:r>
      <w:r>
        <w:rPr>
          <w:rFonts w:hint="eastAsia" w:ascii="Arial" w:hAnsi="Arial" w:eastAsia="宋体" w:cs="Arial"/>
        </w:rPr>
        <w:t>、</w:t>
      </w:r>
      <w:r>
        <w:rPr>
          <w:rFonts w:ascii="Arial" w:hAnsi="Arial" w:eastAsia="宋体" w:cs="Arial"/>
        </w:rPr>
        <w:t>330</w:t>
      </w:r>
      <w:r>
        <w:rPr>
          <w:rFonts w:hint="eastAsia" w:ascii="Arial" w:hAnsi="Arial" w:eastAsia="宋体" w:cs="Arial"/>
        </w:rPr>
        <w:t>、</w:t>
      </w:r>
      <w:r>
        <w:rPr>
          <w:rFonts w:ascii="Arial" w:hAnsi="Arial" w:eastAsia="宋体" w:cs="Arial"/>
        </w:rPr>
        <w:t>601</w:t>
      </w:r>
      <w:r>
        <w:rPr>
          <w:rFonts w:hint="eastAsia" w:ascii="Arial" w:hAnsi="Arial" w:eastAsia="宋体" w:cs="Arial"/>
        </w:rPr>
        <w:t>、</w:t>
      </w:r>
      <w:r>
        <w:rPr>
          <w:rFonts w:ascii="Arial" w:hAnsi="Arial" w:eastAsia="宋体" w:cs="Arial"/>
        </w:rPr>
        <w:t>807</w:t>
      </w:r>
      <w:r>
        <w:rPr>
          <w:rFonts w:hint="eastAsia" w:ascii="Arial" w:hAnsi="Arial" w:eastAsia="宋体" w:cs="Arial"/>
        </w:rPr>
        <w:t>、</w:t>
      </w:r>
      <w:r>
        <w:rPr>
          <w:rFonts w:ascii="Arial" w:hAnsi="Arial" w:eastAsia="宋体" w:cs="Arial"/>
        </w:rPr>
        <w:t>812</w:t>
      </w:r>
      <w:r>
        <w:rPr>
          <w:rFonts w:hint="eastAsia" w:ascii="Arial" w:hAnsi="Arial" w:eastAsia="宋体" w:cs="Arial"/>
        </w:rPr>
        <w:t>、</w:t>
      </w:r>
      <w:r>
        <w:rPr>
          <w:rFonts w:ascii="Arial" w:hAnsi="Arial" w:eastAsia="宋体" w:cs="Arial"/>
        </w:rPr>
        <w:t>814和860</w:t>
      </w:r>
      <w:r>
        <w:rPr>
          <w:rFonts w:hint="eastAsia" w:ascii="Arial" w:hAnsi="Arial" w:eastAsia="宋体" w:cs="Arial"/>
        </w:rPr>
        <w:t>部分</w:t>
      </w:r>
    </w:p>
  </w:footnote>
  <w:footnote w:id="3">
    <w:p w14:paraId="2E8D1770">
      <w:pPr>
        <w:pStyle w:val="17"/>
        <w:spacing w:after="0" w:line="300" w:lineRule="auto"/>
        <w:jc w:val="both"/>
        <w:rPr>
          <w:rFonts w:ascii="Arial" w:hAnsi="Arial" w:eastAsia="宋体" w:cs="Arial"/>
        </w:rPr>
      </w:pPr>
      <w:r>
        <w:rPr>
          <w:rStyle w:val="24"/>
          <w:rFonts w:ascii="Arial" w:hAnsi="Arial" w:eastAsia="宋体" w:cs="Arial"/>
        </w:rPr>
        <w:footnoteRef/>
      </w:r>
      <w:r>
        <w:rPr>
          <w:rFonts w:ascii="Arial" w:hAnsi="Arial" w:eastAsia="宋体" w:cs="Arial"/>
        </w:rPr>
        <w:t xml:space="preserve"> 这些是对于在1999年2月2日第54</w:t>
      </w:r>
      <w:r>
        <w:rPr>
          <w:rFonts w:hint="eastAsia" w:ascii="Arial" w:hAnsi="Arial" w:eastAsia="宋体" w:cs="Arial"/>
        </w:rPr>
        <w:t>部分</w:t>
      </w:r>
      <w:r>
        <w:rPr>
          <w:rFonts w:ascii="Arial" w:hAnsi="Arial" w:eastAsia="宋体" w:cs="Arial"/>
        </w:rPr>
        <w:t>条例生效之日起或之后启动的研究的要求。对于此前的研究，披露要求根据截止至该条例生效之日的研究状况而有所不同。对于1999年2月2日之前完成的研究，需披露第1至3段所述的财务利益和协议；截止日为1999年2月2日的研究，需披露第1至4段所述的财务利益和协议；以及在1999年2月2日或之后进行的研究需披露第5段所述的付款。（见</w:t>
      </w:r>
      <w:r>
        <w:rPr>
          <w:rFonts w:ascii="Arial" w:hAnsi="Arial" w:eastAsia="宋体" w:cs="Arial"/>
          <w:i/>
        </w:rPr>
        <w:t>联邦公报</w:t>
      </w:r>
      <w:r>
        <w:rPr>
          <w:rFonts w:ascii="Arial" w:hAnsi="Arial" w:eastAsia="宋体" w:cs="Arial"/>
        </w:rPr>
        <w:t xml:space="preserve">， </w:t>
      </w:r>
      <w:r>
        <w:rPr>
          <w:rFonts w:hint="eastAsia" w:ascii="Arial" w:hAnsi="Arial" w:eastAsia="宋体" w:cs="Arial"/>
        </w:rPr>
        <w:t>第</w:t>
      </w:r>
      <w:r>
        <w:rPr>
          <w:rFonts w:ascii="Arial" w:hAnsi="Arial" w:eastAsia="宋体" w:cs="Arial"/>
        </w:rPr>
        <w:t>63</w:t>
      </w:r>
      <w:r>
        <w:rPr>
          <w:rFonts w:hint="eastAsia" w:ascii="Arial" w:hAnsi="Arial" w:eastAsia="宋体" w:cs="Arial"/>
        </w:rPr>
        <w:t>卷</w:t>
      </w:r>
      <w:r>
        <w:rPr>
          <w:rFonts w:ascii="Arial" w:hAnsi="Arial" w:eastAsia="宋体" w:cs="Arial"/>
        </w:rPr>
        <w:t>，1998年12月31日，第72172-3页。）</w:t>
      </w:r>
    </w:p>
  </w:footnote>
  <w:footnote w:id="4">
    <w:p w14:paraId="63FB550B">
      <w:pPr>
        <w:pStyle w:val="17"/>
        <w:spacing w:after="0" w:line="300" w:lineRule="auto"/>
        <w:jc w:val="both"/>
        <w:rPr>
          <w:rFonts w:ascii="Arial" w:hAnsi="Arial" w:eastAsia="宋体" w:cs="Arial"/>
        </w:rPr>
      </w:pPr>
      <w:r>
        <w:rPr>
          <w:rStyle w:val="24"/>
          <w:rFonts w:ascii="Arial" w:hAnsi="Arial" w:eastAsia="宋体" w:cs="Arial"/>
        </w:rPr>
        <w:footnoteRef/>
      </w:r>
      <w:r>
        <w:rPr>
          <w:rFonts w:ascii="Arial" w:hAnsi="Arial" w:eastAsia="宋体" w:cs="Arial"/>
        </w:rPr>
        <w:t xml:space="preserve"> 监察长办公室（OIG），卫生</w:t>
      </w:r>
      <w:r>
        <w:rPr>
          <w:rFonts w:hint="eastAsia" w:ascii="Arial" w:hAnsi="Arial" w:eastAsia="宋体" w:cs="Arial"/>
        </w:rPr>
        <w:t>与公众</w:t>
      </w:r>
      <w:r>
        <w:rPr>
          <w:rFonts w:ascii="Arial" w:hAnsi="Arial" w:eastAsia="宋体" w:cs="Arial"/>
        </w:rPr>
        <w:t>服务部（DHHS），管理咨询报告 – 向FDA申请上市批准的临床研究者与研究申办者的财务牵连，1991年6月，OI-HQ-91-003。</w:t>
      </w:r>
    </w:p>
  </w:footnote>
  <w:footnote w:id="5">
    <w:p w14:paraId="72D62079">
      <w:pPr>
        <w:pStyle w:val="17"/>
        <w:spacing w:after="0" w:line="300" w:lineRule="auto"/>
        <w:jc w:val="both"/>
        <w:rPr>
          <w:rFonts w:ascii="Arial" w:hAnsi="Arial" w:eastAsia="宋体" w:cs="Arial"/>
        </w:rPr>
      </w:pPr>
      <w:r>
        <w:rPr>
          <w:rStyle w:val="24"/>
          <w:rFonts w:ascii="Arial" w:hAnsi="Arial" w:eastAsia="宋体" w:cs="Arial"/>
        </w:rPr>
        <w:footnoteRef/>
      </w:r>
      <w:r>
        <w:rPr>
          <w:rFonts w:ascii="Arial" w:hAnsi="Arial" w:eastAsia="宋体" w:cs="Arial"/>
        </w:rPr>
        <w:t xml:space="preserve"> 在联邦公报上发表的最终法规。第63卷，1998年2月2日，第5233-5254页。该引述见于第5235页。</w:t>
      </w:r>
    </w:p>
  </w:footnote>
  <w:footnote w:id="6">
    <w:p w14:paraId="06B74CB3">
      <w:pPr>
        <w:pStyle w:val="17"/>
        <w:spacing w:after="0" w:line="300" w:lineRule="auto"/>
        <w:jc w:val="both"/>
        <w:rPr>
          <w:rFonts w:ascii="Arial" w:hAnsi="Arial" w:eastAsia="宋体" w:cs="Arial"/>
        </w:rPr>
      </w:pPr>
      <w:r>
        <w:rPr>
          <w:rStyle w:val="24"/>
          <w:rFonts w:ascii="Arial" w:hAnsi="Arial" w:eastAsia="宋体" w:cs="Arial"/>
        </w:rPr>
        <w:footnoteRef/>
      </w:r>
      <w:r>
        <w:rPr>
          <w:rFonts w:ascii="Arial" w:hAnsi="Arial" w:eastAsia="宋体" w:cs="Arial"/>
        </w:rPr>
        <w:t xml:space="preserve"> 21 CFR §§ 312.53（c）（4），812.20（b）（5</w:t>
      </w:r>
      <w:r>
        <w:rPr>
          <w:rFonts w:hint="eastAsia" w:ascii="Arial" w:hAnsi="Arial" w:eastAsia="宋体" w:cs="Arial"/>
        </w:rPr>
        <w:t>）</w:t>
      </w:r>
      <w:r>
        <w:rPr>
          <w:rFonts w:ascii="Arial" w:hAnsi="Arial" w:eastAsia="宋体" w:cs="Arial"/>
        </w:rPr>
        <w:t>和812.43（c）</w:t>
      </w:r>
    </w:p>
  </w:footnote>
  <w:footnote w:id="7">
    <w:p w14:paraId="28CB5424">
      <w:pPr>
        <w:pStyle w:val="17"/>
        <w:spacing w:after="0" w:line="300" w:lineRule="auto"/>
        <w:jc w:val="both"/>
        <w:rPr>
          <w:rFonts w:ascii="Arial" w:hAnsi="Arial" w:eastAsia="宋体" w:cs="Arial"/>
        </w:rPr>
      </w:pPr>
      <w:r>
        <w:rPr>
          <w:rStyle w:val="24"/>
          <w:rFonts w:ascii="Arial" w:hAnsi="Arial" w:eastAsia="宋体" w:cs="Arial"/>
        </w:rPr>
        <w:footnoteRef/>
      </w:r>
      <w:r>
        <w:rPr>
          <w:rFonts w:ascii="Arial" w:hAnsi="Arial" w:eastAsia="宋体" w:cs="Arial"/>
        </w:rPr>
        <w:t xml:space="preserve"> 作为替代方案，对于每名需披露信息的临床研究者各自的FDA 3455表，申请人可以提交一份单独的FDA 3455表，在附件中清楚地确定所有需披露信息的临床研究者，对于每名研究者，说明研究的情况，</w:t>
      </w:r>
      <w:r>
        <w:rPr>
          <w:rFonts w:hint="eastAsia" w:ascii="Arial" w:hAnsi="Arial" w:eastAsia="宋体" w:cs="Arial"/>
        </w:rPr>
        <w:t>其</w:t>
      </w:r>
      <w:r>
        <w:rPr>
          <w:rFonts w:ascii="Arial" w:hAnsi="Arial" w:eastAsia="宋体" w:cs="Arial"/>
        </w:rPr>
        <w:t>经济利益和协议的具体细节以及为使潜在偏倚的最小化而采取的措施。有关替代格式的问题，申请人应联系指定的中心代表，请见</w:t>
      </w:r>
      <w:r>
        <w:rPr>
          <w:rFonts w:ascii="Arial" w:hAnsi="Arial" w:eastAsia="宋体" w:cs="Arial"/>
          <w:color w:val="0000FF"/>
          <w:u w:val="single"/>
        </w:rPr>
        <w:t>问题K.1</w:t>
      </w:r>
      <w:r>
        <w:rPr>
          <w:rFonts w:ascii="Arial" w:hAnsi="Arial" w:eastAsia="宋体" w:cs="Arial"/>
        </w:rPr>
        <w:t>。</w:t>
      </w:r>
    </w:p>
  </w:footnote>
  <w:footnote w:id="8">
    <w:p w14:paraId="1292FBDB">
      <w:pPr>
        <w:pStyle w:val="50"/>
        <w:shd w:val="clear" w:color="auto" w:fill="auto"/>
        <w:overflowPunct w:val="0"/>
        <w:adjustRightInd w:val="0"/>
        <w:snapToGrid w:val="0"/>
        <w:spacing w:before="0" w:after="0" w:line="300" w:lineRule="auto"/>
        <w:ind w:firstLine="0"/>
        <w:jc w:val="both"/>
        <w:rPr>
          <w:rFonts w:ascii="Arial" w:hAnsi="Arial" w:eastAsia="宋体" w:cs="Arial"/>
          <w:sz w:val="18"/>
          <w:szCs w:val="18"/>
        </w:rPr>
      </w:pPr>
      <w:r>
        <w:rPr>
          <w:rStyle w:val="24"/>
          <w:rFonts w:ascii="Arial" w:hAnsi="Arial" w:eastAsia="宋体" w:cs="Arial"/>
          <w:sz w:val="18"/>
          <w:szCs w:val="18"/>
        </w:rPr>
        <w:footnoteRef/>
      </w:r>
      <w:r>
        <w:rPr>
          <w:rFonts w:ascii="Arial" w:hAnsi="Arial" w:eastAsia="宋体" w:cs="Arial"/>
          <w:sz w:val="18"/>
          <w:szCs w:val="18"/>
        </w:rPr>
        <w:t xml:space="preserve"> 新药、生物制品或抗生素类药物用于人体的上市申请，请见于：</w:t>
      </w:r>
    </w:p>
    <w:p w14:paraId="67C66523">
      <w:pPr>
        <w:pStyle w:val="17"/>
        <w:spacing w:after="0" w:line="300" w:lineRule="auto"/>
        <w:jc w:val="both"/>
        <w:rPr>
          <w:rFonts w:ascii="Arial" w:hAnsi="Arial" w:eastAsia="宋体" w:cs="Arial"/>
        </w:rPr>
      </w:pPr>
      <w:r>
        <w:fldChar w:fldCharType="begin"/>
      </w:r>
      <w:r>
        <w:instrText xml:space="preserve"> HYPERLINK "http://www.fda.gov/downloads/AboutFDA/ReportsManualsForms/Forms/UCM082348.pdf" </w:instrText>
      </w:r>
      <w:r>
        <w:fldChar w:fldCharType="separate"/>
      </w:r>
      <w:r>
        <w:rPr>
          <w:rStyle w:val="23"/>
          <w:rFonts w:ascii="Arial" w:hAnsi="Arial" w:eastAsia="宋体" w:cs="Arial"/>
          <w:color w:val="0000FF"/>
        </w:rPr>
        <w:t>http://www.fda.gov/downloads/AboutFDA/ReportsManualsForms/Forms/UCM082348.pdf</w:t>
      </w:r>
      <w:r>
        <w:rPr>
          <w:rStyle w:val="23"/>
          <w:rFonts w:ascii="Arial" w:hAnsi="Arial" w:eastAsia="宋体" w:cs="Arial"/>
          <w:color w:val="0000FF"/>
        </w:rPr>
        <w:fldChar w:fldCharType="end"/>
      </w:r>
      <w:r>
        <w:rPr>
          <w:rFonts w:ascii="Arial" w:hAnsi="Arial" w:eastAsia="宋体" w:cs="Arial"/>
          <w:color w:val="0000FF"/>
        </w:rPr>
        <w:t>.</w:t>
      </w:r>
    </w:p>
  </w:footnote>
  <w:footnote w:id="9">
    <w:p w14:paraId="24BB1E06">
      <w:pPr>
        <w:pStyle w:val="50"/>
        <w:shd w:val="clear" w:color="auto" w:fill="auto"/>
        <w:overflowPunct w:val="0"/>
        <w:adjustRightInd w:val="0"/>
        <w:snapToGrid w:val="0"/>
        <w:spacing w:before="0" w:after="0" w:line="300" w:lineRule="auto"/>
        <w:ind w:firstLine="0"/>
        <w:jc w:val="both"/>
        <w:rPr>
          <w:rFonts w:ascii="Arial" w:hAnsi="Arial" w:eastAsia="宋体" w:cs="Arial"/>
          <w:sz w:val="18"/>
          <w:szCs w:val="18"/>
        </w:rPr>
      </w:pPr>
      <w:r>
        <w:rPr>
          <w:rStyle w:val="24"/>
          <w:rFonts w:ascii="Arial" w:hAnsi="Arial" w:eastAsia="宋体" w:cs="Arial"/>
          <w:sz w:val="18"/>
          <w:szCs w:val="18"/>
        </w:rPr>
        <w:footnoteRef/>
      </w:r>
      <w:r>
        <w:rPr>
          <w:rFonts w:ascii="Arial" w:hAnsi="Arial" w:eastAsia="宋体" w:cs="Arial"/>
          <w:sz w:val="18"/>
          <w:szCs w:val="18"/>
        </w:rPr>
        <w:t xml:space="preserve"> eCTD主干文件规范，模块1，请见于：</w:t>
      </w:r>
    </w:p>
    <w:p w14:paraId="33A28902">
      <w:pPr>
        <w:pStyle w:val="17"/>
        <w:spacing w:after="0" w:line="300" w:lineRule="auto"/>
        <w:jc w:val="both"/>
        <w:rPr>
          <w:rFonts w:ascii="Arial" w:hAnsi="Arial" w:eastAsia="宋体" w:cs="Arial"/>
        </w:rPr>
      </w:pPr>
      <w:r>
        <w:fldChar w:fldCharType="begin"/>
      </w:r>
      <w:r>
        <w:instrText xml:space="preserve"> HYPERLINK "http://www.fda.gov/downloads/Drugs/DevelopmentApprovalProcess/FormsSubmissionRequirements/ElectronicSubmissions/UCM163552.pdf" </w:instrText>
      </w:r>
      <w:r>
        <w:fldChar w:fldCharType="separate"/>
      </w:r>
      <w:r>
        <w:rPr>
          <w:rStyle w:val="23"/>
          <w:rFonts w:ascii="Arial" w:hAnsi="Arial" w:eastAsia="宋体" w:cs="Arial"/>
          <w:color w:val="0000FF"/>
        </w:rPr>
        <w:t>http://www.fda.gov/downloads/Drugs/DevelopmentApprovalProcess/FormsSubmissionRequirements/ElectronicSub</w:t>
      </w:r>
      <w:r>
        <w:rPr>
          <w:rStyle w:val="23"/>
          <w:rFonts w:ascii="Arial" w:hAnsi="Arial" w:eastAsia="宋体" w:cs="Arial"/>
          <w:color w:val="0000FF"/>
        </w:rPr>
        <w:fldChar w:fldCharType="end"/>
      </w:r>
      <w:r>
        <w:fldChar w:fldCharType="begin"/>
      </w:r>
      <w:r>
        <w:instrText xml:space="preserve"> HYPERLINK "http://www.fda.gov/downloads/Drugs/DevelopmentApprovalProcess/FormsSubmissionRequirements/ElectronicSubmissions/UCM163552.pdf" </w:instrText>
      </w:r>
      <w:r>
        <w:fldChar w:fldCharType="separate"/>
      </w:r>
      <w:r>
        <w:rPr>
          <w:rStyle w:val="23"/>
          <w:rFonts w:ascii="Arial" w:hAnsi="Arial" w:eastAsia="宋体" w:cs="Arial"/>
          <w:color w:val="0000FF"/>
        </w:rPr>
        <w:t>missions/UCM163552.pdf</w:t>
      </w:r>
      <w:r>
        <w:rPr>
          <w:rStyle w:val="23"/>
          <w:rFonts w:ascii="Arial" w:hAnsi="Arial" w:eastAsia="宋体" w:cs="Arial"/>
          <w:color w:val="0000FF"/>
        </w:rPr>
        <w:fldChar w:fldCharType="end"/>
      </w:r>
      <w:r>
        <w:rPr>
          <w:rFonts w:ascii="Arial" w:hAnsi="Arial" w:eastAsia="宋体" w:cs="Arial"/>
        </w:rPr>
        <w:t>.</w:t>
      </w:r>
    </w:p>
  </w:footnote>
  <w:footnote w:id="10">
    <w:p w14:paraId="0021CA4A">
      <w:pPr>
        <w:pStyle w:val="56"/>
        <w:shd w:val="clear" w:color="auto" w:fill="auto"/>
        <w:overflowPunct w:val="0"/>
        <w:adjustRightInd w:val="0"/>
        <w:snapToGrid w:val="0"/>
        <w:spacing w:after="0" w:line="300" w:lineRule="auto"/>
        <w:rPr>
          <w:rFonts w:ascii="Arial" w:hAnsi="Arial" w:eastAsia="宋体" w:cs="Arial"/>
          <w:sz w:val="18"/>
          <w:szCs w:val="18"/>
        </w:rPr>
      </w:pPr>
      <w:r>
        <w:rPr>
          <w:rStyle w:val="24"/>
          <w:rFonts w:ascii="Arial" w:hAnsi="Arial" w:eastAsia="宋体" w:cs="Arial"/>
          <w:sz w:val="18"/>
          <w:szCs w:val="18"/>
        </w:rPr>
        <w:footnoteRef/>
      </w:r>
      <w:r>
        <w:rPr>
          <w:rFonts w:ascii="Arial" w:hAnsi="Arial" w:eastAsia="宋体" w:cs="Arial"/>
          <w:sz w:val="18"/>
          <w:szCs w:val="18"/>
        </w:rPr>
        <w:t xml:space="preserve"> 上市前通告提交，请参见</w:t>
      </w:r>
      <w:r>
        <w:rPr>
          <w:rFonts w:ascii="宋体" w:hAnsi="宋体" w:eastAsia="宋体" w:cs="Arial"/>
          <w:sz w:val="18"/>
          <w:szCs w:val="18"/>
        </w:rPr>
        <w:t>“</w:t>
      </w:r>
      <w:r>
        <w:rPr>
          <w:rFonts w:hint="eastAsia" w:ascii="Arial" w:hAnsi="Arial" w:eastAsia="宋体" w:cs="Arial"/>
          <w:sz w:val="18"/>
          <w:szCs w:val="18"/>
        </w:rPr>
        <w:t>行业</w:t>
      </w:r>
      <w:r>
        <w:rPr>
          <w:rFonts w:ascii="Arial" w:hAnsi="Arial" w:eastAsia="宋体" w:cs="Arial"/>
          <w:sz w:val="18"/>
          <w:szCs w:val="18"/>
        </w:rPr>
        <w:t>和FDA工作人员指南：传统和简化的510（k）格式</w:t>
      </w:r>
      <w:r>
        <w:rPr>
          <w:rFonts w:ascii="宋体" w:hAnsi="宋体" w:eastAsia="宋体" w:cs="Arial"/>
          <w:sz w:val="18"/>
          <w:szCs w:val="18"/>
        </w:rPr>
        <w:t>”</w:t>
      </w:r>
      <w:r>
        <w:rPr>
          <w:rFonts w:ascii="Arial" w:hAnsi="Arial" w:eastAsia="宋体" w:cs="Arial"/>
          <w:sz w:val="18"/>
          <w:szCs w:val="18"/>
        </w:rPr>
        <w:t>，可见于：</w:t>
      </w:r>
      <w:r>
        <w:fldChar w:fldCharType="begin"/>
      </w:r>
      <w:r>
        <w:instrText xml:space="preserve"> HYPERLINK "http://www.fda.gov/MedicalDevices/DeviceRegulationandGuidance/GuidanceDocuments/ucm084365.htm" </w:instrText>
      </w:r>
      <w:r>
        <w:fldChar w:fldCharType="separate"/>
      </w:r>
      <w:r>
        <w:rPr>
          <w:rStyle w:val="23"/>
          <w:rFonts w:ascii="Arial" w:hAnsi="Arial" w:eastAsia="宋体" w:cs="Arial"/>
          <w:color w:val="0000FF"/>
          <w:sz w:val="18"/>
          <w:szCs w:val="18"/>
        </w:rPr>
        <w:t>www.fda.gov/MedicalDevices/DeviceRegulationandGuidance/GuidanceDocuments/ucm084365.htm</w:t>
      </w:r>
      <w:r>
        <w:rPr>
          <w:rStyle w:val="23"/>
          <w:rFonts w:ascii="Arial" w:hAnsi="Arial" w:eastAsia="宋体" w:cs="Arial"/>
          <w:color w:val="0000FF"/>
          <w:sz w:val="18"/>
          <w:szCs w:val="18"/>
        </w:rPr>
        <w:fldChar w:fldCharType="end"/>
      </w:r>
      <w:r>
        <w:rPr>
          <w:rFonts w:ascii="Arial" w:hAnsi="Arial" w:eastAsia="宋体" w:cs="Arial"/>
          <w:color w:val="0000FF"/>
          <w:sz w:val="18"/>
          <w:szCs w:val="18"/>
        </w:rPr>
        <w:t>.</w:t>
      </w:r>
    </w:p>
    <w:p w14:paraId="1A95F0BB">
      <w:pPr>
        <w:pStyle w:val="50"/>
        <w:shd w:val="clear" w:color="auto" w:fill="auto"/>
        <w:overflowPunct w:val="0"/>
        <w:adjustRightInd w:val="0"/>
        <w:snapToGrid w:val="0"/>
        <w:spacing w:before="0" w:after="0" w:line="300" w:lineRule="auto"/>
        <w:ind w:firstLine="0"/>
        <w:jc w:val="both"/>
        <w:rPr>
          <w:rFonts w:ascii="Arial" w:hAnsi="Arial" w:eastAsia="宋体" w:cs="Arial"/>
          <w:sz w:val="18"/>
          <w:szCs w:val="18"/>
        </w:rPr>
      </w:pPr>
      <w:r>
        <w:rPr>
          <w:rFonts w:ascii="Arial" w:hAnsi="Arial" w:eastAsia="宋体" w:cs="Arial"/>
          <w:sz w:val="18"/>
          <w:szCs w:val="18"/>
        </w:rPr>
        <w:t>上市前批准提交，请参见</w:t>
      </w:r>
      <w:r>
        <w:rPr>
          <w:rFonts w:ascii="宋体" w:hAnsi="宋体" w:eastAsia="宋体" w:cs="Arial"/>
          <w:sz w:val="18"/>
          <w:szCs w:val="18"/>
        </w:rPr>
        <w:t>“</w:t>
      </w:r>
      <w:r>
        <w:rPr>
          <w:rFonts w:hint="eastAsia" w:ascii="Arial" w:hAnsi="Arial" w:eastAsia="宋体" w:cs="Arial"/>
          <w:sz w:val="18"/>
          <w:szCs w:val="18"/>
        </w:rPr>
        <w:t>行业</w:t>
      </w:r>
      <w:r>
        <w:rPr>
          <w:rFonts w:ascii="Arial" w:hAnsi="Arial" w:eastAsia="宋体" w:cs="Arial"/>
          <w:sz w:val="18"/>
          <w:szCs w:val="18"/>
        </w:rPr>
        <w:t>和FDA工作人员指南：上市前批准申请的文件审查</w:t>
      </w:r>
      <w:r>
        <w:rPr>
          <w:rFonts w:ascii="宋体" w:hAnsi="宋体" w:eastAsia="宋体" w:cs="Arial"/>
          <w:sz w:val="18"/>
          <w:szCs w:val="18"/>
        </w:rPr>
        <w:t>”</w:t>
      </w:r>
      <w:r>
        <w:rPr>
          <w:rFonts w:ascii="Arial" w:hAnsi="Arial" w:eastAsia="宋体" w:cs="Arial"/>
          <w:sz w:val="18"/>
          <w:szCs w:val="18"/>
        </w:rPr>
        <w:t>，可见于：</w:t>
      </w:r>
    </w:p>
    <w:p w14:paraId="2E3D27EE">
      <w:pPr>
        <w:pStyle w:val="17"/>
        <w:spacing w:after="0" w:line="300" w:lineRule="auto"/>
        <w:jc w:val="both"/>
        <w:rPr>
          <w:rFonts w:ascii="Arial" w:hAnsi="Arial" w:eastAsia="宋体" w:cs="Arial"/>
        </w:rPr>
      </w:pPr>
      <w:r>
        <w:rPr>
          <w:rFonts w:ascii="Arial" w:hAnsi="Arial" w:eastAsia="宋体" w:cs="Arial"/>
          <w:color w:val="0000FF"/>
          <w:u w:val="single"/>
        </w:rPr>
        <w:t>http://www.fda.gov/MedicalDevices/DeviceRegulationandGuidance/GuidanceDocuments/ucm089430.htm</w:t>
      </w:r>
      <w:r>
        <w:rPr>
          <w:rFonts w:ascii="Arial" w:hAnsi="Arial" w:eastAsia="宋体" w:cs="Arial"/>
        </w:rPr>
        <w:t>.</w:t>
      </w:r>
    </w:p>
  </w:footnote>
  <w:footnote w:id="11">
    <w:p w14:paraId="5D1566B0">
      <w:pPr>
        <w:pStyle w:val="17"/>
        <w:spacing w:after="0" w:line="300" w:lineRule="auto"/>
        <w:jc w:val="both"/>
        <w:rPr>
          <w:rFonts w:ascii="Arial" w:hAnsi="Arial" w:eastAsia="宋体" w:cs="Arial"/>
        </w:rPr>
      </w:pPr>
      <w:r>
        <w:rPr>
          <w:rStyle w:val="24"/>
          <w:rFonts w:ascii="Arial" w:hAnsi="Arial" w:eastAsia="宋体" w:cs="Arial"/>
        </w:rPr>
        <w:footnoteRef/>
      </w:r>
      <w:r>
        <w:rPr>
          <w:rFonts w:ascii="Arial" w:hAnsi="Arial" w:eastAsia="宋体" w:cs="Arial"/>
        </w:rPr>
        <w:t xml:space="preserve"> 这些来源包括专利和商标局网站，一旦可用，根据</w:t>
      </w:r>
      <w:r>
        <w:rPr>
          <w:rFonts w:ascii="宋体" w:hAnsi="宋体" w:eastAsia="宋体" w:cs="Arial"/>
        </w:rPr>
        <w:t>“</w:t>
      </w:r>
      <w:r>
        <w:rPr>
          <w:rFonts w:ascii="Arial" w:hAnsi="Arial" w:eastAsia="宋体" w:cs="Arial"/>
        </w:rPr>
        <w:t>患者保护和平价医疗法案</w:t>
      </w:r>
      <w:r>
        <w:rPr>
          <w:rFonts w:ascii="宋体" w:hAnsi="宋体" w:eastAsia="宋体" w:cs="Arial"/>
        </w:rPr>
        <w:t>”</w:t>
      </w:r>
      <w:r>
        <w:rPr>
          <w:rFonts w:ascii="Arial" w:hAnsi="Arial" w:eastAsia="宋体" w:cs="Arial"/>
        </w:rPr>
        <w:t>第6002节的要求，由</w:t>
      </w:r>
      <w:r>
        <w:rPr>
          <w:rFonts w:ascii="宋体" w:hAnsi="宋体" w:eastAsia="宋体" w:cs="Arial"/>
        </w:rPr>
        <w:t>“</w:t>
      </w:r>
      <w:r>
        <w:rPr>
          <w:rFonts w:ascii="Arial" w:hAnsi="Arial" w:eastAsia="宋体" w:cs="Arial"/>
        </w:rPr>
        <w:t>医疗保险和医疗补助服务中心</w:t>
      </w:r>
      <w:r>
        <w:rPr>
          <w:rFonts w:ascii="宋体" w:hAnsi="宋体" w:eastAsia="宋体" w:cs="Arial"/>
        </w:rPr>
        <w:t>”</w:t>
      </w:r>
      <w:r>
        <w:rPr>
          <w:rFonts w:ascii="Arial" w:hAnsi="Arial" w:eastAsia="宋体" w:cs="Arial"/>
        </w:rPr>
        <w:t>向联邦报告网站提出建议。请见最终法规，</w:t>
      </w:r>
      <w:r>
        <w:rPr>
          <w:rFonts w:ascii="宋体" w:hAnsi="宋体" w:eastAsia="宋体" w:cs="Arial"/>
        </w:rPr>
        <w:t>“</w:t>
      </w:r>
      <w:r>
        <w:rPr>
          <w:rFonts w:ascii="Arial" w:hAnsi="Arial" w:eastAsia="宋体" w:cs="Arial"/>
        </w:rPr>
        <w:t>透明度报告和医师所有权或投资利益的报告</w:t>
      </w:r>
      <w:r>
        <w:rPr>
          <w:rFonts w:ascii="宋体" w:hAnsi="宋体" w:eastAsia="宋体" w:cs="Arial"/>
        </w:rPr>
        <w:t>”</w:t>
      </w:r>
      <w:r>
        <w:rPr>
          <w:rFonts w:ascii="Arial" w:hAnsi="Arial" w:eastAsia="宋体" w:cs="Arial"/>
        </w:rPr>
        <w:t>，</w:t>
      </w:r>
      <w:r>
        <w:rPr>
          <w:rFonts w:ascii="Arial" w:hAnsi="Arial" w:eastAsia="宋体" w:cs="Arial"/>
          <w:i/>
        </w:rPr>
        <w:t>联邦公报</w:t>
      </w:r>
      <w:r>
        <w:rPr>
          <w:rFonts w:ascii="Arial" w:hAnsi="Arial" w:eastAsia="宋体" w:cs="Arial"/>
        </w:rPr>
        <w:t>，第78卷，2013年2月8日，第9458页。</w:t>
      </w:r>
    </w:p>
  </w:footnote>
  <w:footnote w:id="12">
    <w:p w14:paraId="7F868A03">
      <w:pPr>
        <w:pStyle w:val="17"/>
        <w:spacing w:after="0" w:line="300" w:lineRule="auto"/>
        <w:jc w:val="both"/>
        <w:rPr>
          <w:rFonts w:ascii="Arial" w:hAnsi="Arial" w:eastAsia="宋体" w:cs="Arial"/>
        </w:rPr>
      </w:pPr>
      <w:r>
        <w:rPr>
          <w:rStyle w:val="24"/>
          <w:rFonts w:ascii="Arial" w:hAnsi="Arial" w:eastAsia="宋体" w:cs="Arial"/>
        </w:rPr>
        <w:footnoteRef/>
      </w:r>
      <w:r>
        <w:rPr>
          <w:rFonts w:ascii="Arial" w:hAnsi="Arial" w:eastAsia="宋体" w:cs="Arial"/>
        </w:rPr>
        <w:t xml:space="preserve"> 行业道德规范举例，来自美国药品研究与制造商协会（PhRMA）的</w:t>
      </w:r>
      <w:r>
        <w:rPr>
          <w:rFonts w:ascii="宋体" w:hAnsi="宋体" w:eastAsia="宋体" w:cs="Arial"/>
        </w:rPr>
        <w:t>“</w:t>
      </w:r>
      <w:r>
        <w:rPr>
          <w:rFonts w:ascii="Arial" w:hAnsi="Arial" w:eastAsia="宋体" w:cs="Arial"/>
        </w:rPr>
        <w:t>临床试验的执行和临床试验结果的沟通原则</w:t>
      </w:r>
      <w:r>
        <w:rPr>
          <w:rFonts w:ascii="宋体" w:hAnsi="宋体" w:eastAsia="宋体" w:cs="Arial"/>
        </w:rPr>
        <w:t>”</w:t>
      </w:r>
      <w:r>
        <w:rPr>
          <w:rFonts w:ascii="Arial" w:hAnsi="Arial" w:eastAsia="宋体" w:cs="Arial"/>
        </w:rPr>
        <w:t>以及来自先进医疗技术协会（AdvaMed）的</w:t>
      </w:r>
      <w:r>
        <w:rPr>
          <w:rFonts w:ascii="宋体" w:hAnsi="宋体" w:eastAsia="宋体" w:cs="Arial"/>
        </w:rPr>
        <w:t>“</w:t>
      </w:r>
      <w:r>
        <w:rPr>
          <w:rFonts w:ascii="Arial" w:hAnsi="Arial" w:eastAsia="宋体" w:cs="Arial"/>
        </w:rPr>
        <w:t>与医疗保健专业人员相互交流的道德规范</w:t>
      </w:r>
      <w:r>
        <w:rPr>
          <w:rFonts w:ascii="宋体" w:hAnsi="宋体" w:eastAsia="宋体" w:cs="Arial"/>
        </w:rPr>
        <w:t>”</w:t>
      </w:r>
      <w:r>
        <w:rPr>
          <w:rFonts w:ascii="Arial" w:hAnsi="Arial" w:eastAsia="宋体" w:cs="Arial"/>
        </w:rPr>
        <w:t>。</w:t>
      </w:r>
    </w:p>
  </w:footnote>
  <w:footnote w:id="13">
    <w:p w14:paraId="456CB37F">
      <w:pPr>
        <w:pStyle w:val="17"/>
        <w:spacing w:after="0" w:line="300" w:lineRule="auto"/>
        <w:rPr>
          <w:rFonts w:ascii="Arial" w:hAnsi="Arial" w:eastAsia="宋体" w:cs="Arial"/>
        </w:rPr>
      </w:pPr>
      <w:r>
        <w:rPr>
          <w:rStyle w:val="24"/>
          <w:rFonts w:ascii="Arial" w:hAnsi="Arial" w:eastAsia="宋体" w:cs="Arial"/>
        </w:rPr>
        <w:footnoteRef/>
      </w:r>
      <w:r>
        <w:rPr>
          <w:rFonts w:ascii="Arial" w:hAnsi="Arial" w:eastAsia="宋体" w:cs="Arial"/>
        </w:rPr>
        <w:t xml:space="preserve"> 有关谁应该列为FDA 1572表中研究者或次要研究者的指南，请参见FDA的信息表指南</w:t>
      </w:r>
      <w:r>
        <w:rPr>
          <w:rFonts w:ascii="宋体" w:hAnsi="宋体" w:eastAsia="宋体" w:cs="Arial"/>
        </w:rPr>
        <w:t>”</w:t>
      </w:r>
      <w:r>
        <w:rPr>
          <w:rFonts w:ascii="Arial" w:hAnsi="Arial" w:eastAsia="宋体" w:cs="Arial"/>
        </w:rPr>
        <w:t>常见问题 – 研究者声明（FDA 1572表）</w:t>
      </w:r>
      <w:r>
        <w:rPr>
          <w:rFonts w:ascii="宋体" w:hAnsi="宋体" w:eastAsia="宋体" w:cs="Arial"/>
        </w:rPr>
        <w:t>”</w:t>
      </w:r>
      <w:r>
        <w:rPr>
          <w:rFonts w:ascii="Arial" w:hAnsi="Arial" w:eastAsia="宋体" w:cs="Arial"/>
        </w:rPr>
        <w:t>，可见于：</w:t>
      </w:r>
      <w:r>
        <w:fldChar w:fldCharType="begin"/>
      </w:r>
      <w:r>
        <w:instrText xml:space="preserve"> HYPERLINK "http://www.fda.gov/downloads/RegulatoryInformation/Guidances/UCM214282.pdf" </w:instrText>
      </w:r>
      <w:r>
        <w:fldChar w:fldCharType="separate"/>
      </w:r>
      <w:r>
        <w:rPr>
          <w:rStyle w:val="23"/>
          <w:rFonts w:ascii="Arial" w:hAnsi="Arial" w:eastAsia="宋体" w:cs="Arial"/>
          <w:color w:val="0000FF"/>
        </w:rPr>
        <w:t>http://www.fda.gov/downloads/RegulatoryInformation/Guidances/UCM214282.pdf</w:t>
      </w:r>
      <w:r>
        <w:rPr>
          <w:rStyle w:val="23"/>
          <w:rFonts w:ascii="Arial" w:hAnsi="Arial" w:eastAsia="宋体" w:cs="Arial"/>
          <w:color w:val="0000FF"/>
        </w:rPr>
        <w:fldChar w:fldCharType="end"/>
      </w:r>
    </w:p>
  </w:footnote>
  <w:footnote w:id="14">
    <w:p w14:paraId="00185E8C">
      <w:pPr>
        <w:pStyle w:val="17"/>
        <w:spacing w:after="0" w:line="300" w:lineRule="auto"/>
        <w:jc w:val="both"/>
        <w:rPr>
          <w:rFonts w:ascii="Arial" w:hAnsi="Arial" w:cs="Arial"/>
        </w:rPr>
      </w:pPr>
      <w:r>
        <w:rPr>
          <w:rStyle w:val="24"/>
          <w:rFonts w:ascii="Arial" w:hAnsi="Arial" w:cs="Arial"/>
        </w:rPr>
        <w:footnoteRef/>
      </w:r>
      <w:r>
        <w:rPr>
          <w:rFonts w:ascii="Arial" w:hAnsi="Arial" w:cs="Arial"/>
        </w:rPr>
        <w:t xml:space="preserve"> </w:t>
      </w:r>
      <w:r>
        <w:rPr>
          <w:rFonts w:ascii="Arial" w:hAnsi="Arial" w:eastAsia="宋体" w:cs="Arial"/>
        </w:rPr>
        <w:t>如果是根据IND或IDE进行的国外研究，则申办者有法律义务遵守适用的法规，包括收集和维护财务披露信息的要求。</w:t>
      </w:r>
    </w:p>
  </w:footnote>
  <w:footnote w:id="15">
    <w:p w14:paraId="18E8E69D">
      <w:pPr>
        <w:pStyle w:val="17"/>
        <w:spacing w:after="0" w:line="300" w:lineRule="auto"/>
        <w:jc w:val="both"/>
        <w:rPr>
          <w:rFonts w:ascii="Arial" w:hAnsi="Arial" w:cs="Arial"/>
        </w:rPr>
      </w:pPr>
      <w:r>
        <w:rPr>
          <w:rStyle w:val="24"/>
          <w:rFonts w:ascii="Arial" w:hAnsi="Arial" w:cs="Arial"/>
        </w:rPr>
        <w:footnoteRef/>
      </w:r>
      <w:r>
        <w:rPr>
          <w:rFonts w:ascii="Arial" w:hAnsi="Arial" w:cs="Arial"/>
        </w:rPr>
        <w:t xml:space="preserve"> </w:t>
      </w:r>
      <w:r>
        <w:rPr>
          <w:rFonts w:ascii="Arial" w:hAnsi="Arial" w:eastAsia="宋体" w:cs="Arial"/>
        </w:rPr>
        <w:t>见</w:t>
      </w:r>
      <w:r>
        <w:rPr>
          <w:rFonts w:ascii="Arial" w:hAnsi="Arial" w:eastAsia="宋体" w:cs="Arial"/>
          <w:i/>
        </w:rPr>
        <w:t>联邦公报</w:t>
      </w:r>
      <w:r>
        <w:rPr>
          <w:rFonts w:ascii="Arial" w:hAnsi="Arial" w:eastAsia="宋体" w:cs="Arial"/>
        </w:rPr>
        <w:t>，第63卷，1998年2月2日，第5239页</w:t>
      </w:r>
    </w:p>
  </w:footnote>
  <w:footnote w:id="16">
    <w:p w14:paraId="58B43B31">
      <w:pPr>
        <w:pStyle w:val="17"/>
        <w:spacing w:after="0" w:line="300" w:lineRule="auto"/>
        <w:jc w:val="both"/>
        <w:rPr>
          <w:rFonts w:ascii="Arial" w:hAnsi="Arial" w:cs="Arial"/>
        </w:rPr>
      </w:pPr>
      <w:r>
        <w:rPr>
          <w:rStyle w:val="24"/>
          <w:rFonts w:ascii="Arial" w:hAnsi="Arial" w:cs="Arial"/>
        </w:rPr>
        <w:footnoteRef/>
      </w:r>
      <w:r>
        <w:rPr>
          <w:rFonts w:ascii="Arial" w:hAnsi="Arial" w:cs="Arial"/>
        </w:rPr>
        <w:t xml:space="preserve"> </w:t>
      </w:r>
      <w:r>
        <w:rPr>
          <w:rFonts w:ascii="Arial" w:hAnsi="Arial" w:eastAsia="宋体" w:cs="Arial"/>
        </w:rPr>
        <w:t>请参见 21 CFR §§ 312.10</w:t>
      </w:r>
      <w:r>
        <w:rPr>
          <w:rFonts w:hint="eastAsia" w:ascii="Arial" w:hAnsi="Arial" w:eastAsia="宋体" w:cs="Arial"/>
        </w:rPr>
        <w:t>、</w:t>
      </w:r>
      <w:r>
        <w:rPr>
          <w:rFonts w:ascii="Arial" w:hAnsi="Arial" w:eastAsia="宋体" w:cs="Arial"/>
        </w:rPr>
        <w:t>812.10</w:t>
      </w:r>
      <w:r>
        <w:rPr>
          <w:rFonts w:hint="eastAsia" w:ascii="Arial" w:hAnsi="Arial" w:eastAsia="宋体" w:cs="Arial"/>
        </w:rPr>
        <w:t>、</w:t>
      </w:r>
      <w:r>
        <w:rPr>
          <w:rFonts w:ascii="Arial" w:hAnsi="Arial" w:eastAsia="宋体" w:cs="Arial"/>
        </w:rPr>
        <w:t>314.90和 814.20</w:t>
      </w:r>
    </w:p>
  </w:footnote>
  <w:footnote w:id="17">
    <w:p w14:paraId="686A6268">
      <w:pPr>
        <w:pStyle w:val="17"/>
        <w:spacing w:after="0" w:line="300" w:lineRule="auto"/>
        <w:jc w:val="both"/>
        <w:rPr>
          <w:rFonts w:ascii="Arial" w:hAnsi="Arial" w:cs="Arial"/>
        </w:rPr>
      </w:pPr>
      <w:r>
        <w:rPr>
          <w:rStyle w:val="24"/>
          <w:rFonts w:ascii="Arial" w:hAnsi="Arial" w:cs="Arial"/>
        </w:rPr>
        <w:footnoteRef/>
      </w:r>
      <w:r>
        <w:rPr>
          <w:rFonts w:ascii="Arial" w:hAnsi="Arial" w:cs="Arial"/>
        </w:rPr>
        <w:t xml:space="preserve"> </w:t>
      </w:r>
      <w:r>
        <w:rPr>
          <w:rFonts w:ascii="Arial" w:hAnsi="Arial" w:eastAsia="宋体" w:cs="Arial"/>
        </w:rPr>
        <w:t>申请人应注意，可能需要更多信息，以便</w:t>
      </w:r>
      <w:r>
        <w:rPr>
          <w:rFonts w:hint="eastAsia" w:ascii="Arial" w:hAnsi="Arial" w:eastAsia="宋体" w:cs="Arial"/>
        </w:rPr>
        <w:t>机构</w:t>
      </w:r>
      <w:r>
        <w:rPr>
          <w:rFonts w:ascii="Arial" w:hAnsi="Arial" w:eastAsia="宋体" w:cs="Arial"/>
        </w:rPr>
        <w:t>能够使用已发表的文献报告来支持上市申请。例如，可能需要研究方法学、实际产品研究、患者人群特征、患者人数等细节。</w:t>
      </w:r>
    </w:p>
  </w:footnote>
  <w:footnote w:id="18">
    <w:p w14:paraId="23F1DA46">
      <w:pPr>
        <w:pStyle w:val="17"/>
        <w:spacing w:after="0" w:line="300" w:lineRule="auto"/>
        <w:jc w:val="both"/>
        <w:rPr>
          <w:rFonts w:ascii="Arial" w:hAnsi="Arial" w:cs="Arial"/>
        </w:rPr>
      </w:pPr>
      <w:r>
        <w:rPr>
          <w:rStyle w:val="24"/>
          <w:rFonts w:ascii="Arial" w:hAnsi="Arial" w:cs="Arial"/>
        </w:rPr>
        <w:footnoteRef/>
      </w:r>
      <w:r>
        <w:rPr>
          <w:rFonts w:ascii="Arial" w:hAnsi="Arial" w:cs="Arial"/>
        </w:rPr>
        <w:t xml:space="preserve"> </w:t>
      </w:r>
      <w:r>
        <w:rPr>
          <w:rFonts w:ascii="Arial" w:hAnsi="Arial" w:eastAsia="宋体" w:cs="Arial"/>
        </w:rPr>
        <w:t>关于偏倚最小化方法的讨论，请参见</w:t>
      </w:r>
      <w:r>
        <w:rPr>
          <w:rFonts w:ascii="Arial" w:hAnsi="Arial" w:eastAsia="宋体" w:cs="Arial"/>
          <w:color w:val="0000FF"/>
          <w:u w:val="single"/>
        </w:rPr>
        <w:t>问题A.2</w:t>
      </w:r>
    </w:p>
  </w:footnote>
  <w:footnote w:id="19">
    <w:p w14:paraId="08D83EF4">
      <w:pPr>
        <w:pStyle w:val="17"/>
        <w:spacing w:after="0" w:line="300" w:lineRule="auto"/>
        <w:jc w:val="both"/>
        <w:rPr>
          <w:rFonts w:ascii="Arial" w:hAnsi="Arial" w:cs="Arial"/>
        </w:rPr>
      </w:pPr>
      <w:r>
        <w:rPr>
          <w:rStyle w:val="24"/>
          <w:rFonts w:ascii="Arial" w:hAnsi="Arial" w:cs="Arial"/>
        </w:rPr>
        <w:footnoteRef/>
      </w:r>
      <w:r>
        <w:rPr>
          <w:rFonts w:ascii="Arial" w:hAnsi="Arial" w:cs="Arial"/>
        </w:rPr>
        <w:t xml:space="preserve"> </w:t>
      </w:r>
      <w:r>
        <w:rPr>
          <w:rFonts w:ascii="Arial" w:hAnsi="Arial" w:eastAsia="宋体" w:cs="Arial"/>
        </w:rPr>
        <w:t>如果研究者的配偶或受抚养子女是申办者的雇员，研究者应确定为雇员，不需要根据本规定进行进一步的财务披露。</w:t>
      </w:r>
    </w:p>
  </w:footnote>
  <w:footnote w:id="20">
    <w:p w14:paraId="3EA7540A">
      <w:pPr>
        <w:pStyle w:val="17"/>
        <w:spacing w:after="0" w:line="300" w:lineRule="auto"/>
        <w:jc w:val="both"/>
        <w:rPr>
          <w:rFonts w:ascii="Arial" w:hAnsi="Arial" w:cs="Arial"/>
        </w:rPr>
      </w:pPr>
      <w:r>
        <w:rPr>
          <w:rStyle w:val="24"/>
          <w:rFonts w:ascii="Arial" w:hAnsi="Arial" w:cs="Arial"/>
        </w:rPr>
        <w:footnoteRef/>
      </w:r>
      <w:r>
        <w:rPr>
          <w:rFonts w:ascii="Arial" w:hAnsi="Arial" w:cs="Arial"/>
        </w:rPr>
        <w:t xml:space="preserve"> </w:t>
      </w:r>
      <w:r>
        <w:rPr>
          <w:rFonts w:ascii="Arial" w:hAnsi="Arial" w:eastAsia="宋体" w:cs="Arial"/>
          <w:i/>
        </w:rPr>
        <w:t>联邦公报</w:t>
      </w:r>
      <w:r>
        <w:rPr>
          <w:rFonts w:ascii="Arial" w:hAnsi="Arial" w:eastAsia="宋体" w:cs="Arial"/>
        </w:rPr>
        <w:t>，1998年2月2日，63 FR 5233</w:t>
      </w:r>
    </w:p>
  </w:footnote>
  <w:footnote w:id="21">
    <w:p w14:paraId="493BEE1D">
      <w:pPr>
        <w:pStyle w:val="17"/>
        <w:spacing w:after="0" w:line="300" w:lineRule="auto"/>
        <w:jc w:val="both"/>
        <w:rPr>
          <w:rFonts w:ascii="Arial" w:hAnsi="Arial" w:cs="Arial"/>
        </w:rPr>
      </w:pPr>
      <w:r>
        <w:rPr>
          <w:rStyle w:val="24"/>
          <w:rFonts w:ascii="Arial" w:hAnsi="Arial" w:cs="Arial"/>
        </w:rPr>
        <w:footnoteRef/>
      </w:r>
      <w:r>
        <w:rPr>
          <w:rFonts w:ascii="Arial" w:hAnsi="Arial" w:cs="Arial"/>
        </w:rPr>
        <w:t xml:space="preserve"> </w:t>
      </w:r>
      <w:r>
        <w:rPr>
          <w:rFonts w:ascii="Arial" w:hAnsi="Arial" w:eastAsia="宋体" w:cs="Arial"/>
        </w:rPr>
        <w:t>FDA还认识到，参与临床研究的受试者在研究中心考虑参加研究时，可能会对临床研究者的财务利益/协议感兴趣。卫生与</w:t>
      </w:r>
      <w:r>
        <w:rPr>
          <w:rFonts w:hint="eastAsia" w:ascii="Arial" w:hAnsi="Arial" w:eastAsia="宋体" w:cs="Arial"/>
        </w:rPr>
        <w:t>公众</w:t>
      </w:r>
      <w:r>
        <w:rPr>
          <w:rFonts w:ascii="Arial" w:hAnsi="Arial" w:eastAsia="宋体" w:cs="Arial"/>
        </w:rPr>
        <w:t>服务部指南文件在</w:t>
      </w:r>
      <w:r>
        <w:rPr>
          <w:rFonts w:hint="eastAsia" w:ascii="Arial" w:hAnsi="Arial" w:eastAsia="宋体" w:cs="Arial"/>
        </w:rPr>
        <w:t>“</w:t>
      </w:r>
      <w:r>
        <w:rPr>
          <w:rFonts w:ascii="Arial" w:hAnsi="Arial" w:eastAsia="宋体" w:cs="Arial"/>
        </w:rPr>
        <w:t>涉及人体受试者的研究中的财务关系与利益：人体受试者保护指南</w:t>
      </w:r>
      <w:r>
        <w:rPr>
          <w:rFonts w:ascii="宋体" w:hAnsi="宋体" w:eastAsia="宋体" w:cs="Arial"/>
        </w:rPr>
        <w:t>”</w:t>
      </w:r>
      <w:r>
        <w:rPr>
          <w:rFonts w:ascii="Arial" w:hAnsi="Arial" w:eastAsia="宋体" w:cs="Arial"/>
        </w:rPr>
        <w:t>，适用于FDA规定的研究，建议考虑向潜在受试者提供参与研究的各方有关经济利益和协议的信息。本指南可见于：</w:t>
      </w:r>
      <w:r>
        <w:fldChar w:fldCharType="begin"/>
      </w:r>
      <w:r>
        <w:instrText xml:space="preserve"> HYPERLINK "http://www.hhs.gov/ohrp/policy/fguid.pdf" </w:instrText>
      </w:r>
      <w:r>
        <w:fldChar w:fldCharType="separate"/>
      </w:r>
      <w:r>
        <w:rPr>
          <w:rStyle w:val="23"/>
          <w:rFonts w:ascii="Arial" w:hAnsi="Arial" w:eastAsia="宋体" w:cs="Arial"/>
          <w:color w:val="0000FF"/>
        </w:rPr>
        <w:t>http://www.hhs.gov/ohrp/policy/fguid.pdf</w:t>
      </w:r>
      <w:r>
        <w:rPr>
          <w:rStyle w:val="23"/>
          <w:rFonts w:ascii="Arial" w:hAnsi="Arial" w:eastAsia="宋体" w:cs="Arial"/>
          <w:color w:val="0000FF"/>
        </w:rPr>
        <w:fldChar w:fldCharType="end"/>
      </w:r>
      <w:r>
        <w:rPr>
          <w:rFonts w:ascii="Arial" w:hAnsi="Arial" w:eastAsia="宋体" w:cs="Arial"/>
        </w:rPr>
        <w:t>.</w:t>
      </w:r>
    </w:p>
  </w:footnote>
  <w:footnote w:id="22">
    <w:p w14:paraId="0282D686">
      <w:pPr>
        <w:pStyle w:val="17"/>
        <w:spacing w:after="0" w:line="300" w:lineRule="auto"/>
        <w:rPr>
          <w:rFonts w:ascii="Arial" w:hAnsi="Arial" w:cs="Arial"/>
        </w:rPr>
      </w:pPr>
      <w:r>
        <w:rPr>
          <w:rStyle w:val="24"/>
          <w:rFonts w:ascii="Arial" w:hAnsi="Arial" w:cs="Arial"/>
        </w:rPr>
        <w:footnoteRef/>
      </w:r>
      <w:r>
        <w:rPr>
          <w:rFonts w:ascii="Arial" w:hAnsi="Arial" w:cs="Arial"/>
        </w:rPr>
        <w:t xml:space="preserve"> </w:t>
      </w:r>
      <w:r>
        <w:rPr>
          <w:rFonts w:ascii="Arial" w:hAnsi="Arial" w:eastAsia="宋体" w:cs="Arial"/>
        </w:rPr>
        <w:t>FDA指南：</w:t>
      </w:r>
      <w:r>
        <w:rPr>
          <w:rFonts w:ascii="宋体" w:hAnsi="宋体" w:eastAsia="宋体" w:cs="Arial"/>
        </w:rPr>
        <w:t>”</w:t>
      </w:r>
      <w:r>
        <w:rPr>
          <w:rFonts w:ascii="Arial" w:hAnsi="Arial" w:eastAsia="宋体" w:cs="Arial"/>
        </w:rPr>
        <w:t>临床研究中使用的计算机化系统</w:t>
      </w:r>
      <w:r>
        <w:rPr>
          <w:rFonts w:ascii="宋体" w:hAnsi="宋体" w:eastAsia="宋体" w:cs="Arial"/>
        </w:rPr>
        <w:t>”</w:t>
      </w:r>
      <w:r>
        <w:rPr>
          <w:rFonts w:ascii="Arial" w:hAnsi="Arial" w:eastAsia="宋体" w:cs="Arial"/>
        </w:rPr>
        <w:t>将</w:t>
      </w:r>
      <w:r>
        <w:rPr>
          <w:rFonts w:ascii="宋体" w:hAnsi="宋体" w:eastAsia="宋体" w:cs="Arial"/>
        </w:rPr>
        <w:t>”</w:t>
      </w:r>
      <w:r>
        <w:rPr>
          <w:rFonts w:ascii="Arial" w:hAnsi="Arial" w:eastAsia="宋体" w:cs="Arial"/>
        </w:rPr>
        <w:t>认证副本</w:t>
      </w:r>
      <w:r>
        <w:rPr>
          <w:rFonts w:ascii="宋体" w:hAnsi="宋体" w:eastAsia="宋体" w:cs="Arial"/>
        </w:rPr>
        <w:t>”</w:t>
      </w:r>
      <w:r>
        <w:rPr>
          <w:rFonts w:ascii="Arial" w:hAnsi="Arial" w:eastAsia="宋体" w:cs="Arial"/>
        </w:rPr>
        <w:t>定义为经过验证的原始信息的副本，以有日期的签名为指示，作为与原件具有完全相同的属性和信息的精确副本</w:t>
      </w:r>
    </w:p>
  </w:footnote>
  <w:footnote w:id="23">
    <w:p w14:paraId="301BDDBC">
      <w:pPr>
        <w:pStyle w:val="17"/>
        <w:spacing w:after="0" w:line="300" w:lineRule="auto"/>
        <w:rPr>
          <w:rFonts w:ascii="Arial" w:hAnsi="Arial" w:cs="Arial"/>
        </w:rPr>
      </w:pPr>
      <w:r>
        <w:rPr>
          <w:rStyle w:val="24"/>
          <w:rFonts w:ascii="Arial" w:hAnsi="Arial" w:cs="Arial"/>
        </w:rPr>
        <w:footnoteRef/>
      </w:r>
      <w:r>
        <w:rPr>
          <w:rFonts w:ascii="Arial" w:hAnsi="Arial" w:cs="Arial"/>
        </w:rPr>
        <w:t xml:space="preserve"> </w:t>
      </w:r>
      <w:r>
        <w:rPr>
          <w:rFonts w:ascii="Arial" w:hAnsi="Arial" w:eastAsia="宋体" w:cs="Arial"/>
        </w:rPr>
        <w:t>该指南可见于</w:t>
      </w:r>
      <w:r>
        <w:fldChar w:fldCharType="begin"/>
      </w:r>
      <w:r>
        <w:instrText xml:space="preserve"> HYPERLINK "http://www.fda.gov/downloads/Drugs/GuidanceComplianceRegulatoryInformation/Guidances/UCM070266.pdf" </w:instrText>
      </w:r>
      <w:r>
        <w:fldChar w:fldCharType="separate"/>
      </w:r>
      <w:r>
        <w:rPr>
          <w:rStyle w:val="23"/>
          <w:rFonts w:ascii="Arial" w:hAnsi="Arial" w:eastAsia="宋体" w:cs="Arial"/>
          <w:color w:val="0000FF"/>
        </w:rPr>
        <w:t>http://www.fda.gov/downloads/Drugs/GuidanceComplianceRegulatoryInformation/Guidances/UCM070266.pdf</w:t>
      </w:r>
      <w:r>
        <w:rPr>
          <w:rStyle w:val="23"/>
          <w:rFonts w:ascii="Arial" w:hAnsi="Arial" w:eastAsia="宋体" w:cs="Arial"/>
          <w:color w:val="0000FF"/>
        </w:rPr>
        <w:fldChar w:fldCharType="end"/>
      </w:r>
      <w:r>
        <w:rPr>
          <w:rFonts w:ascii="Arial" w:hAnsi="Arial" w:eastAsia="宋体" w:cs="Arial"/>
        </w:rPr>
        <w:t>。</w:t>
      </w:r>
    </w:p>
  </w:footnote>
  <w:footnote w:id="24">
    <w:p w14:paraId="2FD57AA0">
      <w:pPr>
        <w:pStyle w:val="17"/>
        <w:spacing w:after="0" w:line="300" w:lineRule="auto"/>
        <w:rPr>
          <w:rFonts w:ascii="Arial" w:hAnsi="Arial" w:eastAsia="宋体" w:cs="Arial"/>
        </w:rPr>
      </w:pPr>
      <w:r>
        <w:rPr>
          <w:rStyle w:val="24"/>
          <w:rFonts w:ascii="Arial" w:hAnsi="Arial" w:cs="Arial"/>
        </w:rPr>
        <w:footnoteRef/>
      </w:r>
      <w:r>
        <w:rPr>
          <w:rFonts w:ascii="Arial" w:hAnsi="Arial" w:cs="Arial"/>
        </w:rPr>
        <w:t xml:space="preserve"> </w:t>
      </w:r>
      <w:r>
        <w:rPr>
          <w:rFonts w:ascii="Arial" w:hAnsi="Arial" w:eastAsia="宋体" w:cs="Arial"/>
        </w:rPr>
        <w:t>CFR §§ 54.6</w:t>
      </w:r>
      <w:r>
        <w:rPr>
          <w:rFonts w:hint="eastAsia" w:ascii="Arial" w:hAnsi="Arial" w:eastAsia="宋体" w:cs="Arial"/>
        </w:rPr>
        <w:t>、</w:t>
      </w:r>
      <w:r>
        <w:rPr>
          <w:rFonts w:ascii="Arial" w:hAnsi="Arial" w:eastAsia="宋体" w:cs="Arial"/>
        </w:rPr>
        <w:t>312.57</w:t>
      </w:r>
      <w:r>
        <w:rPr>
          <w:rFonts w:hint="eastAsia" w:ascii="Arial" w:hAnsi="Arial" w:eastAsia="宋体" w:cs="Arial"/>
        </w:rPr>
        <w:t>、</w:t>
      </w:r>
      <w:r>
        <w:rPr>
          <w:rFonts w:ascii="Arial" w:hAnsi="Arial" w:eastAsia="宋体" w:cs="Arial"/>
        </w:rPr>
        <w:t>312.58</w:t>
      </w:r>
      <w:r>
        <w:rPr>
          <w:rFonts w:hint="eastAsia" w:ascii="Arial" w:hAnsi="Arial" w:eastAsia="宋体" w:cs="Arial"/>
        </w:rPr>
        <w:t>、</w:t>
      </w:r>
      <w:r>
        <w:rPr>
          <w:rFonts w:ascii="Arial" w:hAnsi="Arial" w:eastAsia="宋体" w:cs="Arial"/>
        </w:rPr>
        <w:t>812.140和812.145</w:t>
      </w:r>
    </w:p>
  </w:footnote>
  <w:footnote w:id="25">
    <w:p w14:paraId="4006C509">
      <w:pPr>
        <w:pStyle w:val="17"/>
        <w:spacing w:after="0" w:line="300" w:lineRule="auto"/>
        <w:rPr>
          <w:rFonts w:ascii="Arial" w:hAnsi="Arial" w:cs="Arial"/>
        </w:rPr>
      </w:pPr>
      <w:r>
        <w:rPr>
          <w:rStyle w:val="24"/>
          <w:rFonts w:ascii="Arial" w:hAnsi="Arial" w:cs="Arial"/>
        </w:rPr>
        <w:footnoteRef/>
      </w:r>
      <w:r>
        <w:rPr>
          <w:rFonts w:ascii="Arial" w:hAnsi="Arial" w:cs="Arial"/>
        </w:rPr>
        <w:t xml:space="preserve"> </w:t>
      </w:r>
      <w:r>
        <w:fldChar w:fldCharType="begin"/>
      </w:r>
      <w:r>
        <w:instrText xml:space="preserve"> HYPERLINK "http://www.fda.gov/ICECI/EnforcementActions/BioresearchMonitoring/ucm133562.htm" </w:instrText>
      </w:r>
      <w:r>
        <w:fldChar w:fldCharType="separate"/>
      </w:r>
      <w:r>
        <w:rPr>
          <w:rStyle w:val="23"/>
          <w:rFonts w:ascii="Arial" w:hAnsi="Arial" w:eastAsia="宋体" w:cs="Arial"/>
          <w:color w:val="0000FF"/>
        </w:rPr>
        <w:t>http://www.fda.gov/ICECI/EnforcementActions/BioresearchMonitoring/ucm133562.htm</w:t>
      </w:r>
      <w:r>
        <w:rPr>
          <w:rStyle w:val="23"/>
          <w:rFonts w:ascii="Arial" w:hAnsi="Arial" w:eastAsia="宋体" w:cs="Arial"/>
          <w:color w:val="0000FF"/>
        </w:rPr>
        <w:fldChar w:fldCharType="end"/>
      </w:r>
    </w:p>
  </w:footnote>
  <w:footnote w:id="26">
    <w:p w14:paraId="18F901F8">
      <w:pPr>
        <w:pStyle w:val="17"/>
        <w:spacing w:after="0" w:line="300" w:lineRule="auto"/>
        <w:rPr>
          <w:rFonts w:ascii="Arial" w:hAnsi="Arial" w:cs="Arial"/>
        </w:rPr>
      </w:pPr>
      <w:r>
        <w:rPr>
          <w:rStyle w:val="24"/>
          <w:rFonts w:ascii="Arial" w:hAnsi="Arial" w:cs="Arial"/>
        </w:rPr>
        <w:footnoteRef/>
      </w:r>
      <w:r>
        <w:rPr>
          <w:rFonts w:ascii="Arial" w:hAnsi="Arial" w:cs="Arial"/>
        </w:rPr>
        <w:t xml:space="preserve"> </w:t>
      </w:r>
      <w:r>
        <w:fldChar w:fldCharType="begin"/>
      </w:r>
      <w:r>
        <w:instrText xml:space="preserve"> HYPERLINK "http://www.fda.gov/ICECI/EnforcementActions/BioresearchMonitoring/ucm133777.htm" </w:instrText>
      </w:r>
      <w:r>
        <w:fldChar w:fldCharType="separate"/>
      </w:r>
      <w:r>
        <w:rPr>
          <w:rStyle w:val="23"/>
          <w:rFonts w:ascii="Arial" w:hAnsi="Arial" w:eastAsia="宋体" w:cs="Arial"/>
          <w:color w:val="0000FF"/>
        </w:rPr>
        <w:t>http://www.fda.gov/ICECI/EnforcementActions/BioresearchMonitoring/ucm133777.htm</w:t>
      </w:r>
      <w:r>
        <w:rPr>
          <w:rStyle w:val="23"/>
          <w:rFonts w:ascii="Arial" w:hAnsi="Arial" w:eastAsia="宋体" w:cs="Arial"/>
          <w:color w:val="0000FF"/>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F4D5">
    <w:pPr>
      <w:pStyle w:val="16"/>
    </w:pPr>
    <w:r>
      <w:rPr>
        <w:rFonts w:hint="eastAsia" w:ascii="Arial" w:hAnsi="Arial" w:cs="Arial"/>
        <w:b/>
        <w:i/>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66BD2">
    <w:pPr>
      <w:pStyle w:val="16"/>
      <w:pBdr>
        <w:bottom w:val="none" w:color="auto" w:sz="0" w:space="0"/>
      </w:pBdr>
    </w:pPr>
    <w:r>
      <w:rPr>
        <w:rFonts w:hint="eastAsia" w:ascii="Arial" w:hAnsi="Arial" w:cs="Arial"/>
        <w:b/>
        <w:i/>
        <w:sz w:val="21"/>
        <w:szCs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2"/>
      <w:numFmt w:val="decimal"/>
      <w:pStyle w:val="2"/>
      <w:lvlText w:val="%1."/>
      <w:lvlJc w:val="left"/>
      <w:pPr>
        <w:tabs>
          <w:tab w:val="left" w:pos="502"/>
        </w:tabs>
        <w:ind w:left="0" w:firstLine="0"/>
      </w:pPr>
      <w:rPr>
        <w:rFonts w:hint="default" w:ascii="Times New Roman" w:hAnsi="Times New Roman" w:cs="Times New Roman"/>
        <w:b/>
        <w:i w:val="0"/>
        <w:sz w:val="24"/>
        <w:szCs w:val="36"/>
      </w:rPr>
    </w:lvl>
    <w:lvl w:ilvl="1" w:tentative="0">
      <w:start w:val="1"/>
      <w:numFmt w:val="decimal"/>
      <w:pStyle w:val="4"/>
      <w:lvlText w:val="%1.%2"/>
      <w:lvlJc w:val="left"/>
      <w:pPr>
        <w:tabs>
          <w:tab w:val="left" w:pos="360"/>
        </w:tabs>
        <w:ind w:left="0" w:firstLine="0"/>
      </w:pPr>
      <w:rPr>
        <w:rFonts w:hint="default" w:ascii="Times New Roman" w:hAnsi="Times New Roman" w:cs="Times New Roman"/>
        <w:b/>
      </w:rPr>
    </w:lvl>
    <w:lvl w:ilvl="2" w:tentative="0">
      <w:start w:val="1"/>
      <w:numFmt w:val="decimal"/>
      <w:pStyle w:val="5"/>
      <w:lvlText w:val="%1.%2.%3"/>
      <w:lvlJc w:val="left"/>
      <w:pPr>
        <w:tabs>
          <w:tab w:val="left" w:pos="9270"/>
        </w:tabs>
        <w:ind w:left="0" w:firstLine="0"/>
      </w:pPr>
      <w:rPr>
        <w:rFonts w:hint="eastAsia" w:cs="Times New Roman"/>
      </w:rPr>
    </w:lvl>
    <w:lvl w:ilvl="3" w:tentative="0">
      <w:start w:val="1"/>
      <w:numFmt w:val="decimal"/>
      <w:pStyle w:val="6"/>
      <w:lvlText w:val="%1.%2.%3.%4"/>
      <w:lvlJc w:val="left"/>
      <w:pPr>
        <w:tabs>
          <w:tab w:val="left" w:pos="0"/>
        </w:tabs>
        <w:ind w:left="0" w:firstLine="0"/>
      </w:pPr>
      <w:rPr>
        <w:rFonts w:hint="eastAsia" w:cs="Times New Roman"/>
      </w:rPr>
    </w:lvl>
    <w:lvl w:ilvl="4" w:tentative="0">
      <w:start w:val="1"/>
      <w:numFmt w:val="decimal"/>
      <w:pStyle w:val="7"/>
      <w:lvlText w:val="%1.%2.%3.%4.%5"/>
      <w:lvlJc w:val="left"/>
      <w:pPr>
        <w:tabs>
          <w:tab w:val="left" w:pos="0"/>
        </w:tabs>
        <w:ind w:left="0" w:firstLine="0"/>
      </w:pPr>
      <w:rPr>
        <w:rFonts w:hint="eastAsia" w:cs="Times New Roman"/>
        <w:b/>
        <w:i w:val="0"/>
      </w:rPr>
    </w:lvl>
    <w:lvl w:ilvl="5" w:tentative="0">
      <w:start w:val="1"/>
      <w:numFmt w:val="decimal"/>
      <w:pStyle w:val="8"/>
      <w:lvlText w:val="%1.%2.%3.%4.%5.%6"/>
      <w:lvlJc w:val="left"/>
      <w:pPr>
        <w:tabs>
          <w:tab w:val="left" w:pos="0"/>
        </w:tabs>
        <w:ind w:left="0" w:firstLine="0"/>
      </w:pPr>
      <w:rPr>
        <w:rFonts w:hint="eastAsia" w:cs="Times New Roman"/>
      </w:rPr>
    </w:lvl>
    <w:lvl w:ilvl="6" w:tentative="0">
      <w:start w:val="1"/>
      <w:numFmt w:val="decimal"/>
      <w:pStyle w:val="9"/>
      <w:lvlText w:val="%1.%2.%3.%4.%5.%6.%7"/>
      <w:lvlJc w:val="left"/>
      <w:pPr>
        <w:tabs>
          <w:tab w:val="left" w:pos="0"/>
        </w:tabs>
        <w:ind w:left="0" w:firstLine="0"/>
      </w:pPr>
      <w:rPr>
        <w:rFonts w:hint="eastAsia" w:cs="Times New Roman"/>
      </w:rPr>
    </w:lvl>
    <w:lvl w:ilvl="7" w:tentative="0">
      <w:start w:val="1"/>
      <w:numFmt w:val="decimal"/>
      <w:pStyle w:val="10"/>
      <w:lvlText w:val="%1.%2.%3.%4.%5.%6.%7.%8"/>
      <w:lvlJc w:val="left"/>
      <w:pPr>
        <w:tabs>
          <w:tab w:val="left" w:pos="0"/>
        </w:tabs>
        <w:ind w:left="0" w:firstLine="0"/>
      </w:pPr>
      <w:rPr>
        <w:rFonts w:hint="eastAsia" w:cs="Times New Roman"/>
      </w:rPr>
    </w:lvl>
    <w:lvl w:ilvl="8" w:tentative="0">
      <w:start w:val="1"/>
      <w:numFmt w:val="decimal"/>
      <w:pStyle w:val="11"/>
      <w:lvlText w:val="%1.%2.%3.%4.%5.%6.%7.%8.%9"/>
      <w:lvlJc w:val="left"/>
      <w:pPr>
        <w:tabs>
          <w:tab w:val="left" w:pos="0"/>
        </w:tabs>
        <w:ind w:left="0" w:firstLine="0"/>
      </w:pPr>
      <w:rPr>
        <w:rFonts w:hint="eastAsia" w:cs="Times New Roman"/>
      </w:rPr>
    </w:lvl>
  </w:abstractNum>
  <w:abstractNum w:abstractNumId="1">
    <w:nsid w:val="31B47995"/>
    <w:multiLevelType w:val="multilevel"/>
    <w:tmpl w:val="31B479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C81782"/>
    <w:multiLevelType w:val="multilevel"/>
    <w:tmpl w:val="5DC81782"/>
    <w:lvl w:ilvl="0" w:tentative="0">
      <w:start w:val="1"/>
      <w:numFmt w:val="upperRoman"/>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AE527E"/>
    <w:multiLevelType w:val="multilevel"/>
    <w:tmpl w:val="63AE527E"/>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D44556"/>
    <w:multiLevelType w:val="multilevel"/>
    <w:tmpl w:val="77D44556"/>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decimal"/>
      <w:lvlText w:val="%3）"/>
      <w:lvlJc w:val="left"/>
      <w:pPr>
        <w:ind w:left="1560" w:hanging="720"/>
      </w:pPr>
      <w:rPr>
        <w:rFonts w:hint="default"/>
      </w:rPr>
    </w:lvl>
    <w:lvl w:ilvl="3" w:tentative="0">
      <w:start w:val="1"/>
      <w:numFmt w:val="lowerLetter"/>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1E0543"/>
    <w:multiLevelType w:val="multilevel"/>
    <w:tmpl w:val="7B1E054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54"/>
    <w:footnote w:id="5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FD"/>
    <w:rsid w:val="000078FA"/>
    <w:rsid w:val="0001671C"/>
    <w:rsid w:val="00017092"/>
    <w:rsid w:val="00017DF5"/>
    <w:rsid w:val="00021111"/>
    <w:rsid w:val="000277C6"/>
    <w:rsid w:val="00031EC7"/>
    <w:rsid w:val="00033FC8"/>
    <w:rsid w:val="00037ADA"/>
    <w:rsid w:val="00043ADA"/>
    <w:rsid w:val="0004404D"/>
    <w:rsid w:val="00050257"/>
    <w:rsid w:val="00055B9D"/>
    <w:rsid w:val="00055FF3"/>
    <w:rsid w:val="0005625E"/>
    <w:rsid w:val="000575A1"/>
    <w:rsid w:val="00057FE9"/>
    <w:rsid w:val="00063569"/>
    <w:rsid w:val="00065AF7"/>
    <w:rsid w:val="0006618B"/>
    <w:rsid w:val="00077D61"/>
    <w:rsid w:val="00080B21"/>
    <w:rsid w:val="00081396"/>
    <w:rsid w:val="00084997"/>
    <w:rsid w:val="000917C7"/>
    <w:rsid w:val="0009508A"/>
    <w:rsid w:val="000A3DBF"/>
    <w:rsid w:val="000A6170"/>
    <w:rsid w:val="000B1F18"/>
    <w:rsid w:val="000B260D"/>
    <w:rsid w:val="000B3E3D"/>
    <w:rsid w:val="000B7046"/>
    <w:rsid w:val="000D61D7"/>
    <w:rsid w:val="000D7ADD"/>
    <w:rsid w:val="000E1B85"/>
    <w:rsid w:val="000E1D3F"/>
    <w:rsid w:val="000E4FC0"/>
    <w:rsid w:val="000E6795"/>
    <w:rsid w:val="000E6D3A"/>
    <w:rsid w:val="001018F3"/>
    <w:rsid w:val="00110760"/>
    <w:rsid w:val="00110EFD"/>
    <w:rsid w:val="00111BFE"/>
    <w:rsid w:val="00114C1D"/>
    <w:rsid w:val="001179A3"/>
    <w:rsid w:val="00122216"/>
    <w:rsid w:val="0012393B"/>
    <w:rsid w:val="00137A57"/>
    <w:rsid w:val="00141E2F"/>
    <w:rsid w:val="00144FCE"/>
    <w:rsid w:val="00147E17"/>
    <w:rsid w:val="00150761"/>
    <w:rsid w:val="00151189"/>
    <w:rsid w:val="001513A0"/>
    <w:rsid w:val="00151591"/>
    <w:rsid w:val="00152871"/>
    <w:rsid w:val="0015291E"/>
    <w:rsid w:val="00153BD2"/>
    <w:rsid w:val="00155E2E"/>
    <w:rsid w:val="001611CF"/>
    <w:rsid w:val="00163A3A"/>
    <w:rsid w:val="001714D9"/>
    <w:rsid w:val="00176B63"/>
    <w:rsid w:val="00177FB2"/>
    <w:rsid w:val="0018524E"/>
    <w:rsid w:val="0019761B"/>
    <w:rsid w:val="001A009E"/>
    <w:rsid w:val="001A4298"/>
    <w:rsid w:val="001A7677"/>
    <w:rsid w:val="001A7D69"/>
    <w:rsid w:val="001B20FF"/>
    <w:rsid w:val="001B2109"/>
    <w:rsid w:val="001B3F62"/>
    <w:rsid w:val="001B6867"/>
    <w:rsid w:val="001C1482"/>
    <w:rsid w:val="001C2AFF"/>
    <w:rsid w:val="001D1718"/>
    <w:rsid w:val="001D25F4"/>
    <w:rsid w:val="001E0204"/>
    <w:rsid w:val="001E20C7"/>
    <w:rsid w:val="001E38DD"/>
    <w:rsid w:val="001E6AE7"/>
    <w:rsid w:val="001F0DB8"/>
    <w:rsid w:val="001F2F3F"/>
    <w:rsid w:val="001F4D9B"/>
    <w:rsid w:val="001F5220"/>
    <w:rsid w:val="001F5E31"/>
    <w:rsid w:val="001F624F"/>
    <w:rsid w:val="001F6A74"/>
    <w:rsid w:val="001F70F8"/>
    <w:rsid w:val="00204D47"/>
    <w:rsid w:val="00206D70"/>
    <w:rsid w:val="002071A7"/>
    <w:rsid w:val="00212F77"/>
    <w:rsid w:val="002133A3"/>
    <w:rsid w:val="00226CCE"/>
    <w:rsid w:val="00237FCB"/>
    <w:rsid w:val="00240982"/>
    <w:rsid w:val="00242A0A"/>
    <w:rsid w:val="00252BBA"/>
    <w:rsid w:val="00254C80"/>
    <w:rsid w:val="002610ED"/>
    <w:rsid w:val="0026181D"/>
    <w:rsid w:val="00264CD6"/>
    <w:rsid w:val="0026707B"/>
    <w:rsid w:val="00275395"/>
    <w:rsid w:val="00275AE3"/>
    <w:rsid w:val="00281653"/>
    <w:rsid w:val="00287E6D"/>
    <w:rsid w:val="002948F2"/>
    <w:rsid w:val="002A0545"/>
    <w:rsid w:val="002A56EE"/>
    <w:rsid w:val="002A6752"/>
    <w:rsid w:val="002A7081"/>
    <w:rsid w:val="002B1C1C"/>
    <w:rsid w:val="002B7857"/>
    <w:rsid w:val="002C7B7C"/>
    <w:rsid w:val="002C7FD2"/>
    <w:rsid w:val="002D6B56"/>
    <w:rsid w:val="002E0524"/>
    <w:rsid w:val="002F0AC1"/>
    <w:rsid w:val="002F2335"/>
    <w:rsid w:val="0030048E"/>
    <w:rsid w:val="003027B1"/>
    <w:rsid w:val="003071F9"/>
    <w:rsid w:val="00310602"/>
    <w:rsid w:val="00311053"/>
    <w:rsid w:val="00316C8D"/>
    <w:rsid w:val="00323939"/>
    <w:rsid w:val="00323D1B"/>
    <w:rsid w:val="003402E5"/>
    <w:rsid w:val="00342C08"/>
    <w:rsid w:val="003431A6"/>
    <w:rsid w:val="00360789"/>
    <w:rsid w:val="00361905"/>
    <w:rsid w:val="003711C8"/>
    <w:rsid w:val="00375A15"/>
    <w:rsid w:val="00382407"/>
    <w:rsid w:val="00383D4A"/>
    <w:rsid w:val="0038530B"/>
    <w:rsid w:val="003A16C0"/>
    <w:rsid w:val="003A39A9"/>
    <w:rsid w:val="003C04E1"/>
    <w:rsid w:val="003C3840"/>
    <w:rsid w:val="003C4D16"/>
    <w:rsid w:val="003D05AD"/>
    <w:rsid w:val="003D1CFB"/>
    <w:rsid w:val="003E0237"/>
    <w:rsid w:val="003E07CF"/>
    <w:rsid w:val="003E1862"/>
    <w:rsid w:val="003E1D7E"/>
    <w:rsid w:val="003E36FC"/>
    <w:rsid w:val="003E4BC5"/>
    <w:rsid w:val="003E646B"/>
    <w:rsid w:val="003F2095"/>
    <w:rsid w:val="003F465B"/>
    <w:rsid w:val="00406FD2"/>
    <w:rsid w:val="004113BE"/>
    <w:rsid w:val="004150C9"/>
    <w:rsid w:val="00415984"/>
    <w:rsid w:val="00426D2C"/>
    <w:rsid w:val="004273B6"/>
    <w:rsid w:val="00430225"/>
    <w:rsid w:val="00431A72"/>
    <w:rsid w:val="00432533"/>
    <w:rsid w:val="0043257E"/>
    <w:rsid w:val="0043351D"/>
    <w:rsid w:val="004347BF"/>
    <w:rsid w:val="0043673E"/>
    <w:rsid w:val="00443BF1"/>
    <w:rsid w:val="004556D0"/>
    <w:rsid w:val="00455C97"/>
    <w:rsid w:val="00455E8C"/>
    <w:rsid w:val="00455F82"/>
    <w:rsid w:val="0045678B"/>
    <w:rsid w:val="00464268"/>
    <w:rsid w:val="0046567E"/>
    <w:rsid w:val="00465EA8"/>
    <w:rsid w:val="00466557"/>
    <w:rsid w:val="004711FF"/>
    <w:rsid w:val="00477862"/>
    <w:rsid w:val="0048097D"/>
    <w:rsid w:val="00480A7A"/>
    <w:rsid w:val="00481666"/>
    <w:rsid w:val="004828A9"/>
    <w:rsid w:val="00487C6A"/>
    <w:rsid w:val="00487DE0"/>
    <w:rsid w:val="00490922"/>
    <w:rsid w:val="00490E03"/>
    <w:rsid w:val="00490FA2"/>
    <w:rsid w:val="00491E58"/>
    <w:rsid w:val="00492A78"/>
    <w:rsid w:val="004A0897"/>
    <w:rsid w:val="004A18F0"/>
    <w:rsid w:val="004A5CBE"/>
    <w:rsid w:val="004A7C35"/>
    <w:rsid w:val="004B185D"/>
    <w:rsid w:val="004C338F"/>
    <w:rsid w:val="004C7E41"/>
    <w:rsid w:val="004D1A0F"/>
    <w:rsid w:val="004D3F23"/>
    <w:rsid w:val="004D4C65"/>
    <w:rsid w:val="004E5D41"/>
    <w:rsid w:val="004E5F5F"/>
    <w:rsid w:val="004F17C1"/>
    <w:rsid w:val="00502486"/>
    <w:rsid w:val="00502659"/>
    <w:rsid w:val="00503DA0"/>
    <w:rsid w:val="00507FB8"/>
    <w:rsid w:val="0052276A"/>
    <w:rsid w:val="00523924"/>
    <w:rsid w:val="00526CB2"/>
    <w:rsid w:val="005331EB"/>
    <w:rsid w:val="00546DD2"/>
    <w:rsid w:val="00554F99"/>
    <w:rsid w:val="00560EE1"/>
    <w:rsid w:val="0056547D"/>
    <w:rsid w:val="00570F13"/>
    <w:rsid w:val="00571B1C"/>
    <w:rsid w:val="00575786"/>
    <w:rsid w:val="005757FA"/>
    <w:rsid w:val="00576F60"/>
    <w:rsid w:val="005848F8"/>
    <w:rsid w:val="00585526"/>
    <w:rsid w:val="00590B97"/>
    <w:rsid w:val="005946FC"/>
    <w:rsid w:val="00594FF7"/>
    <w:rsid w:val="00595C2C"/>
    <w:rsid w:val="005966F0"/>
    <w:rsid w:val="005A4DFB"/>
    <w:rsid w:val="005A5EC6"/>
    <w:rsid w:val="005C00BC"/>
    <w:rsid w:val="005C178C"/>
    <w:rsid w:val="005C2CEF"/>
    <w:rsid w:val="005C615B"/>
    <w:rsid w:val="005D5545"/>
    <w:rsid w:val="005D6B4E"/>
    <w:rsid w:val="005E000E"/>
    <w:rsid w:val="005E37B6"/>
    <w:rsid w:val="005F0329"/>
    <w:rsid w:val="005F5287"/>
    <w:rsid w:val="005F5465"/>
    <w:rsid w:val="005F75F8"/>
    <w:rsid w:val="00602A0E"/>
    <w:rsid w:val="00610B02"/>
    <w:rsid w:val="00610B56"/>
    <w:rsid w:val="00610EB3"/>
    <w:rsid w:val="00627DB3"/>
    <w:rsid w:val="00633B9A"/>
    <w:rsid w:val="00635186"/>
    <w:rsid w:val="0064243D"/>
    <w:rsid w:val="00643E38"/>
    <w:rsid w:val="0064609F"/>
    <w:rsid w:val="006664E6"/>
    <w:rsid w:val="00667773"/>
    <w:rsid w:val="006703B5"/>
    <w:rsid w:val="00670B9C"/>
    <w:rsid w:val="00674E29"/>
    <w:rsid w:val="00683AE9"/>
    <w:rsid w:val="00687AAA"/>
    <w:rsid w:val="00693480"/>
    <w:rsid w:val="00693A37"/>
    <w:rsid w:val="00697694"/>
    <w:rsid w:val="00697FD5"/>
    <w:rsid w:val="006A0BBF"/>
    <w:rsid w:val="006A0C06"/>
    <w:rsid w:val="006A2356"/>
    <w:rsid w:val="006A3DB9"/>
    <w:rsid w:val="006A6DDD"/>
    <w:rsid w:val="006B2A17"/>
    <w:rsid w:val="006B2B5D"/>
    <w:rsid w:val="006B47DD"/>
    <w:rsid w:val="006D031B"/>
    <w:rsid w:val="006D16BA"/>
    <w:rsid w:val="006D5D49"/>
    <w:rsid w:val="006D787F"/>
    <w:rsid w:val="006E2326"/>
    <w:rsid w:val="006E4268"/>
    <w:rsid w:val="006E75EB"/>
    <w:rsid w:val="006F1063"/>
    <w:rsid w:val="00703878"/>
    <w:rsid w:val="00705234"/>
    <w:rsid w:val="00710A8D"/>
    <w:rsid w:val="007119CA"/>
    <w:rsid w:val="00720353"/>
    <w:rsid w:val="00721794"/>
    <w:rsid w:val="00721B00"/>
    <w:rsid w:val="007223FB"/>
    <w:rsid w:val="007229E6"/>
    <w:rsid w:val="00722AC0"/>
    <w:rsid w:val="00723B3D"/>
    <w:rsid w:val="00725CC2"/>
    <w:rsid w:val="007265F8"/>
    <w:rsid w:val="00726E0C"/>
    <w:rsid w:val="00727CA6"/>
    <w:rsid w:val="00727F02"/>
    <w:rsid w:val="00731896"/>
    <w:rsid w:val="00734B23"/>
    <w:rsid w:val="007367E3"/>
    <w:rsid w:val="00745B76"/>
    <w:rsid w:val="00745DF5"/>
    <w:rsid w:val="007470B9"/>
    <w:rsid w:val="0075032E"/>
    <w:rsid w:val="00752D50"/>
    <w:rsid w:val="007616DC"/>
    <w:rsid w:val="007646DC"/>
    <w:rsid w:val="00774402"/>
    <w:rsid w:val="0077496D"/>
    <w:rsid w:val="00775E53"/>
    <w:rsid w:val="00781946"/>
    <w:rsid w:val="00785054"/>
    <w:rsid w:val="00785962"/>
    <w:rsid w:val="007866D6"/>
    <w:rsid w:val="00786C81"/>
    <w:rsid w:val="00786F56"/>
    <w:rsid w:val="00790264"/>
    <w:rsid w:val="007A0BED"/>
    <w:rsid w:val="007A0DBB"/>
    <w:rsid w:val="007A738A"/>
    <w:rsid w:val="007A73B7"/>
    <w:rsid w:val="007B0B6C"/>
    <w:rsid w:val="007B2305"/>
    <w:rsid w:val="007B3E53"/>
    <w:rsid w:val="007B5B2A"/>
    <w:rsid w:val="007C1218"/>
    <w:rsid w:val="007C3E17"/>
    <w:rsid w:val="007C52CB"/>
    <w:rsid w:val="007D198A"/>
    <w:rsid w:val="007D2498"/>
    <w:rsid w:val="007D3A32"/>
    <w:rsid w:val="007D3A82"/>
    <w:rsid w:val="007E1F03"/>
    <w:rsid w:val="007E463F"/>
    <w:rsid w:val="007E745B"/>
    <w:rsid w:val="007F0BCD"/>
    <w:rsid w:val="007F4E0D"/>
    <w:rsid w:val="007F55D2"/>
    <w:rsid w:val="007F5FC1"/>
    <w:rsid w:val="0080411F"/>
    <w:rsid w:val="00804B70"/>
    <w:rsid w:val="0081056C"/>
    <w:rsid w:val="00812534"/>
    <w:rsid w:val="00812F28"/>
    <w:rsid w:val="00814057"/>
    <w:rsid w:val="00834474"/>
    <w:rsid w:val="008345A8"/>
    <w:rsid w:val="00842C3A"/>
    <w:rsid w:val="008431EF"/>
    <w:rsid w:val="00847166"/>
    <w:rsid w:val="00857E0B"/>
    <w:rsid w:val="00864790"/>
    <w:rsid w:val="008677C3"/>
    <w:rsid w:val="00880B81"/>
    <w:rsid w:val="008812B5"/>
    <w:rsid w:val="0089303E"/>
    <w:rsid w:val="008937E4"/>
    <w:rsid w:val="0089506B"/>
    <w:rsid w:val="008A0204"/>
    <w:rsid w:val="008A0BD6"/>
    <w:rsid w:val="008B07BB"/>
    <w:rsid w:val="008B3E1F"/>
    <w:rsid w:val="008B74E8"/>
    <w:rsid w:val="008C137E"/>
    <w:rsid w:val="008C28A8"/>
    <w:rsid w:val="008C6E33"/>
    <w:rsid w:val="008D053C"/>
    <w:rsid w:val="008E2DAE"/>
    <w:rsid w:val="008E449C"/>
    <w:rsid w:val="008F0475"/>
    <w:rsid w:val="008F2499"/>
    <w:rsid w:val="008F4353"/>
    <w:rsid w:val="008F52CA"/>
    <w:rsid w:val="00901692"/>
    <w:rsid w:val="009056D0"/>
    <w:rsid w:val="009060EF"/>
    <w:rsid w:val="00907B77"/>
    <w:rsid w:val="0091342C"/>
    <w:rsid w:val="009169E9"/>
    <w:rsid w:val="00920359"/>
    <w:rsid w:val="00920F3E"/>
    <w:rsid w:val="0092594A"/>
    <w:rsid w:val="00936B94"/>
    <w:rsid w:val="009372F6"/>
    <w:rsid w:val="00940424"/>
    <w:rsid w:val="0094665D"/>
    <w:rsid w:val="0094703A"/>
    <w:rsid w:val="009478D9"/>
    <w:rsid w:val="009539D9"/>
    <w:rsid w:val="00954191"/>
    <w:rsid w:val="00962B29"/>
    <w:rsid w:val="00964475"/>
    <w:rsid w:val="00966F5D"/>
    <w:rsid w:val="0097048C"/>
    <w:rsid w:val="009745B8"/>
    <w:rsid w:val="0097509C"/>
    <w:rsid w:val="00980921"/>
    <w:rsid w:val="00982C66"/>
    <w:rsid w:val="00993C18"/>
    <w:rsid w:val="00996056"/>
    <w:rsid w:val="009A4620"/>
    <w:rsid w:val="009A6B75"/>
    <w:rsid w:val="009A7FE1"/>
    <w:rsid w:val="009B2905"/>
    <w:rsid w:val="009B6F62"/>
    <w:rsid w:val="009C3F80"/>
    <w:rsid w:val="009C5C7A"/>
    <w:rsid w:val="009C5D3C"/>
    <w:rsid w:val="009C74F4"/>
    <w:rsid w:val="009D2567"/>
    <w:rsid w:val="009E5114"/>
    <w:rsid w:val="009E68D9"/>
    <w:rsid w:val="009F0847"/>
    <w:rsid w:val="009F097F"/>
    <w:rsid w:val="009F4888"/>
    <w:rsid w:val="009F60B0"/>
    <w:rsid w:val="009F74B5"/>
    <w:rsid w:val="00A024E2"/>
    <w:rsid w:val="00A0764E"/>
    <w:rsid w:val="00A0782E"/>
    <w:rsid w:val="00A22B04"/>
    <w:rsid w:val="00A258AE"/>
    <w:rsid w:val="00A31D13"/>
    <w:rsid w:val="00A47B80"/>
    <w:rsid w:val="00A51BB5"/>
    <w:rsid w:val="00A57390"/>
    <w:rsid w:val="00A62FA8"/>
    <w:rsid w:val="00A71EAF"/>
    <w:rsid w:val="00A7560E"/>
    <w:rsid w:val="00A805C5"/>
    <w:rsid w:val="00AC0E18"/>
    <w:rsid w:val="00AC1051"/>
    <w:rsid w:val="00AC2D29"/>
    <w:rsid w:val="00AC348A"/>
    <w:rsid w:val="00AD1895"/>
    <w:rsid w:val="00AD2CA1"/>
    <w:rsid w:val="00AE177D"/>
    <w:rsid w:val="00AE406F"/>
    <w:rsid w:val="00AE5C39"/>
    <w:rsid w:val="00AF3153"/>
    <w:rsid w:val="00AF5DE5"/>
    <w:rsid w:val="00B01805"/>
    <w:rsid w:val="00B03A16"/>
    <w:rsid w:val="00B048E8"/>
    <w:rsid w:val="00B0769C"/>
    <w:rsid w:val="00B07BCA"/>
    <w:rsid w:val="00B11A58"/>
    <w:rsid w:val="00B125BD"/>
    <w:rsid w:val="00B35683"/>
    <w:rsid w:val="00B43D8A"/>
    <w:rsid w:val="00B52141"/>
    <w:rsid w:val="00B5493A"/>
    <w:rsid w:val="00B55C0B"/>
    <w:rsid w:val="00B67487"/>
    <w:rsid w:val="00B722FD"/>
    <w:rsid w:val="00B72EDD"/>
    <w:rsid w:val="00B763D5"/>
    <w:rsid w:val="00B8045E"/>
    <w:rsid w:val="00B80542"/>
    <w:rsid w:val="00B85B3D"/>
    <w:rsid w:val="00B928E1"/>
    <w:rsid w:val="00B960CA"/>
    <w:rsid w:val="00BA7432"/>
    <w:rsid w:val="00BB0DB2"/>
    <w:rsid w:val="00BB6DEB"/>
    <w:rsid w:val="00BC1A86"/>
    <w:rsid w:val="00BC5BD9"/>
    <w:rsid w:val="00BC6FFF"/>
    <w:rsid w:val="00BE2398"/>
    <w:rsid w:val="00BE2B9E"/>
    <w:rsid w:val="00BE7CD5"/>
    <w:rsid w:val="00BF6C0C"/>
    <w:rsid w:val="00C02225"/>
    <w:rsid w:val="00C105EE"/>
    <w:rsid w:val="00C141B5"/>
    <w:rsid w:val="00C2070F"/>
    <w:rsid w:val="00C21266"/>
    <w:rsid w:val="00C21952"/>
    <w:rsid w:val="00C2618F"/>
    <w:rsid w:val="00C26AED"/>
    <w:rsid w:val="00C30F5B"/>
    <w:rsid w:val="00C33596"/>
    <w:rsid w:val="00C37B26"/>
    <w:rsid w:val="00C461BD"/>
    <w:rsid w:val="00C61C28"/>
    <w:rsid w:val="00C64322"/>
    <w:rsid w:val="00C729D5"/>
    <w:rsid w:val="00C7353F"/>
    <w:rsid w:val="00C73929"/>
    <w:rsid w:val="00C7580D"/>
    <w:rsid w:val="00C80216"/>
    <w:rsid w:val="00C813D2"/>
    <w:rsid w:val="00C81518"/>
    <w:rsid w:val="00C87EBD"/>
    <w:rsid w:val="00C92EE1"/>
    <w:rsid w:val="00C93D47"/>
    <w:rsid w:val="00C95C5A"/>
    <w:rsid w:val="00C96332"/>
    <w:rsid w:val="00C978B1"/>
    <w:rsid w:val="00CA43E6"/>
    <w:rsid w:val="00CB1540"/>
    <w:rsid w:val="00CB2127"/>
    <w:rsid w:val="00CB56E5"/>
    <w:rsid w:val="00CB7F61"/>
    <w:rsid w:val="00CC1863"/>
    <w:rsid w:val="00CC6554"/>
    <w:rsid w:val="00CD432B"/>
    <w:rsid w:val="00CD76C1"/>
    <w:rsid w:val="00CE3267"/>
    <w:rsid w:val="00D00393"/>
    <w:rsid w:val="00D05897"/>
    <w:rsid w:val="00D12017"/>
    <w:rsid w:val="00D1338E"/>
    <w:rsid w:val="00D2091D"/>
    <w:rsid w:val="00D22330"/>
    <w:rsid w:val="00D26480"/>
    <w:rsid w:val="00D300D8"/>
    <w:rsid w:val="00D32519"/>
    <w:rsid w:val="00D33BCC"/>
    <w:rsid w:val="00D44FBD"/>
    <w:rsid w:val="00D47921"/>
    <w:rsid w:val="00D47C3C"/>
    <w:rsid w:val="00D50A10"/>
    <w:rsid w:val="00D563EF"/>
    <w:rsid w:val="00D5778E"/>
    <w:rsid w:val="00D577CC"/>
    <w:rsid w:val="00D61085"/>
    <w:rsid w:val="00D625C5"/>
    <w:rsid w:val="00D76EB8"/>
    <w:rsid w:val="00D806DB"/>
    <w:rsid w:val="00D811CB"/>
    <w:rsid w:val="00D82DEB"/>
    <w:rsid w:val="00D85043"/>
    <w:rsid w:val="00D90DB9"/>
    <w:rsid w:val="00D92D6D"/>
    <w:rsid w:val="00D976B9"/>
    <w:rsid w:val="00DB2B27"/>
    <w:rsid w:val="00DB5055"/>
    <w:rsid w:val="00DD048B"/>
    <w:rsid w:val="00DD274B"/>
    <w:rsid w:val="00DD41B8"/>
    <w:rsid w:val="00DE20BE"/>
    <w:rsid w:val="00DE22A7"/>
    <w:rsid w:val="00DE4414"/>
    <w:rsid w:val="00DE6376"/>
    <w:rsid w:val="00DE6B2D"/>
    <w:rsid w:val="00DF0968"/>
    <w:rsid w:val="00DF10A9"/>
    <w:rsid w:val="00E22A7B"/>
    <w:rsid w:val="00E269D3"/>
    <w:rsid w:val="00E315D9"/>
    <w:rsid w:val="00E330D3"/>
    <w:rsid w:val="00E362AE"/>
    <w:rsid w:val="00E410C6"/>
    <w:rsid w:val="00E41769"/>
    <w:rsid w:val="00E42323"/>
    <w:rsid w:val="00E44A7F"/>
    <w:rsid w:val="00E47A68"/>
    <w:rsid w:val="00E47D7B"/>
    <w:rsid w:val="00E643E6"/>
    <w:rsid w:val="00E73553"/>
    <w:rsid w:val="00E749C9"/>
    <w:rsid w:val="00E85022"/>
    <w:rsid w:val="00E852E8"/>
    <w:rsid w:val="00E8722E"/>
    <w:rsid w:val="00E91474"/>
    <w:rsid w:val="00E9507D"/>
    <w:rsid w:val="00E95784"/>
    <w:rsid w:val="00EA10D6"/>
    <w:rsid w:val="00EA131D"/>
    <w:rsid w:val="00EA3B3D"/>
    <w:rsid w:val="00EA5523"/>
    <w:rsid w:val="00EA75A8"/>
    <w:rsid w:val="00EB428E"/>
    <w:rsid w:val="00EB4B1A"/>
    <w:rsid w:val="00EB578D"/>
    <w:rsid w:val="00EB710D"/>
    <w:rsid w:val="00EB7243"/>
    <w:rsid w:val="00ED4ED2"/>
    <w:rsid w:val="00ED7D2A"/>
    <w:rsid w:val="00EE1B3F"/>
    <w:rsid w:val="00EE2FD0"/>
    <w:rsid w:val="00EE3F5C"/>
    <w:rsid w:val="00EE4848"/>
    <w:rsid w:val="00EF1AEC"/>
    <w:rsid w:val="00F000F7"/>
    <w:rsid w:val="00F01514"/>
    <w:rsid w:val="00F02B71"/>
    <w:rsid w:val="00F107D5"/>
    <w:rsid w:val="00F11F3A"/>
    <w:rsid w:val="00F13E20"/>
    <w:rsid w:val="00F1402F"/>
    <w:rsid w:val="00F30D5C"/>
    <w:rsid w:val="00F3291A"/>
    <w:rsid w:val="00F41772"/>
    <w:rsid w:val="00F4221E"/>
    <w:rsid w:val="00F427AB"/>
    <w:rsid w:val="00F44B5E"/>
    <w:rsid w:val="00F46AB3"/>
    <w:rsid w:val="00F474C0"/>
    <w:rsid w:val="00F5490B"/>
    <w:rsid w:val="00F56B97"/>
    <w:rsid w:val="00F61FFD"/>
    <w:rsid w:val="00F66760"/>
    <w:rsid w:val="00F678F5"/>
    <w:rsid w:val="00F6796E"/>
    <w:rsid w:val="00F738F9"/>
    <w:rsid w:val="00F80BC2"/>
    <w:rsid w:val="00F97342"/>
    <w:rsid w:val="00FA2C80"/>
    <w:rsid w:val="00FA6FA8"/>
    <w:rsid w:val="00FC0F9B"/>
    <w:rsid w:val="00FC13D3"/>
    <w:rsid w:val="00FC1B69"/>
    <w:rsid w:val="00FD19BA"/>
    <w:rsid w:val="00FD6613"/>
    <w:rsid w:val="00FD7123"/>
    <w:rsid w:val="00FF16A5"/>
    <w:rsid w:val="00FF6F73"/>
    <w:rsid w:val="63E0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0"/>
      <w:sz w:val="22"/>
      <w:szCs w:val="21"/>
      <w:lang w:val="en-US" w:eastAsia="zh-CN" w:bidi="ar-SA"/>
    </w:rPr>
  </w:style>
  <w:style w:type="paragraph" w:styleId="2">
    <w:name w:val="heading 1"/>
    <w:basedOn w:val="3"/>
    <w:next w:val="1"/>
    <w:link w:val="25"/>
    <w:qFormat/>
    <w:uiPriority w:val="9"/>
    <w:pPr>
      <w:keepLines/>
      <w:pageBreakBefore/>
      <w:numPr>
        <w:ilvl w:val="0"/>
        <w:numId w:val="1"/>
      </w:numPr>
      <w:tabs>
        <w:tab w:val="left" w:pos="864"/>
        <w:tab w:val="left" w:pos="1152"/>
        <w:tab w:val="right" w:leader="dot" w:pos="8640"/>
      </w:tabs>
      <w:spacing w:before="40" w:after="40" w:line="240" w:lineRule="auto"/>
      <w:outlineLvl w:val="0"/>
    </w:pPr>
    <w:rPr>
      <w:rFonts w:ascii="Times New Roman" w:hAnsi="Times New Roman" w:eastAsia="Times New Roman" w:cs="Times New Roman"/>
      <w:b w:val="0"/>
      <w:caps/>
      <w:kern w:val="28"/>
      <w:szCs w:val="20"/>
      <w:lang w:eastAsia="en-US"/>
    </w:rPr>
  </w:style>
  <w:style w:type="paragraph" w:styleId="4">
    <w:name w:val="heading 2"/>
    <w:basedOn w:val="2"/>
    <w:next w:val="1"/>
    <w:link w:val="26"/>
    <w:qFormat/>
    <w:uiPriority w:val="9"/>
    <w:pPr>
      <w:pageBreakBefore w:val="0"/>
      <w:numPr>
        <w:ilvl w:val="1"/>
      </w:numPr>
      <w:tabs>
        <w:tab w:val="left" w:pos="851"/>
        <w:tab w:val="clear" w:pos="864"/>
        <w:tab w:val="clear" w:pos="1152"/>
      </w:tabs>
      <w:spacing w:before="0" w:after="0" w:line="360" w:lineRule="auto"/>
      <w:outlineLvl w:val="1"/>
    </w:pPr>
    <w:rPr>
      <w:rFonts w:eastAsia="宋体"/>
      <w:caps w:val="0"/>
      <w:lang w:eastAsia="zh-CN"/>
    </w:rPr>
  </w:style>
  <w:style w:type="paragraph" w:styleId="5">
    <w:name w:val="heading 3"/>
    <w:basedOn w:val="4"/>
    <w:next w:val="1"/>
    <w:link w:val="27"/>
    <w:qFormat/>
    <w:uiPriority w:val="9"/>
    <w:pPr>
      <w:keepNext/>
      <w:numPr>
        <w:ilvl w:val="2"/>
      </w:numPr>
      <w:tabs>
        <w:tab w:val="left" w:pos="720"/>
        <w:tab w:val="clear" w:pos="851"/>
      </w:tabs>
      <w:outlineLvl w:val="2"/>
    </w:pPr>
    <w:rPr>
      <w:szCs w:val="24"/>
    </w:rPr>
  </w:style>
  <w:style w:type="paragraph" w:styleId="6">
    <w:name w:val="heading 4"/>
    <w:basedOn w:val="5"/>
    <w:next w:val="1"/>
    <w:link w:val="28"/>
    <w:qFormat/>
    <w:uiPriority w:val="9"/>
    <w:pPr>
      <w:numPr>
        <w:ilvl w:val="3"/>
      </w:numPr>
      <w:tabs>
        <w:tab w:val="left" w:pos="851"/>
      </w:tabs>
      <w:outlineLvl w:val="3"/>
    </w:pPr>
  </w:style>
  <w:style w:type="paragraph" w:styleId="7">
    <w:name w:val="heading 5"/>
    <w:basedOn w:val="6"/>
    <w:next w:val="1"/>
    <w:link w:val="29"/>
    <w:qFormat/>
    <w:uiPriority w:val="9"/>
    <w:pPr>
      <w:numPr>
        <w:ilvl w:val="4"/>
      </w:numPr>
      <w:outlineLvl w:val="4"/>
    </w:pPr>
    <w:rPr>
      <w:i/>
    </w:rPr>
  </w:style>
  <w:style w:type="paragraph" w:styleId="8">
    <w:name w:val="heading 6"/>
    <w:basedOn w:val="7"/>
    <w:next w:val="1"/>
    <w:link w:val="30"/>
    <w:qFormat/>
    <w:uiPriority w:val="9"/>
    <w:pPr>
      <w:numPr>
        <w:ilvl w:val="5"/>
      </w:numPr>
      <w:outlineLvl w:val="5"/>
    </w:pPr>
  </w:style>
  <w:style w:type="paragraph" w:styleId="9">
    <w:name w:val="heading 7"/>
    <w:basedOn w:val="8"/>
    <w:next w:val="1"/>
    <w:link w:val="31"/>
    <w:qFormat/>
    <w:uiPriority w:val="9"/>
    <w:pPr>
      <w:numPr>
        <w:ilvl w:val="6"/>
      </w:numPr>
      <w:outlineLvl w:val="6"/>
    </w:pPr>
  </w:style>
  <w:style w:type="paragraph" w:styleId="10">
    <w:name w:val="heading 8"/>
    <w:basedOn w:val="9"/>
    <w:next w:val="1"/>
    <w:link w:val="32"/>
    <w:qFormat/>
    <w:uiPriority w:val="9"/>
    <w:pPr>
      <w:numPr>
        <w:ilvl w:val="7"/>
      </w:numPr>
      <w:outlineLvl w:val="7"/>
    </w:pPr>
  </w:style>
  <w:style w:type="paragraph" w:styleId="11">
    <w:name w:val="heading 9"/>
    <w:basedOn w:val="10"/>
    <w:next w:val="1"/>
    <w:link w:val="33"/>
    <w:qFormat/>
    <w:uiPriority w:val="9"/>
    <w:pPr>
      <w:numPr>
        <w:ilvl w:val="8"/>
      </w:numPr>
      <w:outlineLvl w:val="8"/>
    </w:p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autoRedefine/>
    <w:unhideWhenUsed/>
    <w:uiPriority w:val="39"/>
    <w:pPr>
      <w:snapToGrid w:val="0"/>
      <w:spacing w:after="0" w:line="300" w:lineRule="auto"/>
    </w:pPr>
    <w:rPr>
      <w:rFonts w:eastAsia="宋体"/>
      <w:b/>
      <w:sz w:val="24"/>
    </w:rPr>
  </w:style>
  <w:style w:type="paragraph" w:styleId="12">
    <w:name w:val="caption"/>
    <w:basedOn w:val="1"/>
    <w:next w:val="1"/>
    <w:link w:val="34"/>
    <w:unhideWhenUsed/>
    <w:qFormat/>
    <w:uiPriority w:val="0"/>
    <w:pPr>
      <w:spacing w:after="200" w:line="240" w:lineRule="auto"/>
    </w:pPr>
    <w:rPr>
      <w:i/>
      <w:iCs/>
      <w:color w:val="1F497D" w:themeColor="text2"/>
      <w:sz w:val="18"/>
      <w:szCs w:val="18"/>
      <w14:textFill>
        <w14:solidFill>
          <w14:schemeClr w14:val="tx2"/>
        </w14:solidFill>
      </w14:textFill>
    </w:rPr>
  </w:style>
  <w:style w:type="paragraph" w:styleId="13">
    <w:name w:val="Date"/>
    <w:basedOn w:val="1"/>
    <w:next w:val="1"/>
    <w:link w:val="45"/>
    <w:semiHidden/>
    <w:unhideWhenUsed/>
    <w:qFormat/>
    <w:uiPriority w:val="99"/>
    <w:pPr>
      <w:ind w:left="100" w:leftChars="2500"/>
    </w:pPr>
  </w:style>
  <w:style w:type="paragraph" w:styleId="14">
    <w:name w:val="Balloon Text"/>
    <w:basedOn w:val="1"/>
    <w:link w:val="62"/>
    <w:semiHidden/>
    <w:unhideWhenUsed/>
    <w:uiPriority w:val="99"/>
    <w:pPr>
      <w:spacing w:after="0" w:line="240" w:lineRule="auto"/>
    </w:pPr>
    <w:rPr>
      <w:sz w:val="18"/>
      <w:szCs w:val="18"/>
    </w:rPr>
  </w:style>
  <w:style w:type="paragraph" w:styleId="15">
    <w:name w:val="footer"/>
    <w:basedOn w:val="1"/>
    <w:link w:val="52"/>
    <w:unhideWhenUsed/>
    <w:qFormat/>
    <w:uiPriority w:val="99"/>
    <w:pPr>
      <w:tabs>
        <w:tab w:val="center" w:pos="4153"/>
        <w:tab w:val="right" w:pos="8306"/>
      </w:tabs>
      <w:snapToGrid w:val="0"/>
      <w:spacing w:line="240" w:lineRule="auto"/>
    </w:pPr>
    <w:rPr>
      <w:sz w:val="18"/>
      <w:szCs w:val="18"/>
    </w:rPr>
  </w:style>
  <w:style w:type="paragraph" w:styleId="16">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7">
    <w:name w:val="footnote text"/>
    <w:basedOn w:val="1"/>
    <w:link w:val="60"/>
    <w:semiHidden/>
    <w:unhideWhenUsed/>
    <w:uiPriority w:val="99"/>
    <w:pPr>
      <w:snapToGrid w:val="0"/>
    </w:pPr>
    <w:rPr>
      <w:sz w:val="18"/>
      <w:szCs w:val="18"/>
    </w:rPr>
  </w:style>
  <w:style w:type="paragraph" w:styleId="18">
    <w:name w:val="toc 2"/>
    <w:basedOn w:val="1"/>
    <w:next w:val="1"/>
    <w:autoRedefine/>
    <w:unhideWhenUsed/>
    <w:qFormat/>
    <w:uiPriority w:val="39"/>
    <w:pPr>
      <w:snapToGrid w:val="0"/>
      <w:spacing w:after="0" w:line="300" w:lineRule="auto"/>
      <w:ind w:left="200" w:leftChars="200"/>
    </w:pPr>
    <w:rPr>
      <w:rFonts w:eastAsia="宋体"/>
      <w:b/>
      <w:sz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iCs/>
    </w:rPr>
  </w:style>
  <w:style w:type="character" w:styleId="23">
    <w:name w:val="Hyperlink"/>
    <w:basedOn w:val="21"/>
    <w:uiPriority w:val="99"/>
    <w:rPr>
      <w:color w:val="0066CC"/>
      <w:u w:val="single"/>
    </w:rPr>
  </w:style>
  <w:style w:type="character" w:styleId="24">
    <w:name w:val="footnote reference"/>
    <w:basedOn w:val="21"/>
    <w:semiHidden/>
    <w:unhideWhenUsed/>
    <w:uiPriority w:val="99"/>
    <w:rPr>
      <w:vertAlign w:val="superscript"/>
    </w:rPr>
  </w:style>
  <w:style w:type="character" w:customStyle="1" w:styleId="25">
    <w:name w:val="标题 1 Char"/>
    <w:basedOn w:val="21"/>
    <w:link w:val="2"/>
    <w:qFormat/>
    <w:uiPriority w:val="9"/>
    <w:rPr>
      <w:rFonts w:ascii="Times New Roman" w:hAnsi="Times New Roman" w:eastAsia="Times New Roman" w:cs="Times New Roman"/>
      <w:b/>
      <w:caps/>
      <w:kern w:val="28"/>
      <w:sz w:val="22"/>
      <w:szCs w:val="20"/>
      <w:lang w:eastAsia="en-US"/>
    </w:rPr>
  </w:style>
  <w:style w:type="character" w:customStyle="1" w:styleId="26">
    <w:name w:val="标题 2 Char"/>
    <w:basedOn w:val="21"/>
    <w:link w:val="4"/>
    <w:qFormat/>
    <w:uiPriority w:val="9"/>
    <w:rPr>
      <w:rFonts w:ascii="Times New Roman" w:hAnsi="Times New Roman" w:eastAsia="宋体" w:cs="Times New Roman"/>
      <w:b/>
      <w:kern w:val="28"/>
      <w:sz w:val="24"/>
      <w:szCs w:val="20"/>
    </w:rPr>
  </w:style>
  <w:style w:type="character" w:customStyle="1" w:styleId="27">
    <w:name w:val="标题 3 Char"/>
    <w:basedOn w:val="21"/>
    <w:link w:val="5"/>
    <w:qFormat/>
    <w:uiPriority w:val="9"/>
    <w:rPr>
      <w:rFonts w:ascii="Times New Roman" w:hAnsi="Times New Roman" w:eastAsia="宋体" w:cs="Times New Roman"/>
      <w:b/>
      <w:kern w:val="28"/>
      <w:sz w:val="24"/>
      <w:szCs w:val="24"/>
    </w:rPr>
  </w:style>
  <w:style w:type="character" w:customStyle="1" w:styleId="28">
    <w:name w:val="标题 4 Char"/>
    <w:basedOn w:val="21"/>
    <w:link w:val="6"/>
    <w:qFormat/>
    <w:uiPriority w:val="9"/>
    <w:rPr>
      <w:rFonts w:ascii="Times New Roman" w:hAnsi="Times New Roman" w:eastAsia="宋体" w:cs="Times New Roman"/>
      <w:b/>
      <w:kern w:val="28"/>
      <w:sz w:val="24"/>
      <w:szCs w:val="24"/>
    </w:rPr>
  </w:style>
  <w:style w:type="character" w:customStyle="1" w:styleId="29">
    <w:name w:val="标题 5 Char"/>
    <w:basedOn w:val="21"/>
    <w:link w:val="7"/>
    <w:uiPriority w:val="9"/>
    <w:rPr>
      <w:rFonts w:ascii="Times New Roman" w:hAnsi="Times New Roman" w:eastAsia="宋体" w:cs="Times New Roman"/>
      <w:b/>
      <w:i/>
      <w:kern w:val="28"/>
      <w:sz w:val="24"/>
      <w:szCs w:val="24"/>
    </w:rPr>
  </w:style>
  <w:style w:type="character" w:customStyle="1" w:styleId="30">
    <w:name w:val="标题 6 Char"/>
    <w:basedOn w:val="21"/>
    <w:link w:val="8"/>
    <w:uiPriority w:val="9"/>
    <w:rPr>
      <w:rFonts w:ascii="Times New Roman" w:hAnsi="Times New Roman" w:eastAsia="宋体" w:cs="Times New Roman"/>
      <w:b/>
      <w:i/>
      <w:kern w:val="28"/>
      <w:sz w:val="24"/>
      <w:szCs w:val="24"/>
    </w:rPr>
  </w:style>
  <w:style w:type="character" w:customStyle="1" w:styleId="31">
    <w:name w:val="标题 7 Char"/>
    <w:basedOn w:val="21"/>
    <w:link w:val="9"/>
    <w:qFormat/>
    <w:uiPriority w:val="9"/>
    <w:rPr>
      <w:rFonts w:ascii="Times New Roman" w:hAnsi="Times New Roman" w:eastAsia="宋体" w:cs="Times New Roman"/>
      <w:b/>
      <w:i/>
      <w:kern w:val="28"/>
      <w:sz w:val="24"/>
      <w:szCs w:val="24"/>
    </w:rPr>
  </w:style>
  <w:style w:type="character" w:customStyle="1" w:styleId="32">
    <w:name w:val="标题 8 Char"/>
    <w:basedOn w:val="21"/>
    <w:link w:val="10"/>
    <w:uiPriority w:val="9"/>
    <w:rPr>
      <w:rFonts w:ascii="Times New Roman" w:hAnsi="Times New Roman" w:eastAsia="宋体" w:cs="Times New Roman"/>
      <w:b/>
      <w:i/>
      <w:kern w:val="28"/>
      <w:sz w:val="24"/>
      <w:szCs w:val="24"/>
    </w:rPr>
  </w:style>
  <w:style w:type="character" w:customStyle="1" w:styleId="33">
    <w:name w:val="标题 9 Char"/>
    <w:basedOn w:val="21"/>
    <w:link w:val="11"/>
    <w:uiPriority w:val="9"/>
    <w:rPr>
      <w:rFonts w:ascii="Times New Roman" w:hAnsi="Times New Roman" w:eastAsia="宋体" w:cs="Times New Roman"/>
      <w:b/>
      <w:i/>
      <w:kern w:val="28"/>
      <w:sz w:val="24"/>
      <w:szCs w:val="24"/>
    </w:rPr>
  </w:style>
  <w:style w:type="character" w:customStyle="1" w:styleId="34">
    <w:name w:val="题注 Char"/>
    <w:link w:val="12"/>
    <w:qFormat/>
    <w:uiPriority w:val="0"/>
    <w:rPr>
      <w:i/>
      <w:iCs/>
      <w:color w:val="1F497D" w:themeColor="text2"/>
      <w:kern w:val="0"/>
      <w:sz w:val="18"/>
      <w:szCs w:val="18"/>
      <w14:textFill>
        <w14:solidFill>
          <w14:schemeClr w14:val="tx2"/>
        </w14:solidFill>
      </w14:textFill>
    </w:rPr>
  </w:style>
  <w:style w:type="paragraph" w:styleId="35">
    <w:name w:val="List Paragraph"/>
    <w:basedOn w:val="1"/>
    <w:unhideWhenUsed/>
    <w:qFormat/>
    <w:uiPriority w:val="34"/>
    <w:pPr>
      <w:ind w:firstLine="420" w:firstLineChars="200"/>
    </w:pPr>
  </w:style>
  <w:style w:type="paragraph" w:customStyle="1" w:styleId="36">
    <w:name w:val="Para"/>
    <w:basedOn w:val="1"/>
    <w:link w:val="37"/>
    <w:qFormat/>
    <w:uiPriority w:val="99"/>
    <w:pPr>
      <w:spacing w:after="240" w:line="312" w:lineRule="atLeast"/>
    </w:pPr>
    <w:rPr>
      <w:rFonts w:ascii="Times" w:hAnsi="Times" w:eastAsia="Times New Roman" w:cs="Times New Roman"/>
      <w:sz w:val="24"/>
      <w:szCs w:val="20"/>
      <w:lang w:eastAsia="en-US"/>
    </w:rPr>
  </w:style>
  <w:style w:type="character" w:customStyle="1" w:styleId="37">
    <w:name w:val="Para Char"/>
    <w:link w:val="36"/>
    <w:qFormat/>
    <w:locked/>
    <w:uiPriority w:val="99"/>
    <w:rPr>
      <w:rFonts w:ascii="Times" w:hAnsi="Times" w:eastAsia="Times New Roman" w:cs="Times New Roman"/>
      <w:kern w:val="0"/>
      <w:sz w:val="24"/>
      <w:szCs w:val="20"/>
      <w:lang w:eastAsia="en-US"/>
    </w:rPr>
  </w:style>
  <w:style w:type="paragraph" w:customStyle="1" w:styleId="38">
    <w:name w:val="List Paragraph1"/>
    <w:basedOn w:val="1"/>
    <w:qFormat/>
    <w:uiPriority w:val="34"/>
    <w:pPr>
      <w:ind w:left="720"/>
      <w:contextualSpacing/>
    </w:pPr>
  </w:style>
  <w:style w:type="paragraph" w:customStyle="1" w:styleId="39">
    <w:name w:val="申报正文"/>
    <w:basedOn w:val="1"/>
    <w:link w:val="40"/>
    <w:qFormat/>
    <w:uiPriority w:val="0"/>
    <w:pPr>
      <w:widowControl w:val="0"/>
      <w:adjustRightInd w:val="0"/>
      <w:snapToGrid w:val="0"/>
      <w:spacing w:beforeLines="50" w:afterLines="50" w:line="300" w:lineRule="auto"/>
      <w:ind w:firstLine="200" w:firstLineChars="200"/>
      <w:jc w:val="both"/>
    </w:pPr>
    <w:rPr>
      <w:rFonts w:ascii="Times New Roman" w:hAnsi="宋体" w:eastAsia="宋体" w:cs="Times New Roman"/>
      <w:kern w:val="2"/>
      <w:sz w:val="24"/>
      <w:szCs w:val="24"/>
    </w:rPr>
  </w:style>
  <w:style w:type="character" w:customStyle="1" w:styleId="40">
    <w:name w:val="申报正文 Char"/>
    <w:link w:val="39"/>
    <w:uiPriority w:val="0"/>
    <w:rPr>
      <w:rFonts w:ascii="Times New Roman" w:hAnsi="宋体" w:eastAsia="宋体" w:cs="Times New Roman"/>
      <w:sz w:val="24"/>
      <w:szCs w:val="24"/>
    </w:rPr>
  </w:style>
  <w:style w:type="paragraph" w:customStyle="1" w:styleId="41">
    <w:name w:val="标注"/>
    <w:basedOn w:val="1"/>
    <w:link w:val="42"/>
    <w:qFormat/>
    <w:uiPriority w:val="0"/>
    <w:pPr>
      <w:widowControl w:val="0"/>
      <w:adjustRightInd w:val="0"/>
      <w:snapToGrid w:val="0"/>
      <w:spacing w:after="0" w:line="240" w:lineRule="auto"/>
      <w:jc w:val="both"/>
    </w:pPr>
    <w:rPr>
      <w:rFonts w:ascii="Times New Roman" w:hAnsi="宋体" w:eastAsia="宋体" w:cs="Times New Roman"/>
      <w:kern w:val="2"/>
      <w:sz w:val="21"/>
    </w:rPr>
  </w:style>
  <w:style w:type="character" w:customStyle="1" w:styleId="42">
    <w:name w:val="标注 Char"/>
    <w:link w:val="41"/>
    <w:qFormat/>
    <w:uiPriority w:val="0"/>
    <w:rPr>
      <w:rFonts w:ascii="Times New Roman" w:hAnsi="宋体" w:eastAsia="宋体" w:cs="Times New Roman"/>
      <w:szCs w:val="21"/>
    </w:rPr>
  </w:style>
  <w:style w:type="character" w:customStyle="1" w:styleId="43">
    <w:name w:val="正文文本 (3)_"/>
    <w:basedOn w:val="21"/>
    <w:link w:val="44"/>
    <w:uiPriority w:val="0"/>
    <w:rPr>
      <w:rFonts w:ascii="Times New Roman" w:hAnsi="Times New Roman" w:eastAsia="Times New Roman" w:cs="Times New Roman"/>
      <w:b/>
      <w:bCs/>
      <w:sz w:val="60"/>
      <w:szCs w:val="60"/>
      <w:shd w:val="clear" w:color="auto" w:fill="FFFFFF"/>
    </w:rPr>
  </w:style>
  <w:style w:type="paragraph" w:customStyle="1" w:styleId="44">
    <w:name w:val="正文文本 (3)"/>
    <w:basedOn w:val="1"/>
    <w:link w:val="43"/>
    <w:qFormat/>
    <w:uiPriority w:val="0"/>
    <w:pPr>
      <w:widowControl w:val="0"/>
      <w:shd w:val="clear" w:color="auto" w:fill="FFFFFF"/>
      <w:spacing w:after="240" w:line="0" w:lineRule="atLeast"/>
    </w:pPr>
    <w:rPr>
      <w:rFonts w:ascii="Times New Roman" w:hAnsi="Times New Roman" w:eastAsia="Times New Roman" w:cs="Times New Roman"/>
      <w:b/>
      <w:bCs/>
      <w:kern w:val="2"/>
      <w:sz w:val="60"/>
      <w:szCs w:val="60"/>
    </w:rPr>
  </w:style>
  <w:style w:type="character" w:customStyle="1" w:styleId="45">
    <w:name w:val="日期 Char"/>
    <w:basedOn w:val="21"/>
    <w:link w:val="13"/>
    <w:semiHidden/>
    <w:qFormat/>
    <w:uiPriority w:val="99"/>
    <w:rPr>
      <w:kern w:val="0"/>
      <w:sz w:val="22"/>
    </w:rPr>
  </w:style>
  <w:style w:type="character" w:customStyle="1" w:styleId="46">
    <w:name w:val="正文文本 (5)_"/>
    <w:basedOn w:val="21"/>
    <w:link w:val="47"/>
    <w:uiPriority w:val="0"/>
    <w:rPr>
      <w:rFonts w:ascii="Times New Roman" w:hAnsi="Times New Roman" w:eastAsia="Times New Roman" w:cs="Times New Roman"/>
      <w:i/>
      <w:iCs/>
      <w:sz w:val="20"/>
      <w:szCs w:val="20"/>
      <w:shd w:val="clear" w:color="auto" w:fill="FFFFFF"/>
    </w:rPr>
  </w:style>
  <w:style w:type="paragraph" w:customStyle="1" w:styleId="47">
    <w:name w:val="正文文本 (5)"/>
    <w:basedOn w:val="1"/>
    <w:link w:val="46"/>
    <w:uiPriority w:val="0"/>
    <w:pPr>
      <w:widowControl w:val="0"/>
      <w:shd w:val="clear" w:color="auto" w:fill="FFFFFF"/>
      <w:spacing w:after="120" w:line="0" w:lineRule="atLeast"/>
      <w:jc w:val="center"/>
    </w:pPr>
    <w:rPr>
      <w:rFonts w:ascii="Times New Roman" w:hAnsi="Times New Roman" w:eastAsia="Times New Roman" w:cs="Times New Roman"/>
      <w:i/>
      <w:iCs/>
      <w:kern w:val="2"/>
      <w:sz w:val="20"/>
      <w:szCs w:val="20"/>
    </w:rPr>
  </w:style>
  <w:style w:type="character" w:customStyle="1" w:styleId="48">
    <w:name w:val="apple-converted-space"/>
    <w:basedOn w:val="21"/>
    <w:uiPriority w:val="0"/>
  </w:style>
  <w:style w:type="character" w:customStyle="1" w:styleId="49">
    <w:name w:val="正文文本 (2)_"/>
    <w:basedOn w:val="21"/>
    <w:link w:val="50"/>
    <w:qFormat/>
    <w:uiPriority w:val="0"/>
    <w:rPr>
      <w:rFonts w:ascii="Times New Roman" w:hAnsi="Times New Roman" w:eastAsia="Times New Roman" w:cs="Times New Roman"/>
      <w:shd w:val="clear" w:color="auto" w:fill="FFFFFF"/>
    </w:rPr>
  </w:style>
  <w:style w:type="paragraph" w:customStyle="1" w:styleId="50">
    <w:name w:val="正文文本 (2)"/>
    <w:basedOn w:val="1"/>
    <w:link w:val="49"/>
    <w:qFormat/>
    <w:uiPriority w:val="0"/>
    <w:pPr>
      <w:widowControl w:val="0"/>
      <w:shd w:val="clear" w:color="auto" w:fill="FFFFFF"/>
      <w:spacing w:before="360" w:after="240" w:line="274" w:lineRule="exact"/>
      <w:ind w:hanging="360"/>
    </w:pPr>
    <w:rPr>
      <w:rFonts w:ascii="Times New Roman" w:hAnsi="Times New Roman" w:eastAsia="Times New Roman" w:cs="Times New Roman"/>
      <w:kern w:val="2"/>
      <w:sz w:val="21"/>
    </w:rPr>
  </w:style>
  <w:style w:type="character" w:customStyle="1" w:styleId="51">
    <w:name w:val="页眉 Char"/>
    <w:basedOn w:val="21"/>
    <w:link w:val="16"/>
    <w:uiPriority w:val="99"/>
    <w:rPr>
      <w:kern w:val="0"/>
      <w:sz w:val="18"/>
      <w:szCs w:val="18"/>
    </w:rPr>
  </w:style>
  <w:style w:type="character" w:customStyle="1" w:styleId="52">
    <w:name w:val="页脚 Char"/>
    <w:basedOn w:val="21"/>
    <w:link w:val="15"/>
    <w:uiPriority w:val="99"/>
    <w:rPr>
      <w:kern w:val="0"/>
      <w:sz w:val="18"/>
      <w:szCs w:val="18"/>
    </w:rPr>
  </w:style>
  <w:style w:type="character" w:customStyle="1" w:styleId="53">
    <w:name w:val="正文文本 (4)_"/>
    <w:basedOn w:val="21"/>
    <w:link w:val="54"/>
    <w:uiPriority w:val="0"/>
    <w:rPr>
      <w:rFonts w:ascii="Times New Roman" w:hAnsi="Times New Roman" w:eastAsia="Times New Roman" w:cs="Times New Roman"/>
      <w:b/>
      <w:bCs/>
      <w:shd w:val="clear" w:color="auto" w:fill="FFFFFF"/>
    </w:rPr>
  </w:style>
  <w:style w:type="paragraph" w:customStyle="1" w:styleId="54">
    <w:name w:val="正文文本 (4)"/>
    <w:basedOn w:val="1"/>
    <w:link w:val="53"/>
    <w:uiPriority w:val="0"/>
    <w:pPr>
      <w:widowControl w:val="0"/>
      <w:shd w:val="clear" w:color="auto" w:fill="FFFFFF"/>
      <w:spacing w:before="4860" w:after="240" w:line="274" w:lineRule="exact"/>
      <w:ind w:hanging="740"/>
      <w:jc w:val="center"/>
    </w:pPr>
    <w:rPr>
      <w:rFonts w:ascii="Times New Roman" w:hAnsi="Times New Roman" w:eastAsia="Times New Roman" w:cs="Times New Roman"/>
      <w:b/>
      <w:bCs/>
      <w:kern w:val="2"/>
      <w:sz w:val="21"/>
    </w:rPr>
  </w:style>
  <w:style w:type="character" w:customStyle="1" w:styleId="55">
    <w:name w:val="脚注_"/>
    <w:basedOn w:val="21"/>
    <w:link w:val="56"/>
    <w:uiPriority w:val="0"/>
    <w:rPr>
      <w:rFonts w:ascii="Times New Roman" w:hAnsi="Times New Roman" w:eastAsia="Times New Roman" w:cs="Times New Roman"/>
      <w:sz w:val="20"/>
      <w:szCs w:val="20"/>
      <w:shd w:val="clear" w:color="auto" w:fill="FFFFFF"/>
    </w:rPr>
  </w:style>
  <w:style w:type="paragraph" w:customStyle="1" w:styleId="56">
    <w:name w:val="脚注"/>
    <w:basedOn w:val="1"/>
    <w:link w:val="55"/>
    <w:uiPriority w:val="0"/>
    <w:pPr>
      <w:widowControl w:val="0"/>
      <w:shd w:val="clear" w:color="auto" w:fill="FFFFFF"/>
      <w:spacing w:after="60" w:line="0" w:lineRule="atLeast"/>
      <w:jc w:val="both"/>
    </w:pPr>
    <w:rPr>
      <w:rFonts w:ascii="Times New Roman" w:hAnsi="Times New Roman" w:eastAsia="Times New Roman" w:cs="Times New Roman"/>
      <w:kern w:val="2"/>
      <w:sz w:val="20"/>
      <w:szCs w:val="20"/>
    </w:rPr>
  </w:style>
  <w:style w:type="paragraph" w:customStyle="1" w:styleId="57">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58">
    <w:name w:val="正文文本 (4) + 13 pt"/>
    <w:basedOn w:val="53"/>
    <w:uiPriority w:val="0"/>
    <w:rPr>
      <w:rFonts w:ascii="Times New Roman" w:hAnsi="Times New Roman" w:eastAsia="Times New Roman" w:cs="Times New Roman"/>
      <w:color w:val="000000"/>
      <w:spacing w:val="0"/>
      <w:w w:val="100"/>
      <w:position w:val="0"/>
      <w:sz w:val="26"/>
      <w:szCs w:val="26"/>
      <w:u w:val="none"/>
      <w:shd w:val="clear" w:color="auto" w:fill="FFFFFF"/>
      <w:lang w:val="en-US" w:eastAsia="en-US" w:bidi="en-US"/>
    </w:rPr>
  </w:style>
  <w:style w:type="character" w:customStyle="1" w:styleId="59">
    <w:name w:val="正文文本 (2) + 粗体"/>
    <w:basedOn w:val="49"/>
    <w:uiPriority w:val="0"/>
    <w:rPr>
      <w:rFonts w:ascii="Times New Roman" w:hAnsi="Times New Roman" w:eastAsia="Times New Roman" w:cs="Times New Roman"/>
      <w:b/>
      <w:bCs/>
      <w:color w:val="000000"/>
      <w:spacing w:val="0"/>
      <w:w w:val="100"/>
      <w:position w:val="0"/>
      <w:sz w:val="24"/>
      <w:szCs w:val="24"/>
      <w:u w:val="none"/>
      <w:shd w:val="clear" w:color="auto" w:fill="FFFFFF"/>
      <w:lang w:val="en-US" w:eastAsia="en-US" w:bidi="en-US"/>
    </w:rPr>
  </w:style>
  <w:style w:type="character" w:customStyle="1" w:styleId="60">
    <w:name w:val="脚注文本 Char"/>
    <w:basedOn w:val="21"/>
    <w:link w:val="17"/>
    <w:semiHidden/>
    <w:qFormat/>
    <w:uiPriority w:val="99"/>
    <w:rPr>
      <w:kern w:val="0"/>
      <w:sz w:val="18"/>
      <w:szCs w:val="18"/>
    </w:rPr>
  </w:style>
  <w:style w:type="paragraph" w:customStyle="1" w:styleId="61">
    <w:name w:val="TOC Heading"/>
    <w:basedOn w:val="2"/>
    <w:next w:val="1"/>
    <w:semiHidden/>
    <w:unhideWhenUsed/>
    <w:qFormat/>
    <w:uiPriority w:val="39"/>
    <w:pPr>
      <w:keepNext/>
      <w:pageBreakBefore w:val="0"/>
      <w:numPr>
        <w:numId w:val="0"/>
      </w:numPr>
      <w:tabs>
        <w:tab w:val="clear" w:pos="864"/>
        <w:tab w:val="clear" w:pos="1152"/>
        <w:tab w:val="clear" w:pos="8640"/>
      </w:tabs>
      <w:spacing w:before="480" w:after="0" w:line="276" w:lineRule="auto"/>
      <w:outlineLvl w:val="9"/>
    </w:pPr>
    <w:rPr>
      <w:rFonts w:asciiTheme="majorHAnsi" w:hAnsiTheme="majorHAnsi" w:eastAsiaTheme="majorEastAsia" w:cstheme="majorBidi"/>
      <w:bCs/>
      <w:caps w:val="0"/>
      <w:color w:val="376092" w:themeColor="accent1" w:themeShade="BF"/>
      <w:kern w:val="0"/>
      <w:sz w:val="28"/>
      <w:szCs w:val="28"/>
      <w:lang w:eastAsia="zh-CN"/>
    </w:rPr>
  </w:style>
  <w:style w:type="character" w:customStyle="1" w:styleId="62">
    <w:name w:val="批注框文本 Char"/>
    <w:basedOn w:val="21"/>
    <w:link w:val="14"/>
    <w:semiHidden/>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6A0D3-0F68-4A44-A79C-FC8B3CE9D41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36</Pages>
  <Words>21514</Words>
  <Characters>24725</Characters>
  <Lines>208</Lines>
  <Paragraphs>58</Paragraphs>
  <TotalTime>3</TotalTime>
  <ScaleCrop>false</ScaleCrop>
  <LinksUpToDate>false</LinksUpToDate>
  <CharactersWithSpaces>25106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2017-10-27T09:07:00Z</dcterms:created>
  <dc:creator>y li</dc:creator>
  <cp:lastModifiedBy>太极箫客</cp:lastModifiedBy>
  <dcterms:modified xsi:type="dcterms:W3CDTF">2025-08-14T06:28:55Z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819DDFD872584E37B1D4A6716890B740_12</vt:lpwstr>
  </property>
</Properties>
</file>