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C0514">
      <w:pPr>
        <w:snapToGrid w:val="0"/>
        <w:spacing w:line="300" w:lineRule="auto"/>
        <w:jc w:val="center"/>
        <w:rPr>
          <w:rFonts w:ascii="Arial" w:hAnsi="Arial" w:eastAsia="宋体" w:cs="Arial"/>
          <w:b/>
          <w:sz w:val="72"/>
          <w:szCs w:val="72"/>
        </w:rPr>
      </w:pPr>
      <w:bookmarkStart w:id="45" w:name="_GoBack"/>
      <w:bookmarkEnd w:id="45"/>
      <w:r>
        <w:rPr>
          <w:rFonts w:ascii="Arial" w:hAnsi="Arial" w:eastAsia="宋体" w:cs="Arial"/>
          <w:b/>
          <w:sz w:val="72"/>
          <w:szCs w:val="72"/>
        </w:rPr>
        <w:t>一般外科用双极高频电外科血管闭合设备</w:t>
      </w:r>
      <w:r>
        <w:rPr>
          <w:rFonts w:ascii="Arial" w:hAnsi="Arial" w:eastAsia="宋体" w:cs="Arial"/>
          <w:b/>
          <w:sz w:val="72"/>
          <w:szCs w:val="72"/>
        </w:rPr>
        <w:br w:type="textWrapping"/>
      </w:r>
      <w:r>
        <w:rPr>
          <w:rFonts w:ascii="Arial" w:hAnsi="Arial" w:eastAsia="宋体" w:cs="Arial"/>
          <w:b/>
          <w:sz w:val="72"/>
          <w:szCs w:val="72"/>
        </w:rPr>
        <w:t>上市前通知510(k)递交要求</w:t>
      </w:r>
    </w:p>
    <w:p w14:paraId="6DCD7B47">
      <w:pPr>
        <w:snapToGrid w:val="0"/>
        <w:spacing w:line="300" w:lineRule="auto"/>
        <w:jc w:val="center"/>
        <w:rPr>
          <w:rFonts w:ascii="Arial" w:hAnsi="Arial" w:eastAsia="宋体" w:cs="Arial"/>
          <w:b/>
          <w:sz w:val="36"/>
          <w:szCs w:val="36"/>
        </w:rPr>
      </w:pPr>
      <w:r>
        <w:rPr>
          <w:rFonts w:ascii="Arial" w:hAnsi="Arial" w:eastAsia="宋体" w:cs="Arial"/>
          <w:b/>
          <w:sz w:val="36"/>
          <w:szCs w:val="36"/>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165100</wp:posOffset>
                </wp:positionV>
                <wp:extent cx="5922645" cy="0"/>
                <wp:effectExtent l="0" t="0" r="21590" b="19050"/>
                <wp:wrapNone/>
                <wp:docPr id="2" name="直接连接符 2"/>
                <wp:cNvGraphicFramePr/>
                <a:graphic xmlns:a="http://schemas.openxmlformats.org/drawingml/2006/main">
                  <a:graphicData uri="http://schemas.microsoft.com/office/word/2010/wordprocessingShape">
                    <wps:wsp>
                      <wps:cNvCnPr/>
                      <wps:spPr>
                        <a:xfrm>
                          <a:off x="0" y="0"/>
                          <a:ext cx="5922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pt;margin-top:13pt;height:0pt;width:466.35pt;z-index:251659264;mso-width-relative:page;mso-height-relative:page;" filled="f" stroked="t" coordsize="21600,21600" o:gfxdata="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VAh+fVAAAACAEA&#10;AA8AAAAAAAAAAQAgAAAAIgAAAGRycy9kb3ducmV2LnhtbFBLAQIUABQAAAAIAIdO4kDW9q7g5AEA&#10;ALEDAAAOAAAAAAAAAAEAIAAAACQBAABkcnMvZTJvRG9jLnhtbFBLBQYAAAAABgAGAFkBAAB6BQAA&#10;AAA=&#10;">
                <v:fill on="f" focussize="0,0"/>
                <v:stroke weight="0.5pt" color="#000000 [3213]" miterlimit="8" joinstyle="miter"/>
                <v:imagedata o:title=""/>
                <o:lock v:ext="edit" aspectratio="f"/>
              </v:line>
            </w:pict>
          </mc:Fallback>
        </mc:AlternateContent>
      </w:r>
    </w:p>
    <w:p w14:paraId="5ECB2E5C">
      <w:pPr>
        <w:snapToGrid w:val="0"/>
        <w:spacing w:line="300" w:lineRule="auto"/>
        <w:jc w:val="center"/>
        <w:rPr>
          <w:rFonts w:ascii="Arial" w:hAnsi="Arial" w:eastAsia="宋体" w:cs="Arial"/>
          <w:b/>
          <w:sz w:val="48"/>
          <w:szCs w:val="48"/>
        </w:rPr>
      </w:pPr>
      <w:r>
        <w:rPr>
          <w:rFonts w:ascii="Arial" w:hAnsi="Arial" w:eastAsia="宋体" w:cs="Arial"/>
          <w:b/>
          <w:sz w:val="48"/>
          <w:szCs w:val="48"/>
        </w:rPr>
        <w:t>行业与FDA工作人员指南</w:t>
      </w:r>
    </w:p>
    <w:p w14:paraId="60645D9B">
      <w:pPr>
        <w:snapToGrid w:val="0"/>
        <w:spacing w:line="300" w:lineRule="auto"/>
        <w:jc w:val="center"/>
        <w:rPr>
          <w:rFonts w:ascii="Arial" w:hAnsi="Arial" w:eastAsia="宋体" w:cs="Arial"/>
          <w:szCs w:val="21"/>
        </w:rPr>
      </w:pPr>
    </w:p>
    <w:p w14:paraId="67209A35">
      <w:pPr>
        <w:snapToGrid w:val="0"/>
        <w:spacing w:line="300" w:lineRule="auto"/>
        <w:jc w:val="center"/>
        <w:rPr>
          <w:rFonts w:ascii="Arial" w:hAnsi="Arial" w:eastAsia="宋体" w:cs="Arial"/>
          <w:b/>
          <w:szCs w:val="21"/>
        </w:rPr>
      </w:pPr>
      <w:r>
        <w:rPr>
          <w:rFonts w:ascii="Arial" w:hAnsi="Arial" w:eastAsia="宋体" w:cs="Arial"/>
          <w:b/>
          <w:szCs w:val="21"/>
        </w:rPr>
        <w:t>文件发布于2016年8月15日</w:t>
      </w:r>
      <w:r>
        <w:rPr>
          <w:rFonts w:ascii="Arial" w:hAnsi="Arial" w:eastAsia="宋体" w:cs="Arial"/>
          <w:b/>
          <w:szCs w:val="21"/>
        </w:rPr>
        <w:br w:type="textWrapping"/>
      </w:r>
    </w:p>
    <w:p w14:paraId="1804EA41">
      <w:pPr>
        <w:snapToGrid w:val="0"/>
        <w:spacing w:line="300" w:lineRule="auto"/>
        <w:jc w:val="center"/>
        <w:rPr>
          <w:rFonts w:ascii="Arial" w:hAnsi="Arial" w:eastAsia="宋体" w:cs="Arial"/>
          <w:b/>
          <w:szCs w:val="21"/>
        </w:rPr>
      </w:pPr>
      <w:r>
        <w:rPr>
          <w:rFonts w:ascii="Arial" w:hAnsi="Arial" w:eastAsia="宋体" w:cs="Arial"/>
          <w:b/>
          <w:szCs w:val="21"/>
        </w:rPr>
        <w:t>本文件草案发布于2014年3月24日</w:t>
      </w:r>
    </w:p>
    <w:p w14:paraId="65EF1267">
      <w:pPr>
        <w:snapToGrid w:val="0"/>
        <w:spacing w:line="300" w:lineRule="auto"/>
        <w:jc w:val="center"/>
        <w:rPr>
          <w:rFonts w:ascii="Arial" w:hAnsi="Arial" w:eastAsia="宋体" w:cs="Arial"/>
          <w:szCs w:val="21"/>
        </w:rPr>
      </w:pPr>
    </w:p>
    <w:p w14:paraId="5E7C1C01">
      <w:pPr>
        <w:snapToGrid w:val="0"/>
        <w:spacing w:line="300" w:lineRule="auto"/>
        <w:jc w:val="center"/>
        <w:rPr>
          <w:rFonts w:ascii="Arial" w:hAnsi="Arial" w:eastAsia="宋体" w:cs="Arial"/>
          <w:szCs w:val="21"/>
        </w:rPr>
      </w:pPr>
      <w:r>
        <w:rPr>
          <w:rFonts w:ascii="Arial" w:hAnsi="Arial" w:eastAsia="宋体" w:cs="Arial"/>
          <w:szCs w:val="21"/>
        </w:rPr>
        <w:t>关于本文件问题</w:t>
      </w:r>
      <w:r>
        <w:rPr>
          <w:rFonts w:hint="eastAsia" w:ascii="Arial" w:hAnsi="Arial" w:eastAsia="宋体" w:cs="Arial"/>
          <w:szCs w:val="21"/>
        </w:rPr>
        <w:t>，</w:t>
      </w:r>
      <w:r>
        <w:rPr>
          <w:rFonts w:ascii="Arial" w:hAnsi="Arial" w:eastAsia="宋体" w:cs="Arial"/>
          <w:szCs w:val="21"/>
        </w:rPr>
        <w:t>请联系一般外科手术器械2部，电话：301-796-6970</w:t>
      </w:r>
    </w:p>
    <w:p w14:paraId="5E23F13A">
      <w:pPr>
        <w:snapToGrid w:val="0"/>
        <w:spacing w:line="300" w:lineRule="auto"/>
        <w:rPr>
          <w:rFonts w:ascii="Arial" w:hAnsi="Arial" w:eastAsia="宋体" w:cs="Arial"/>
          <w:szCs w:val="21"/>
        </w:rPr>
      </w:pPr>
    </w:p>
    <w:p w14:paraId="2CFFC257">
      <w:pPr>
        <w:snapToGrid w:val="0"/>
        <w:spacing w:line="300" w:lineRule="auto"/>
        <w:rPr>
          <w:rFonts w:ascii="Arial" w:hAnsi="Arial" w:eastAsia="宋体" w:cs="Arial"/>
          <w:szCs w:val="21"/>
        </w:rPr>
      </w:pPr>
    </w:p>
    <w:p w14:paraId="3BFA25DA">
      <w:pPr>
        <w:snapToGrid w:val="0"/>
        <w:spacing w:line="300" w:lineRule="auto"/>
        <w:rPr>
          <w:rFonts w:ascii="Arial" w:hAnsi="Arial" w:eastAsia="宋体" w:cs="Arial"/>
          <w:szCs w:val="21"/>
        </w:rPr>
      </w:pPr>
    </w:p>
    <w:p w14:paraId="16F9184A">
      <w:pPr>
        <w:snapToGrid w:val="0"/>
        <w:spacing w:line="300" w:lineRule="auto"/>
        <w:rPr>
          <w:rFonts w:ascii="Arial" w:hAnsi="Arial" w:eastAsia="宋体" w:cs="Arial"/>
          <w:szCs w:val="21"/>
        </w:rPr>
      </w:pPr>
    </w:p>
    <w:p w14:paraId="0DC6BD73">
      <w:pPr>
        <w:snapToGrid w:val="0"/>
        <w:spacing w:line="300" w:lineRule="auto"/>
        <w:rPr>
          <w:rFonts w:ascii="Arial" w:hAnsi="Arial" w:eastAsia="宋体" w:cs="Arial"/>
          <w:szCs w:val="21"/>
        </w:rPr>
      </w:pPr>
    </w:p>
    <w:p w14:paraId="26BDAEF7">
      <w:pPr>
        <w:snapToGrid w:val="0"/>
        <w:spacing w:line="300" w:lineRule="auto"/>
        <w:rPr>
          <w:rFonts w:ascii="Arial" w:hAnsi="Arial" w:eastAsia="宋体" w:cs="Arial"/>
          <w:szCs w:val="21"/>
        </w:rPr>
      </w:pPr>
    </w:p>
    <w:p w14:paraId="3E6589B3">
      <w:pPr>
        <w:snapToGrid w:val="0"/>
        <w:spacing w:line="300" w:lineRule="auto"/>
        <w:rPr>
          <w:rFonts w:ascii="Arial" w:hAnsi="Arial" w:eastAsia="宋体" w:cs="Arial"/>
          <w:szCs w:val="21"/>
        </w:rPr>
      </w:pPr>
    </w:p>
    <w:p w14:paraId="7301E1B2">
      <w:pPr>
        <w:snapToGrid w:val="0"/>
        <w:spacing w:line="300" w:lineRule="auto"/>
        <w:rPr>
          <w:rFonts w:ascii="Arial" w:hAnsi="Arial" w:eastAsia="宋体" w:cs="Arial"/>
          <w:szCs w:val="21"/>
        </w:rPr>
      </w:pPr>
    </w:p>
    <w:p w14:paraId="714B6612">
      <w:pPr>
        <w:snapToGrid w:val="0"/>
        <w:spacing w:line="300" w:lineRule="auto"/>
        <w:rPr>
          <w:rFonts w:ascii="Arial" w:hAnsi="Arial" w:eastAsia="宋体" w:cs="Arial"/>
          <w:szCs w:val="21"/>
        </w:rPr>
      </w:pPr>
    </w:p>
    <w:p w14:paraId="56F054CD">
      <w:pPr>
        <w:snapToGrid w:val="0"/>
        <w:spacing w:line="300" w:lineRule="auto"/>
        <w:rPr>
          <w:rFonts w:ascii="Arial" w:hAnsi="Arial" w:eastAsia="宋体" w:cs="Arial"/>
          <w:szCs w:val="21"/>
        </w:rPr>
      </w:pPr>
    </w:p>
    <w:p w14:paraId="35E03F69">
      <w:pPr>
        <w:snapToGrid w:val="0"/>
        <w:spacing w:line="300" w:lineRule="auto"/>
        <w:rPr>
          <w:rFonts w:ascii="Arial" w:hAnsi="Arial" w:eastAsia="宋体" w:cs="Arial"/>
          <w:szCs w:val="21"/>
        </w:rPr>
      </w:pPr>
    </w:p>
    <w:p w14:paraId="477E03DD">
      <w:pPr>
        <w:snapToGrid w:val="0"/>
        <w:spacing w:line="300" w:lineRule="auto"/>
        <w:rPr>
          <w:rFonts w:ascii="Arial" w:hAnsi="Arial" w:eastAsia="宋体" w:cs="Arial"/>
          <w:szCs w:val="21"/>
        </w:rPr>
      </w:pPr>
    </w:p>
    <w:p w14:paraId="4E76EAAC">
      <w:pPr>
        <w:snapToGrid w:val="0"/>
        <w:spacing w:line="300" w:lineRule="auto"/>
        <w:rPr>
          <w:rFonts w:ascii="Arial" w:hAnsi="Arial" w:eastAsia="宋体" w:cs="Arial"/>
          <w:szCs w:val="21"/>
        </w:rPr>
      </w:pPr>
    </w:p>
    <w:p w14:paraId="2ECC220A">
      <w:pPr>
        <w:snapToGrid w:val="0"/>
        <w:spacing w:line="300" w:lineRule="auto"/>
        <w:rPr>
          <w:rFonts w:ascii="Arial" w:hAnsi="Arial" w:eastAsia="宋体" w:cs="Arial"/>
          <w:szCs w:val="21"/>
        </w:rPr>
      </w:pPr>
    </w:p>
    <w:p w14:paraId="3D63F859">
      <w:pPr>
        <w:snapToGrid w:val="0"/>
        <w:spacing w:line="300" w:lineRule="auto"/>
        <w:rPr>
          <w:rFonts w:ascii="Arial" w:hAnsi="Arial" w:eastAsia="宋体" w:cs="Arial"/>
          <w:szCs w:val="21"/>
        </w:rPr>
      </w:pPr>
    </w:p>
    <w:p w14:paraId="471EDC13">
      <w:pPr>
        <w:snapToGrid w:val="0"/>
        <w:spacing w:line="300" w:lineRule="auto"/>
        <w:rPr>
          <w:rFonts w:ascii="Arial" w:hAnsi="Arial" w:eastAsia="宋体" w:cs="Arial"/>
          <w:szCs w:val="21"/>
        </w:rPr>
      </w:pPr>
    </w:p>
    <w:p w14:paraId="4FC130BA">
      <w:pPr>
        <w:snapToGrid w:val="0"/>
        <w:spacing w:line="300" w:lineRule="auto"/>
        <w:rPr>
          <w:rFonts w:ascii="Arial" w:hAnsi="Arial" w:eastAsia="宋体" w:cs="Arial"/>
          <w:szCs w:val="21"/>
        </w:rPr>
      </w:pPr>
    </w:p>
    <w:p w14:paraId="6CC07812">
      <w:pPr>
        <w:snapToGrid w:val="0"/>
        <w:spacing w:line="300" w:lineRule="auto"/>
        <w:rPr>
          <w:rFonts w:ascii="Arial" w:hAnsi="Arial" w:eastAsia="宋体" w:cs="Arial"/>
          <w:szCs w:val="21"/>
        </w:rPr>
      </w:pPr>
      <w:r>
        <w:rPr>
          <w:rFonts w:hint="eastAsia" w:ascii="Arial" w:hAnsi="Arial" w:eastAsia="宋体" w:cs="Arial"/>
          <w:szCs w:val="21"/>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128270</wp:posOffset>
                </wp:positionV>
                <wp:extent cx="1339850" cy="12655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702" cy="12652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1305D">
                            <w:r>
                              <w:drawing>
                                <wp:inline distT="0" distB="0" distL="0" distR="0">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25195" cy="956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pt;margin-top:10.1pt;height:99.65pt;width:105.5pt;z-index:251660288;mso-width-relative:page;mso-height-relative:page;" filled="f" stroked="f" coordsize="21600,21600" o:gfxdata="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ZmmIzXAAAACQEAAA8AAAAAAAAAAQAgAAAAIgAA&#10;AGRycy9kb3ducmV2LnhtbFBLAQIUABQAAAAIAIdO4kBrdB5fQgIAAHUEAAAOAAAAAAAAAAEAIAAA&#10;ACYBAABkcnMvZTJvRG9jLnhtbFBLBQYAAAAABgAGAFkBAADaBQAAAAA=&#10;">
                <v:fill on="f" focussize="0,0"/>
                <v:stroke on="f" weight="0.5pt"/>
                <v:imagedata o:title=""/>
                <o:lock v:ext="edit" aspectratio="f"/>
                <v:textbox>
                  <w:txbxContent>
                    <w:p w14:paraId="6B71305D">
                      <w:r>
                        <w:drawing>
                          <wp:inline distT="0" distB="0" distL="0" distR="0">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25195" cy="956945"/>
                                    </a:xfrm>
                                    <a:prstGeom prst="rect">
                                      <a:avLst/>
                                    </a:prstGeom>
                                    <a:noFill/>
                                    <a:ln>
                                      <a:noFill/>
                                    </a:ln>
                                  </pic:spPr>
                                </pic:pic>
                              </a:graphicData>
                            </a:graphic>
                          </wp:inline>
                        </w:drawing>
                      </w:r>
                    </w:p>
                  </w:txbxContent>
                </v:textbox>
              </v:shape>
            </w:pict>
          </mc:Fallback>
        </mc:AlternateContent>
      </w:r>
    </w:p>
    <w:p w14:paraId="3CDBBFA8">
      <w:pPr>
        <w:snapToGrid w:val="0"/>
        <w:spacing w:line="300" w:lineRule="auto"/>
        <w:jc w:val="right"/>
        <w:rPr>
          <w:rFonts w:ascii="Arial" w:hAnsi="Arial" w:eastAsia="宋体" w:cs="Arial"/>
          <w:szCs w:val="21"/>
        </w:rPr>
      </w:pPr>
      <w:r>
        <w:rPr>
          <w:rFonts w:ascii="Arial" w:hAnsi="Arial" w:eastAsia="宋体" w:cs="Arial"/>
          <w:szCs w:val="21"/>
        </w:rPr>
        <w:t>美国健康与人类服务署</w:t>
      </w:r>
    </w:p>
    <w:p w14:paraId="45ABF68C">
      <w:pPr>
        <w:snapToGrid w:val="0"/>
        <w:spacing w:line="300" w:lineRule="auto"/>
        <w:jc w:val="right"/>
        <w:rPr>
          <w:rFonts w:ascii="Arial" w:hAnsi="Arial" w:eastAsia="宋体" w:cs="Arial"/>
          <w:szCs w:val="21"/>
        </w:rPr>
      </w:pPr>
      <w:r>
        <w:rPr>
          <w:rFonts w:ascii="Arial" w:hAnsi="Arial" w:eastAsia="宋体" w:cs="Arial"/>
          <w:szCs w:val="21"/>
        </w:rPr>
        <w:t>食品和药品监督管理局</w:t>
      </w:r>
    </w:p>
    <w:p w14:paraId="15B16789">
      <w:pPr>
        <w:snapToGrid w:val="0"/>
        <w:spacing w:line="300" w:lineRule="auto"/>
        <w:jc w:val="right"/>
        <w:rPr>
          <w:rFonts w:ascii="Arial" w:hAnsi="Arial" w:eastAsia="宋体" w:cs="Arial"/>
          <w:szCs w:val="21"/>
        </w:rPr>
      </w:pPr>
      <w:r>
        <w:rPr>
          <w:rFonts w:ascii="Arial" w:hAnsi="Arial" w:eastAsia="宋体" w:cs="Arial"/>
          <w:szCs w:val="21"/>
        </w:rPr>
        <w:t>医疗器械与辐射健康中心</w:t>
      </w:r>
    </w:p>
    <w:p w14:paraId="63D9B2F5">
      <w:pPr>
        <w:snapToGrid w:val="0"/>
        <w:spacing w:line="300" w:lineRule="auto"/>
        <w:jc w:val="right"/>
        <w:rPr>
          <w:rFonts w:ascii="Arial" w:hAnsi="Arial" w:eastAsia="宋体" w:cs="Arial"/>
          <w:szCs w:val="21"/>
        </w:rPr>
      </w:pPr>
      <w:r>
        <w:rPr>
          <w:rFonts w:ascii="Arial" w:hAnsi="Arial" w:eastAsia="宋体" w:cs="Arial"/>
          <w:szCs w:val="21"/>
        </w:rPr>
        <w:t>医疗器械评估办公室</w:t>
      </w:r>
    </w:p>
    <w:p w14:paraId="184572DE">
      <w:pPr>
        <w:snapToGrid w:val="0"/>
        <w:spacing w:line="300" w:lineRule="auto"/>
        <w:jc w:val="right"/>
        <w:rPr>
          <w:rFonts w:ascii="Arial" w:hAnsi="Arial" w:eastAsia="宋体" w:cs="Arial"/>
          <w:szCs w:val="21"/>
        </w:rPr>
      </w:pPr>
      <w:r>
        <w:rPr>
          <w:rFonts w:ascii="Arial" w:hAnsi="Arial" w:eastAsia="宋体" w:cs="Arial"/>
          <w:szCs w:val="21"/>
        </w:rPr>
        <w:t>手术器械科</w:t>
      </w:r>
    </w:p>
    <w:p w14:paraId="20A54F85">
      <w:pPr>
        <w:snapToGrid w:val="0"/>
        <w:spacing w:line="300" w:lineRule="auto"/>
        <w:jc w:val="right"/>
        <w:rPr>
          <w:rFonts w:ascii="Arial" w:hAnsi="Arial" w:eastAsia="宋体" w:cs="Arial"/>
          <w:szCs w:val="21"/>
        </w:rPr>
      </w:pPr>
      <w:r>
        <w:rPr>
          <w:rFonts w:ascii="Arial" w:hAnsi="Arial" w:eastAsia="宋体" w:cs="Arial"/>
          <w:szCs w:val="21"/>
        </w:rPr>
        <w:t>一般外科器械2部</w:t>
      </w:r>
    </w:p>
    <w:p w14:paraId="7AD74072">
      <w:pPr>
        <w:widowControl/>
        <w:snapToGrid w:val="0"/>
        <w:spacing w:line="300" w:lineRule="auto"/>
        <w:rPr>
          <w:rFonts w:ascii="Arial" w:hAnsi="Arial" w:eastAsia="宋体" w:cs="Arial"/>
          <w:szCs w:val="21"/>
        </w:rPr>
        <w:sectPr>
          <w:footerReference r:id="rId5" w:type="first"/>
          <w:headerReference r:id="rId3" w:type="default"/>
          <w:footerReference r:id="rId4" w:type="default"/>
          <w:pgSz w:w="11906" w:h="16838"/>
          <w:pgMar w:top="1134" w:right="1134" w:bottom="1134" w:left="1134" w:header="720" w:footer="720" w:gutter="0"/>
          <w:cols w:space="720" w:num="1"/>
          <w:titlePg/>
          <w:docGrid w:type="lines" w:linePitch="312" w:charSpace="0"/>
        </w:sectPr>
      </w:pPr>
    </w:p>
    <w:p w14:paraId="7FEF51E5">
      <w:pPr>
        <w:snapToGrid w:val="0"/>
        <w:spacing w:line="300" w:lineRule="auto"/>
        <w:jc w:val="right"/>
        <w:rPr>
          <w:rFonts w:ascii="Arial" w:hAnsi="Arial" w:eastAsia="宋体" w:cs="Arial"/>
          <w:szCs w:val="21"/>
        </w:rPr>
      </w:pPr>
    </w:p>
    <w:p w14:paraId="03017D40">
      <w:pPr>
        <w:widowControl/>
        <w:jc w:val="left"/>
        <w:rPr>
          <w:rFonts w:ascii="Arial" w:hAnsi="Arial" w:eastAsia="宋体" w:cs="Arial"/>
          <w:b/>
          <w:sz w:val="36"/>
          <w:szCs w:val="36"/>
        </w:rPr>
      </w:pPr>
      <w:r>
        <w:rPr>
          <w:rFonts w:ascii="Arial" w:hAnsi="Arial" w:eastAsia="宋体" w:cs="Arial"/>
          <w:b/>
          <w:sz w:val="36"/>
          <w:szCs w:val="36"/>
        </w:rPr>
        <w:t>前言</w:t>
      </w:r>
    </w:p>
    <w:p w14:paraId="5BEEB570">
      <w:pPr>
        <w:snapToGrid w:val="0"/>
        <w:spacing w:line="300" w:lineRule="auto"/>
        <w:rPr>
          <w:rFonts w:ascii="Arial" w:hAnsi="Arial" w:eastAsia="宋体" w:cs="Arial"/>
          <w:szCs w:val="21"/>
        </w:rPr>
      </w:pPr>
    </w:p>
    <w:p w14:paraId="7939AB76">
      <w:pPr>
        <w:snapToGrid w:val="0"/>
        <w:spacing w:line="360" w:lineRule="auto"/>
        <w:rPr>
          <w:rFonts w:ascii="Arial" w:hAnsi="Arial" w:eastAsia="宋体" w:cs="Arial"/>
          <w:b/>
          <w:sz w:val="32"/>
          <w:szCs w:val="32"/>
        </w:rPr>
      </w:pPr>
      <w:r>
        <w:rPr>
          <w:rFonts w:ascii="Arial" w:hAnsi="Arial" w:eastAsia="宋体" w:cs="Arial"/>
          <w:b/>
          <w:sz w:val="32"/>
          <w:szCs w:val="32"/>
        </w:rPr>
        <w:t>公众评论</w:t>
      </w:r>
    </w:p>
    <w:p w14:paraId="6C391F2E">
      <w:pPr>
        <w:snapToGrid w:val="0"/>
        <w:spacing w:line="360" w:lineRule="auto"/>
        <w:rPr>
          <w:rFonts w:ascii="Arial" w:hAnsi="Arial" w:eastAsia="宋体" w:cs="Arial"/>
          <w:b/>
          <w:sz w:val="32"/>
          <w:szCs w:val="32"/>
        </w:rPr>
      </w:pPr>
    </w:p>
    <w:p w14:paraId="422EB069">
      <w:pPr>
        <w:snapToGrid w:val="0"/>
        <w:spacing w:line="360" w:lineRule="auto"/>
        <w:rPr>
          <w:rFonts w:ascii="Arial" w:hAnsi="Arial" w:eastAsia="宋体" w:cs="Arial"/>
          <w:szCs w:val="21"/>
        </w:rPr>
      </w:pPr>
      <w:r>
        <w:rPr>
          <w:rFonts w:ascii="Arial" w:hAnsi="Arial" w:eastAsia="宋体" w:cs="Arial"/>
          <w:szCs w:val="21"/>
        </w:rPr>
        <w:t>您可以在任何时间通过网站</w:t>
      </w:r>
      <w:r>
        <w:rPr>
          <w:rFonts w:ascii="Arial" w:hAnsi="Arial" w:cs="Arial"/>
          <w:color w:val="0000FF"/>
          <w:szCs w:val="21"/>
          <w:u w:val="single"/>
        </w:rPr>
        <w:t>http://www.regulations.gov</w:t>
      </w:r>
      <w:r>
        <w:rPr>
          <w:rFonts w:ascii="Arial" w:hAnsi="Arial" w:eastAsia="宋体" w:cs="Arial"/>
          <w:szCs w:val="21"/>
        </w:rPr>
        <w:t>向机构提交评论或建议。书面评论请寄至食品与药品监督管理局文件管理部（5630 Fishers Lane, Room 1061, (HFA-305), Rockville, MD 20852）。所有的评论请标记文件编号为FDA-2014-D-0218。在文件下次修订或更新前机构不会针对评论作出回应。</w:t>
      </w:r>
    </w:p>
    <w:p w14:paraId="67AF7E73">
      <w:pPr>
        <w:snapToGrid w:val="0"/>
        <w:spacing w:line="360" w:lineRule="auto"/>
        <w:rPr>
          <w:rFonts w:ascii="Arial" w:hAnsi="Arial" w:eastAsia="宋体" w:cs="Arial"/>
          <w:szCs w:val="21"/>
        </w:rPr>
      </w:pPr>
    </w:p>
    <w:p w14:paraId="04776286">
      <w:pPr>
        <w:snapToGrid w:val="0"/>
        <w:spacing w:line="360" w:lineRule="auto"/>
        <w:rPr>
          <w:rFonts w:ascii="Arial" w:hAnsi="Arial" w:eastAsia="宋体" w:cs="Arial"/>
          <w:b/>
          <w:sz w:val="32"/>
          <w:szCs w:val="32"/>
        </w:rPr>
      </w:pPr>
      <w:r>
        <w:rPr>
          <w:rFonts w:ascii="Arial" w:hAnsi="Arial" w:eastAsia="宋体" w:cs="Arial"/>
          <w:b/>
          <w:sz w:val="32"/>
          <w:szCs w:val="32"/>
        </w:rPr>
        <w:t>其他副本</w:t>
      </w:r>
    </w:p>
    <w:p w14:paraId="74DA03E4">
      <w:pPr>
        <w:snapToGrid w:val="0"/>
        <w:spacing w:line="360" w:lineRule="auto"/>
        <w:rPr>
          <w:rFonts w:ascii="Arial" w:hAnsi="Arial" w:eastAsia="宋体" w:cs="Arial"/>
          <w:b/>
          <w:sz w:val="32"/>
          <w:szCs w:val="32"/>
        </w:rPr>
      </w:pPr>
    </w:p>
    <w:p w14:paraId="07F37B65">
      <w:pPr>
        <w:snapToGrid w:val="0"/>
        <w:spacing w:line="360" w:lineRule="auto"/>
        <w:rPr>
          <w:rFonts w:ascii="Arial" w:hAnsi="Arial" w:eastAsia="宋体" w:cs="Arial"/>
          <w:szCs w:val="21"/>
        </w:rPr>
        <w:sectPr>
          <w:headerReference r:id="rId6" w:type="first"/>
          <w:footerReference r:id="rId8" w:type="first"/>
          <w:footerReference r:id="rId7" w:type="default"/>
          <w:pgSz w:w="11906" w:h="16838"/>
          <w:pgMar w:top="1134" w:right="1134" w:bottom="1134" w:left="1134" w:header="720" w:footer="720" w:gutter="0"/>
          <w:pgNumType w:fmt="lowerRoman" w:start="2"/>
          <w:cols w:space="720" w:num="1"/>
          <w:titlePg/>
          <w:docGrid w:type="lines" w:linePitch="312" w:charSpace="0"/>
        </w:sectPr>
      </w:pPr>
      <w:r>
        <w:rPr>
          <w:rFonts w:ascii="Arial" w:hAnsi="Arial" w:eastAsia="宋体" w:cs="Arial"/>
          <w:szCs w:val="21"/>
        </w:rPr>
        <w:t>文件其他副本可以从网上下载。你也可以发送请求邮件至</w:t>
      </w:r>
      <w:r>
        <w:rPr>
          <w:color w:val="0000FF"/>
          <w:szCs w:val="21"/>
          <w:u w:val="single"/>
        </w:rPr>
        <w:t>CDRH-Guidance@fda.hhs.gov</w:t>
      </w:r>
      <w:r>
        <w:rPr>
          <w:rFonts w:ascii="Arial" w:hAnsi="Arial" w:eastAsia="宋体" w:cs="Arial"/>
          <w:szCs w:val="21"/>
        </w:rPr>
        <w:t>来获取指导文件副本。请使用文件编号1300048以确认您请求的指南。</w:t>
      </w:r>
    </w:p>
    <w:sdt>
      <w:sdtPr>
        <w:rPr>
          <w:rFonts w:asciiTheme="minorHAnsi" w:hAnsiTheme="minorHAnsi" w:eastAsiaTheme="minorEastAsia" w:cstheme="minorBidi"/>
          <w:color w:val="auto"/>
          <w:kern w:val="2"/>
          <w:sz w:val="21"/>
          <w:szCs w:val="22"/>
          <w:lang w:val="zh-CN"/>
        </w:rPr>
        <w:id w:val="-643196020"/>
        <w:docPartObj>
          <w:docPartGallery w:val="Table of Contents"/>
          <w:docPartUnique/>
        </w:docPartObj>
      </w:sdtPr>
      <w:sdtEndPr>
        <w:rPr>
          <w:rFonts w:asciiTheme="minorHAnsi" w:hAnsiTheme="minorHAnsi" w:eastAsiaTheme="minorEastAsia" w:cstheme="minorBidi"/>
          <w:bCs/>
          <w:color w:val="auto"/>
          <w:kern w:val="2"/>
          <w:sz w:val="21"/>
          <w:szCs w:val="22"/>
          <w:lang w:val="zh-CN"/>
        </w:rPr>
      </w:sdtEndPr>
      <w:sdtContent>
        <w:p w14:paraId="0AAB85AA">
          <w:pPr>
            <w:pStyle w:val="17"/>
            <w:jc w:val="center"/>
            <w:rPr>
              <w:color w:val="auto"/>
            </w:rPr>
          </w:pPr>
          <w:r>
            <w:rPr>
              <w:rFonts w:ascii="宋体" w:hAnsi="宋体" w:eastAsia="宋体"/>
              <w:b/>
              <w:color w:val="auto"/>
              <w:sz w:val="44"/>
              <w:szCs w:val="44"/>
              <w:lang w:val="zh-CN"/>
            </w:rPr>
            <w:t>目录</w:t>
          </w:r>
        </w:p>
        <w:p w14:paraId="65361A64">
          <w:pPr>
            <w:pStyle w:val="6"/>
          </w:pPr>
          <w:r>
            <w:fldChar w:fldCharType="begin"/>
          </w:r>
          <w:r>
            <w:instrText xml:space="preserve"> TOC \o "1-2" \h \z \u </w:instrText>
          </w:r>
          <w:r>
            <w:fldChar w:fldCharType="separate"/>
          </w:r>
          <w:r>
            <w:fldChar w:fldCharType="begin"/>
          </w:r>
          <w:r>
            <w:instrText xml:space="preserve"> HYPERLINK \l "_Toc478549313" </w:instrText>
          </w:r>
          <w:r>
            <w:fldChar w:fldCharType="separate"/>
          </w:r>
          <w:r>
            <w:rPr>
              <w:rStyle w:val="11"/>
              <w:rFonts w:ascii="Arial" w:hAnsi="Arial" w:eastAsia="宋体" w:cs="Arial"/>
            </w:rPr>
            <w:t>I.</w:t>
          </w:r>
          <w:r>
            <w:tab/>
          </w:r>
          <w:r>
            <w:rPr>
              <w:rStyle w:val="11"/>
              <w:rFonts w:hint="eastAsia" w:ascii="Arial" w:hAnsi="Arial" w:eastAsia="宋体" w:cs="Arial"/>
            </w:rPr>
            <w:t>前言</w:t>
          </w:r>
          <w:r>
            <w:tab/>
          </w:r>
          <w:r>
            <w:fldChar w:fldCharType="begin"/>
          </w:r>
          <w:r>
            <w:instrText xml:space="preserve"> PAGEREF _Toc478549313 \h </w:instrText>
          </w:r>
          <w:r>
            <w:fldChar w:fldCharType="separate"/>
          </w:r>
          <w:r>
            <w:t>2</w:t>
          </w:r>
          <w:r>
            <w:fldChar w:fldCharType="end"/>
          </w:r>
          <w:r>
            <w:fldChar w:fldCharType="end"/>
          </w:r>
        </w:p>
        <w:p w14:paraId="20D076F9">
          <w:pPr>
            <w:pStyle w:val="6"/>
          </w:pPr>
          <w:r>
            <w:fldChar w:fldCharType="begin"/>
          </w:r>
          <w:r>
            <w:instrText xml:space="preserve"> HYPERLINK \l "_Toc478549314" </w:instrText>
          </w:r>
          <w:r>
            <w:fldChar w:fldCharType="separate"/>
          </w:r>
          <w:r>
            <w:rPr>
              <w:rStyle w:val="11"/>
              <w:rFonts w:ascii="Arial" w:hAnsi="Arial" w:eastAsia="宋体" w:cs="Arial"/>
            </w:rPr>
            <w:t>II.</w:t>
          </w:r>
          <w:r>
            <w:tab/>
          </w:r>
          <w:r>
            <w:rPr>
              <w:rStyle w:val="11"/>
              <w:rFonts w:hint="eastAsia" w:ascii="Arial" w:hAnsi="Arial" w:eastAsia="宋体" w:cs="Arial"/>
            </w:rPr>
            <w:t>范围</w:t>
          </w:r>
          <w:r>
            <w:tab/>
          </w:r>
          <w:r>
            <w:fldChar w:fldCharType="begin"/>
          </w:r>
          <w:r>
            <w:instrText xml:space="preserve"> PAGEREF _Toc478549314 \h </w:instrText>
          </w:r>
          <w:r>
            <w:fldChar w:fldCharType="separate"/>
          </w:r>
          <w:r>
            <w:t>2</w:t>
          </w:r>
          <w:r>
            <w:fldChar w:fldCharType="end"/>
          </w:r>
          <w:r>
            <w:fldChar w:fldCharType="end"/>
          </w:r>
        </w:p>
        <w:p w14:paraId="077B4129">
          <w:pPr>
            <w:pStyle w:val="6"/>
          </w:pPr>
          <w:r>
            <w:fldChar w:fldCharType="begin"/>
          </w:r>
          <w:r>
            <w:instrText xml:space="preserve"> HYPERLINK \l "_Toc478549315" </w:instrText>
          </w:r>
          <w:r>
            <w:fldChar w:fldCharType="separate"/>
          </w:r>
          <w:r>
            <w:rPr>
              <w:rStyle w:val="11"/>
              <w:rFonts w:ascii="Arial" w:hAnsi="Arial" w:eastAsia="宋体" w:cs="Arial"/>
            </w:rPr>
            <w:t>III.</w:t>
          </w:r>
          <w:r>
            <w:tab/>
          </w:r>
          <w:r>
            <w:rPr>
              <w:rStyle w:val="11"/>
              <w:rFonts w:hint="eastAsia" w:ascii="Arial" w:hAnsi="Arial" w:eastAsia="宋体" w:cs="Arial"/>
            </w:rPr>
            <w:t>器械描述</w:t>
          </w:r>
          <w:r>
            <w:tab/>
          </w:r>
          <w:r>
            <w:fldChar w:fldCharType="begin"/>
          </w:r>
          <w:r>
            <w:instrText xml:space="preserve"> PAGEREF _Toc478549315 \h </w:instrText>
          </w:r>
          <w:r>
            <w:fldChar w:fldCharType="separate"/>
          </w:r>
          <w:r>
            <w:t>4</w:t>
          </w:r>
          <w:r>
            <w:fldChar w:fldCharType="end"/>
          </w:r>
          <w:r>
            <w:fldChar w:fldCharType="end"/>
          </w:r>
        </w:p>
        <w:p w14:paraId="62782224">
          <w:pPr>
            <w:pStyle w:val="7"/>
            <w:tabs>
              <w:tab w:val="left" w:pos="1050"/>
              <w:tab w:val="right" w:leader="dot" w:pos="9628"/>
            </w:tabs>
          </w:pPr>
          <w:r>
            <w:fldChar w:fldCharType="begin"/>
          </w:r>
          <w:r>
            <w:instrText xml:space="preserve"> HYPERLINK \l "_Toc478549316" </w:instrText>
          </w:r>
          <w:r>
            <w:fldChar w:fldCharType="separate"/>
          </w:r>
          <w:r>
            <w:rPr>
              <w:rStyle w:val="11"/>
              <w:rFonts w:ascii="Arial" w:hAnsi="Arial" w:eastAsia="宋体" w:cs="Arial"/>
            </w:rPr>
            <w:t>A.</w:t>
          </w:r>
          <w:r>
            <w:tab/>
          </w:r>
          <w:r>
            <w:rPr>
              <w:rStyle w:val="11"/>
              <w:rFonts w:hint="eastAsia" w:ascii="Arial" w:hAnsi="Arial" w:eastAsia="宋体" w:cs="Arial"/>
            </w:rPr>
            <w:t>使用适应症</w:t>
          </w:r>
          <w:r>
            <w:tab/>
          </w:r>
          <w:r>
            <w:fldChar w:fldCharType="begin"/>
          </w:r>
          <w:r>
            <w:instrText xml:space="preserve"> PAGEREF _Toc478549316 \h </w:instrText>
          </w:r>
          <w:r>
            <w:fldChar w:fldCharType="separate"/>
          </w:r>
          <w:r>
            <w:t>4</w:t>
          </w:r>
          <w:r>
            <w:fldChar w:fldCharType="end"/>
          </w:r>
          <w:r>
            <w:fldChar w:fldCharType="end"/>
          </w:r>
        </w:p>
        <w:p w14:paraId="6A3D47BC">
          <w:pPr>
            <w:pStyle w:val="7"/>
            <w:tabs>
              <w:tab w:val="left" w:pos="1050"/>
              <w:tab w:val="right" w:leader="dot" w:pos="9628"/>
            </w:tabs>
          </w:pPr>
          <w:r>
            <w:fldChar w:fldCharType="begin"/>
          </w:r>
          <w:r>
            <w:instrText xml:space="preserve"> HYPERLINK \l "_Toc478549317" </w:instrText>
          </w:r>
          <w:r>
            <w:fldChar w:fldCharType="separate"/>
          </w:r>
          <w:r>
            <w:rPr>
              <w:rStyle w:val="11"/>
              <w:rFonts w:ascii="Arial" w:hAnsi="Arial" w:eastAsia="宋体" w:cs="Arial"/>
            </w:rPr>
            <w:t>B.</w:t>
          </w:r>
          <w:r>
            <w:tab/>
          </w:r>
          <w:r>
            <w:rPr>
              <w:rStyle w:val="11"/>
              <w:rFonts w:hint="eastAsia" w:ascii="Arial" w:hAnsi="Arial" w:eastAsia="宋体" w:cs="Arial"/>
            </w:rPr>
            <w:t>器械设计</w:t>
          </w:r>
          <w:r>
            <w:tab/>
          </w:r>
          <w:r>
            <w:fldChar w:fldCharType="begin"/>
          </w:r>
          <w:r>
            <w:instrText xml:space="preserve"> PAGEREF _Toc478549317 \h </w:instrText>
          </w:r>
          <w:r>
            <w:fldChar w:fldCharType="separate"/>
          </w:r>
          <w:r>
            <w:t>4</w:t>
          </w:r>
          <w:r>
            <w:fldChar w:fldCharType="end"/>
          </w:r>
          <w:r>
            <w:fldChar w:fldCharType="end"/>
          </w:r>
        </w:p>
        <w:p w14:paraId="00B2E4FB">
          <w:pPr>
            <w:pStyle w:val="6"/>
          </w:pPr>
          <w:r>
            <w:fldChar w:fldCharType="begin"/>
          </w:r>
          <w:r>
            <w:instrText xml:space="preserve"> HYPERLINK \l "_Toc478549318" </w:instrText>
          </w:r>
          <w:r>
            <w:fldChar w:fldCharType="separate"/>
          </w:r>
          <w:r>
            <w:rPr>
              <w:rStyle w:val="11"/>
              <w:rFonts w:ascii="Arial" w:hAnsi="Arial" w:eastAsia="宋体" w:cs="Arial"/>
            </w:rPr>
            <w:t>IV.</w:t>
          </w:r>
          <w:r>
            <w:tab/>
          </w:r>
          <w:r>
            <w:rPr>
              <w:rStyle w:val="11"/>
              <w:rFonts w:hint="eastAsia" w:ascii="Arial" w:hAnsi="Arial" w:eastAsia="宋体" w:cs="Arial"/>
            </w:rPr>
            <w:t>实质等同性比较</w:t>
          </w:r>
          <w:r>
            <w:tab/>
          </w:r>
          <w:r>
            <w:fldChar w:fldCharType="begin"/>
          </w:r>
          <w:r>
            <w:instrText xml:space="preserve"> PAGEREF _Toc478549318 \h </w:instrText>
          </w:r>
          <w:r>
            <w:fldChar w:fldCharType="separate"/>
          </w:r>
          <w:r>
            <w:t>6</w:t>
          </w:r>
          <w:r>
            <w:fldChar w:fldCharType="end"/>
          </w:r>
          <w:r>
            <w:fldChar w:fldCharType="end"/>
          </w:r>
        </w:p>
        <w:p w14:paraId="0B6F1ED8">
          <w:pPr>
            <w:pStyle w:val="6"/>
          </w:pPr>
          <w:r>
            <w:fldChar w:fldCharType="begin"/>
          </w:r>
          <w:r>
            <w:instrText xml:space="preserve"> HYPERLINK \l "_Toc478549319" </w:instrText>
          </w:r>
          <w:r>
            <w:fldChar w:fldCharType="separate"/>
          </w:r>
          <w:r>
            <w:rPr>
              <w:rStyle w:val="11"/>
              <w:rFonts w:ascii="Arial" w:hAnsi="Arial" w:eastAsia="宋体" w:cs="Arial"/>
            </w:rPr>
            <w:t>V.</w:t>
          </w:r>
          <w:r>
            <w:tab/>
          </w:r>
          <w:r>
            <w:rPr>
              <w:rStyle w:val="11"/>
              <w:rFonts w:hint="eastAsia" w:ascii="Arial" w:hAnsi="Arial" w:eastAsia="宋体" w:cs="Arial"/>
            </w:rPr>
            <w:t>性能数据</w:t>
          </w:r>
          <w:r>
            <w:tab/>
          </w:r>
          <w:r>
            <w:fldChar w:fldCharType="begin"/>
          </w:r>
          <w:r>
            <w:instrText xml:space="preserve"> PAGEREF _Toc478549319 \h </w:instrText>
          </w:r>
          <w:r>
            <w:fldChar w:fldCharType="separate"/>
          </w:r>
          <w:r>
            <w:t>7</w:t>
          </w:r>
          <w:r>
            <w:fldChar w:fldCharType="end"/>
          </w:r>
          <w:r>
            <w:fldChar w:fldCharType="end"/>
          </w:r>
        </w:p>
        <w:p w14:paraId="4DAE16E5">
          <w:pPr>
            <w:pStyle w:val="7"/>
            <w:tabs>
              <w:tab w:val="left" w:pos="1050"/>
              <w:tab w:val="right" w:leader="dot" w:pos="9628"/>
            </w:tabs>
          </w:pPr>
          <w:r>
            <w:fldChar w:fldCharType="begin"/>
          </w:r>
          <w:r>
            <w:instrText xml:space="preserve"> HYPERLINK \l "_Toc478549320" </w:instrText>
          </w:r>
          <w:r>
            <w:fldChar w:fldCharType="separate"/>
          </w:r>
          <w:r>
            <w:rPr>
              <w:rStyle w:val="11"/>
              <w:rFonts w:ascii="Arial" w:hAnsi="Arial" w:eastAsia="宋体" w:cs="Arial"/>
            </w:rPr>
            <w:t>A.</w:t>
          </w:r>
          <w:r>
            <w:tab/>
          </w:r>
          <w:r>
            <w:rPr>
              <w:rStyle w:val="11"/>
              <w:rFonts w:ascii="Arial" w:hAnsi="Arial" w:eastAsia="宋体" w:cs="Arial"/>
            </w:rPr>
            <w:t>ESU</w:t>
          </w:r>
          <w:r>
            <w:tab/>
          </w:r>
          <w:r>
            <w:fldChar w:fldCharType="begin"/>
          </w:r>
          <w:r>
            <w:instrText xml:space="preserve"> PAGEREF _Toc478549320 \h </w:instrText>
          </w:r>
          <w:r>
            <w:fldChar w:fldCharType="separate"/>
          </w:r>
          <w:r>
            <w:t>8</w:t>
          </w:r>
          <w:r>
            <w:fldChar w:fldCharType="end"/>
          </w:r>
          <w:r>
            <w:fldChar w:fldCharType="end"/>
          </w:r>
        </w:p>
        <w:p w14:paraId="111191AD">
          <w:pPr>
            <w:pStyle w:val="7"/>
            <w:tabs>
              <w:tab w:val="left" w:pos="1050"/>
              <w:tab w:val="right" w:leader="dot" w:pos="9628"/>
            </w:tabs>
          </w:pPr>
          <w:r>
            <w:fldChar w:fldCharType="begin"/>
          </w:r>
          <w:r>
            <w:instrText xml:space="preserve"> HYPERLINK \l "_Toc478549321" </w:instrText>
          </w:r>
          <w:r>
            <w:fldChar w:fldCharType="separate"/>
          </w:r>
          <w:r>
            <w:rPr>
              <w:rStyle w:val="11"/>
              <w:rFonts w:ascii="Arial" w:hAnsi="Arial" w:eastAsia="宋体" w:cs="Arial"/>
            </w:rPr>
            <w:t>B.</w:t>
          </w:r>
          <w:r>
            <w:tab/>
          </w:r>
          <w:r>
            <w:rPr>
              <w:rStyle w:val="11"/>
              <w:rFonts w:hint="eastAsia" w:ascii="Arial" w:hAnsi="Arial" w:eastAsia="宋体" w:cs="Arial"/>
            </w:rPr>
            <w:t>活动部件</w:t>
          </w:r>
          <w:r>
            <w:rPr>
              <w:rStyle w:val="11"/>
              <w:rFonts w:ascii="Arial" w:hAnsi="Arial" w:eastAsia="宋体" w:cs="Arial"/>
            </w:rPr>
            <w:t>/</w:t>
          </w:r>
          <w:r>
            <w:rPr>
              <w:rStyle w:val="11"/>
              <w:rFonts w:hint="eastAsia" w:ascii="Arial" w:hAnsi="Arial" w:eastAsia="宋体" w:cs="Arial"/>
            </w:rPr>
            <w:t>附件</w:t>
          </w:r>
          <w:r>
            <w:tab/>
          </w:r>
          <w:r>
            <w:fldChar w:fldCharType="begin"/>
          </w:r>
          <w:r>
            <w:instrText xml:space="preserve"> PAGEREF _Toc478549321 \h </w:instrText>
          </w:r>
          <w:r>
            <w:fldChar w:fldCharType="separate"/>
          </w:r>
          <w:r>
            <w:t>8</w:t>
          </w:r>
          <w:r>
            <w:fldChar w:fldCharType="end"/>
          </w:r>
          <w:r>
            <w:fldChar w:fldCharType="end"/>
          </w:r>
        </w:p>
        <w:p w14:paraId="4668485D">
          <w:pPr>
            <w:pStyle w:val="7"/>
            <w:tabs>
              <w:tab w:val="left" w:pos="1050"/>
              <w:tab w:val="right" w:leader="dot" w:pos="9628"/>
            </w:tabs>
          </w:pPr>
          <w:r>
            <w:fldChar w:fldCharType="begin"/>
          </w:r>
          <w:r>
            <w:instrText xml:space="preserve"> HYPERLINK \l "_Toc478549322" </w:instrText>
          </w:r>
          <w:r>
            <w:fldChar w:fldCharType="separate"/>
          </w:r>
          <w:r>
            <w:rPr>
              <w:rStyle w:val="11"/>
              <w:rFonts w:ascii="Arial" w:hAnsi="Arial" w:eastAsia="宋体" w:cs="Arial"/>
            </w:rPr>
            <w:t>C.</w:t>
          </w:r>
          <w:r>
            <w:tab/>
          </w:r>
          <w:r>
            <w:rPr>
              <w:rStyle w:val="11"/>
              <w:rFonts w:hint="eastAsia" w:ascii="Arial" w:hAnsi="Arial" w:eastAsia="宋体" w:cs="Arial"/>
            </w:rPr>
            <w:t>其他附件</w:t>
          </w:r>
          <w:r>
            <w:rPr>
              <w:rStyle w:val="11"/>
              <w:rFonts w:ascii="Arial" w:hAnsi="Arial" w:eastAsia="宋体" w:cs="Arial"/>
            </w:rPr>
            <w:t>/</w:t>
          </w:r>
          <w:r>
            <w:rPr>
              <w:rStyle w:val="11"/>
              <w:rFonts w:hint="eastAsia" w:ascii="Arial" w:hAnsi="Arial" w:eastAsia="宋体" w:cs="Arial"/>
            </w:rPr>
            <w:t>附件</w:t>
          </w:r>
          <w:r>
            <w:tab/>
          </w:r>
          <w:r>
            <w:fldChar w:fldCharType="begin"/>
          </w:r>
          <w:r>
            <w:instrText xml:space="preserve"> PAGEREF _Toc478549322 \h </w:instrText>
          </w:r>
          <w:r>
            <w:fldChar w:fldCharType="separate"/>
          </w:r>
          <w:r>
            <w:t>8</w:t>
          </w:r>
          <w:r>
            <w:fldChar w:fldCharType="end"/>
          </w:r>
          <w:r>
            <w:fldChar w:fldCharType="end"/>
          </w:r>
        </w:p>
        <w:p w14:paraId="6906EF85">
          <w:pPr>
            <w:pStyle w:val="7"/>
            <w:tabs>
              <w:tab w:val="left" w:pos="1050"/>
              <w:tab w:val="right" w:leader="dot" w:pos="9628"/>
            </w:tabs>
          </w:pPr>
          <w:r>
            <w:fldChar w:fldCharType="begin"/>
          </w:r>
          <w:r>
            <w:instrText xml:space="preserve"> HYPERLINK \l "_Toc478549323" </w:instrText>
          </w:r>
          <w:r>
            <w:fldChar w:fldCharType="separate"/>
          </w:r>
          <w:r>
            <w:rPr>
              <w:rStyle w:val="11"/>
              <w:rFonts w:ascii="Arial" w:hAnsi="Arial" w:eastAsia="宋体" w:cs="Arial"/>
            </w:rPr>
            <w:t>D.</w:t>
          </w:r>
          <w:r>
            <w:tab/>
          </w:r>
          <w:r>
            <w:rPr>
              <w:rStyle w:val="11"/>
              <w:rFonts w:hint="eastAsia" w:ascii="Arial" w:hAnsi="Arial" w:eastAsia="宋体" w:cs="Arial"/>
            </w:rPr>
            <w:t>系统测试</w:t>
          </w:r>
          <w:r>
            <w:tab/>
          </w:r>
          <w:r>
            <w:fldChar w:fldCharType="begin"/>
          </w:r>
          <w:r>
            <w:instrText xml:space="preserve"> PAGEREF _Toc478549323 \h </w:instrText>
          </w:r>
          <w:r>
            <w:fldChar w:fldCharType="separate"/>
          </w:r>
          <w:r>
            <w:t>8</w:t>
          </w:r>
          <w:r>
            <w:fldChar w:fldCharType="end"/>
          </w:r>
          <w:r>
            <w:fldChar w:fldCharType="end"/>
          </w:r>
        </w:p>
        <w:p w14:paraId="6C59BBA1">
          <w:pPr>
            <w:pStyle w:val="7"/>
            <w:tabs>
              <w:tab w:val="left" w:pos="840"/>
              <w:tab w:val="right" w:leader="dot" w:pos="9628"/>
            </w:tabs>
          </w:pPr>
          <w:r>
            <w:fldChar w:fldCharType="begin"/>
          </w:r>
          <w:r>
            <w:instrText xml:space="preserve"> HYPERLINK \l "_Toc478549324" </w:instrText>
          </w:r>
          <w:r>
            <w:fldChar w:fldCharType="separate"/>
          </w:r>
          <w:r>
            <w:rPr>
              <w:rStyle w:val="11"/>
              <w:rFonts w:ascii="Arial" w:hAnsi="Arial" w:eastAsia="宋体" w:cs="Arial"/>
            </w:rPr>
            <w:t>E.</w:t>
          </w:r>
          <w:r>
            <w:tab/>
          </w:r>
          <w:r>
            <w:rPr>
              <w:rStyle w:val="11"/>
              <w:rFonts w:hint="eastAsia" w:ascii="Arial" w:hAnsi="Arial" w:eastAsia="宋体" w:cs="Arial"/>
            </w:rPr>
            <w:t>长期动物研究</w:t>
          </w:r>
          <w:r>
            <w:tab/>
          </w:r>
          <w:r>
            <w:fldChar w:fldCharType="begin"/>
          </w:r>
          <w:r>
            <w:instrText xml:space="preserve"> PAGEREF _Toc478549324 \h </w:instrText>
          </w:r>
          <w:r>
            <w:fldChar w:fldCharType="separate"/>
          </w:r>
          <w:r>
            <w:t>10</w:t>
          </w:r>
          <w:r>
            <w:fldChar w:fldCharType="end"/>
          </w:r>
          <w:r>
            <w:fldChar w:fldCharType="end"/>
          </w:r>
        </w:p>
        <w:p w14:paraId="4F4A8AB8">
          <w:pPr>
            <w:pStyle w:val="6"/>
          </w:pPr>
          <w:r>
            <w:fldChar w:fldCharType="begin"/>
          </w:r>
          <w:r>
            <w:instrText xml:space="preserve"> HYPERLINK \l "_Toc478549325" </w:instrText>
          </w:r>
          <w:r>
            <w:fldChar w:fldCharType="separate"/>
          </w:r>
          <w:r>
            <w:rPr>
              <w:rStyle w:val="11"/>
              <w:rFonts w:ascii="Arial" w:hAnsi="Arial" w:eastAsia="宋体" w:cs="Arial"/>
            </w:rPr>
            <w:t>VI.</w:t>
          </w:r>
          <w:r>
            <w:tab/>
          </w:r>
          <w:r>
            <w:rPr>
              <w:rStyle w:val="11"/>
              <w:rFonts w:hint="eastAsia" w:ascii="Arial" w:hAnsi="Arial" w:eastAsia="宋体" w:cs="Arial"/>
            </w:rPr>
            <w:t>临床测试</w:t>
          </w:r>
          <w:r>
            <w:tab/>
          </w:r>
          <w:r>
            <w:fldChar w:fldCharType="begin"/>
          </w:r>
          <w:r>
            <w:instrText xml:space="preserve"> PAGEREF _Toc478549325 \h </w:instrText>
          </w:r>
          <w:r>
            <w:fldChar w:fldCharType="separate"/>
          </w:r>
          <w:r>
            <w:t>11</w:t>
          </w:r>
          <w:r>
            <w:fldChar w:fldCharType="end"/>
          </w:r>
          <w:r>
            <w:fldChar w:fldCharType="end"/>
          </w:r>
        </w:p>
        <w:p w14:paraId="46D751D8">
          <w:pPr>
            <w:pStyle w:val="6"/>
          </w:pPr>
          <w:r>
            <w:fldChar w:fldCharType="begin"/>
          </w:r>
          <w:r>
            <w:instrText xml:space="preserve"> HYPERLINK \l "_Toc478549326" </w:instrText>
          </w:r>
          <w:r>
            <w:fldChar w:fldCharType="separate"/>
          </w:r>
          <w:r>
            <w:rPr>
              <w:rStyle w:val="11"/>
              <w:rFonts w:ascii="Arial" w:hAnsi="Arial" w:eastAsia="宋体" w:cs="Arial"/>
            </w:rPr>
            <w:t>VII.</w:t>
          </w:r>
          <w:r>
            <w:tab/>
          </w:r>
          <w:r>
            <w:rPr>
              <w:rStyle w:val="11"/>
              <w:rFonts w:hint="eastAsia" w:ascii="Arial" w:hAnsi="Arial" w:eastAsia="宋体" w:cs="Arial"/>
            </w:rPr>
            <w:t>标签</w:t>
          </w:r>
          <w:r>
            <w:tab/>
          </w:r>
          <w:r>
            <w:fldChar w:fldCharType="begin"/>
          </w:r>
          <w:r>
            <w:instrText xml:space="preserve"> PAGEREF _Toc478549326 \h </w:instrText>
          </w:r>
          <w:r>
            <w:fldChar w:fldCharType="separate"/>
          </w:r>
          <w:r>
            <w:t>11</w:t>
          </w:r>
          <w:r>
            <w:fldChar w:fldCharType="end"/>
          </w:r>
          <w:r>
            <w:fldChar w:fldCharType="end"/>
          </w:r>
        </w:p>
        <w:p w14:paraId="22649D8D">
          <w:pPr>
            <w:pStyle w:val="7"/>
            <w:tabs>
              <w:tab w:val="left" w:pos="1050"/>
              <w:tab w:val="right" w:leader="dot" w:pos="9628"/>
            </w:tabs>
          </w:pPr>
          <w:r>
            <w:fldChar w:fldCharType="begin"/>
          </w:r>
          <w:r>
            <w:instrText xml:space="preserve"> HYPERLINK \l "_Toc478549327" </w:instrText>
          </w:r>
          <w:r>
            <w:fldChar w:fldCharType="separate"/>
          </w:r>
          <w:r>
            <w:rPr>
              <w:rStyle w:val="11"/>
              <w:rFonts w:ascii="Arial" w:hAnsi="Arial" w:eastAsia="宋体" w:cs="Arial"/>
            </w:rPr>
            <w:t>A.</w:t>
          </w:r>
          <w:r>
            <w:tab/>
          </w:r>
          <w:r>
            <w:rPr>
              <w:rStyle w:val="11"/>
              <w:rFonts w:hint="eastAsia" w:ascii="Arial" w:hAnsi="Arial" w:eastAsia="宋体" w:cs="Arial"/>
            </w:rPr>
            <w:t>使用说明（使用手册）</w:t>
          </w:r>
          <w:r>
            <w:tab/>
          </w:r>
          <w:r>
            <w:fldChar w:fldCharType="begin"/>
          </w:r>
          <w:r>
            <w:instrText xml:space="preserve"> PAGEREF _Toc478549327 \h </w:instrText>
          </w:r>
          <w:r>
            <w:fldChar w:fldCharType="separate"/>
          </w:r>
          <w:r>
            <w:t>12</w:t>
          </w:r>
          <w:r>
            <w:fldChar w:fldCharType="end"/>
          </w:r>
          <w:r>
            <w:fldChar w:fldCharType="end"/>
          </w:r>
        </w:p>
        <w:p w14:paraId="28C46409">
          <w:pPr>
            <w:pStyle w:val="7"/>
            <w:tabs>
              <w:tab w:val="left" w:pos="1050"/>
              <w:tab w:val="right" w:leader="dot" w:pos="9628"/>
            </w:tabs>
          </w:pPr>
          <w:r>
            <w:fldChar w:fldCharType="begin"/>
          </w:r>
          <w:r>
            <w:instrText xml:space="preserve"> HYPERLINK \l "_Toc478549328" </w:instrText>
          </w:r>
          <w:r>
            <w:fldChar w:fldCharType="separate"/>
          </w:r>
          <w:r>
            <w:rPr>
              <w:rStyle w:val="11"/>
              <w:rFonts w:ascii="Arial" w:hAnsi="Arial" w:eastAsia="宋体" w:cs="Arial"/>
            </w:rPr>
            <w:t>B.</w:t>
          </w:r>
          <w:r>
            <w:tab/>
          </w:r>
          <w:r>
            <w:rPr>
              <w:rStyle w:val="11"/>
              <w:rFonts w:hint="eastAsia" w:ascii="Arial" w:hAnsi="Arial" w:eastAsia="宋体" w:cs="Arial"/>
            </w:rPr>
            <w:t>器械标签</w:t>
          </w:r>
          <w:r>
            <w:tab/>
          </w:r>
          <w:r>
            <w:fldChar w:fldCharType="begin"/>
          </w:r>
          <w:r>
            <w:instrText xml:space="preserve"> PAGEREF _Toc478549328 \h </w:instrText>
          </w:r>
          <w:r>
            <w:fldChar w:fldCharType="separate"/>
          </w:r>
          <w:r>
            <w:t>14</w:t>
          </w:r>
          <w:r>
            <w:fldChar w:fldCharType="end"/>
          </w:r>
          <w:r>
            <w:fldChar w:fldCharType="end"/>
          </w:r>
        </w:p>
        <w:p w14:paraId="631FF3B3">
          <w:pPr>
            <w:pStyle w:val="7"/>
            <w:tabs>
              <w:tab w:val="left" w:pos="1050"/>
              <w:tab w:val="right" w:leader="dot" w:pos="9628"/>
            </w:tabs>
          </w:pPr>
          <w:r>
            <w:fldChar w:fldCharType="begin"/>
          </w:r>
          <w:r>
            <w:instrText xml:space="preserve"> HYPERLINK \l "_Toc478549329" </w:instrText>
          </w:r>
          <w:r>
            <w:fldChar w:fldCharType="separate"/>
          </w:r>
          <w:r>
            <w:rPr>
              <w:rStyle w:val="11"/>
              <w:rFonts w:ascii="Arial" w:hAnsi="Arial" w:eastAsia="宋体" w:cs="Arial"/>
            </w:rPr>
            <w:t>C.</w:t>
          </w:r>
          <w:r>
            <w:tab/>
          </w:r>
          <w:r>
            <w:rPr>
              <w:rStyle w:val="11"/>
              <w:rFonts w:hint="eastAsia" w:ascii="Arial" w:hAnsi="Arial" w:eastAsia="宋体" w:cs="Arial"/>
            </w:rPr>
            <w:t>包装标签</w:t>
          </w:r>
          <w:r>
            <w:tab/>
          </w:r>
          <w:r>
            <w:fldChar w:fldCharType="begin"/>
          </w:r>
          <w:r>
            <w:instrText xml:space="preserve"> PAGEREF _Toc478549329 \h </w:instrText>
          </w:r>
          <w:r>
            <w:fldChar w:fldCharType="separate"/>
          </w:r>
          <w:r>
            <w:t>14</w:t>
          </w:r>
          <w:r>
            <w:fldChar w:fldCharType="end"/>
          </w:r>
          <w:r>
            <w:fldChar w:fldCharType="end"/>
          </w:r>
        </w:p>
        <w:p w14:paraId="311F31C0">
          <w:pPr>
            <w:pStyle w:val="7"/>
            <w:tabs>
              <w:tab w:val="left" w:pos="1050"/>
              <w:tab w:val="right" w:leader="dot" w:pos="9628"/>
            </w:tabs>
          </w:pPr>
          <w:r>
            <w:fldChar w:fldCharType="begin"/>
          </w:r>
          <w:r>
            <w:instrText xml:space="preserve"> HYPERLINK \l "_Toc478549330" </w:instrText>
          </w:r>
          <w:r>
            <w:fldChar w:fldCharType="separate"/>
          </w:r>
          <w:r>
            <w:rPr>
              <w:rStyle w:val="11"/>
              <w:rFonts w:ascii="Arial" w:hAnsi="Arial" w:eastAsia="宋体" w:cs="Arial"/>
            </w:rPr>
            <w:t>D.</w:t>
          </w:r>
          <w:r>
            <w:tab/>
          </w:r>
          <w:r>
            <w:rPr>
              <w:rStyle w:val="11"/>
              <w:rFonts w:hint="eastAsia" w:ascii="Arial" w:hAnsi="Arial" w:eastAsia="宋体" w:cs="Arial"/>
            </w:rPr>
            <w:t>特殊部件的标签</w:t>
          </w:r>
          <w:r>
            <w:tab/>
          </w:r>
          <w:r>
            <w:fldChar w:fldCharType="begin"/>
          </w:r>
          <w:r>
            <w:instrText xml:space="preserve"> PAGEREF _Toc478549330 \h </w:instrText>
          </w:r>
          <w:r>
            <w:fldChar w:fldCharType="separate"/>
          </w:r>
          <w:r>
            <w:t>15</w:t>
          </w:r>
          <w:r>
            <w:fldChar w:fldCharType="end"/>
          </w:r>
          <w:r>
            <w:fldChar w:fldCharType="end"/>
          </w:r>
        </w:p>
        <w:p w14:paraId="47D0298C">
          <w:pPr>
            <w:pStyle w:val="7"/>
            <w:tabs>
              <w:tab w:val="right" w:leader="dot" w:pos="9628"/>
            </w:tabs>
          </w:pPr>
          <w:r>
            <w:fldChar w:fldCharType="begin"/>
          </w:r>
          <w:r>
            <w:instrText xml:space="preserve"> HYPERLINK \l "_Toc478549331" </w:instrText>
          </w:r>
          <w:r>
            <w:fldChar w:fldCharType="separate"/>
          </w:r>
          <w:r>
            <w:rPr>
              <w:rStyle w:val="11"/>
              <w:rFonts w:hint="eastAsia" w:ascii="Arial" w:hAnsi="Arial" w:eastAsia="宋体" w:cs="Arial"/>
            </w:rPr>
            <w:t>附录</w:t>
          </w:r>
          <w:r>
            <w:rPr>
              <w:rStyle w:val="11"/>
              <w:rFonts w:ascii="Arial" w:hAnsi="Arial" w:eastAsia="宋体" w:cs="Arial"/>
            </w:rPr>
            <w:t xml:space="preserve">A. </w:t>
          </w:r>
          <w:r>
            <w:rPr>
              <w:rStyle w:val="11"/>
              <w:rFonts w:hint="eastAsia" w:ascii="Arial" w:hAnsi="Arial" w:eastAsia="宋体" w:cs="Arial"/>
            </w:rPr>
            <w:t>术语表</w:t>
          </w:r>
          <w:r>
            <w:tab/>
          </w:r>
          <w:r>
            <w:fldChar w:fldCharType="begin"/>
          </w:r>
          <w:r>
            <w:instrText xml:space="preserve"> PAGEREF _Toc478549331 \h </w:instrText>
          </w:r>
          <w:r>
            <w:fldChar w:fldCharType="separate"/>
          </w:r>
          <w:r>
            <w:t>16</w:t>
          </w:r>
          <w:r>
            <w:fldChar w:fldCharType="end"/>
          </w:r>
          <w:r>
            <w:fldChar w:fldCharType="end"/>
          </w:r>
        </w:p>
        <w:p w14:paraId="4FCFE20C">
          <w:pPr>
            <w:jc w:val="center"/>
          </w:pPr>
          <w:r>
            <w:fldChar w:fldCharType="end"/>
          </w:r>
        </w:p>
      </w:sdtContent>
    </w:sdt>
    <w:p w14:paraId="3E1FCDA3">
      <w:pPr>
        <w:snapToGrid w:val="0"/>
        <w:spacing w:line="360" w:lineRule="auto"/>
        <w:rPr>
          <w:rFonts w:ascii="Arial" w:hAnsi="Arial" w:eastAsia="宋体" w:cs="Arial"/>
          <w:szCs w:val="21"/>
        </w:rPr>
        <w:sectPr>
          <w:pgSz w:w="11906" w:h="16838"/>
          <w:pgMar w:top="1134" w:right="1134" w:bottom="1134" w:left="1134" w:header="720" w:footer="720" w:gutter="0"/>
          <w:pgNumType w:fmt="lowerRoman" w:start="3"/>
          <w:cols w:space="720" w:num="1"/>
          <w:docGrid w:type="lines" w:linePitch="312" w:charSpace="0"/>
        </w:sectPr>
      </w:pPr>
    </w:p>
    <w:p w14:paraId="0F9C9064">
      <w:pPr>
        <w:snapToGrid w:val="0"/>
        <w:spacing w:line="360" w:lineRule="auto"/>
        <w:rPr>
          <w:rFonts w:ascii="Arial" w:hAnsi="Arial" w:eastAsia="宋体" w:cs="Arial"/>
          <w:szCs w:val="21"/>
        </w:rPr>
      </w:pPr>
    </w:p>
    <w:p w14:paraId="18E479E8">
      <w:pPr>
        <w:widowControl/>
        <w:snapToGrid w:val="0"/>
        <w:spacing w:line="360" w:lineRule="auto"/>
        <w:rPr>
          <w:rFonts w:ascii="Arial" w:hAnsi="Arial" w:eastAsia="宋体" w:cs="Arial"/>
          <w:szCs w:val="21"/>
        </w:rPr>
      </w:pPr>
    </w:p>
    <w:p w14:paraId="584C8E09">
      <w:pPr>
        <w:snapToGrid w:val="0"/>
        <w:spacing w:line="360" w:lineRule="auto"/>
        <w:jc w:val="center"/>
        <w:rPr>
          <w:rFonts w:ascii="Arial" w:hAnsi="Arial" w:eastAsia="宋体" w:cs="Arial"/>
          <w:b/>
          <w:sz w:val="48"/>
          <w:szCs w:val="48"/>
        </w:rPr>
      </w:pPr>
      <w:bookmarkStart w:id="0" w:name="OLE_LINK53"/>
      <w:bookmarkStart w:id="1" w:name="OLE_LINK54"/>
      <w:r>
        <w:rPr>
          <w:rFonts w:ascii="Arial" w:hAnsi="Arial" w:eastAsia="宋体" w:cs="Arial"/>
          <w:b/>
          <w:sz w:val="48"/>
          <w:szCs w:val="48"/>
        </w:rPr>
        <w:t>普通外科用</w:t>
      </w:r>
      <w:bookmarkStart w:id="2" w:name="OLE_LINK3"/>
      <w:bookmarkStart w:id="3" w:name="OLE_LINK4"/>
      <w:r>
        <w:rPr>
          <w:rFonts w:ascii="Arial" w:hAnsi="Arial" w:eastAsia="宋体" w:cs="Arial"/>
          <w:b/>
          <w:sz w:val="48"/>
          <w:szCs w:val="48"/>
        </w:rPr>
        <w:t>双极高频电外科血管</w:t>
      </w:r>
      <w:r>
        <w:rPr>
          <w:rFonts w:ascii="Arial" w:hAnsi="Arial" w:eastAsia="宋体" w:cs="Arial"/>
          <w:b/>
          <w:sz w:val="48"/>
          <w:szCs w:val="48"/>
        </w:rPr>
        <w:br w:type="textWrapping"/>
      </w:r>
      <w:r>
        <w:rPr>
          <w:rFonts w:ascii="Arial" w:hAnsi="Arial" w:eastAsia="宋体" w:cs="Arial"/>
          <w:b/>
          <w:sz w:val="48"/>
          <w:szCs w:val="48"/>
        </w:rPr>
        <w:t>闭合</w:t>
      </w:r>
      <w:bookmarkEnd w:id="2"/>
      <w:bookmarkEnd w:id="3"/>
      <w:r>
        <w:rPr>
          <w:rFonts w:ascii="Arial" w:hAnsi="Arial" w:eastAsia="宋体" w:cs="Arial"/>
          <w:b/>
          <w:sz w:val="48"/>
          <w:szCs w:val="48"/>
        </w:rPr>
        <w:t>器械上市前通告510(k)递交</w:t>
      </w:r>
      <w:bookmarkEnd w:id="0"/>
      <w:bookmarkEnd w:id="1"/>
      <w:r>
        <w:rPr>
          <w:rFonts w:ascii="Arial" w:hAnsi="Arial" w:eastAsia="宋体" w:cs="Arial"/>
          <w:b/>
          <w:sz w:val="48"/>
          <w:szCs w:val="48"/>
        </w:rPr>
        <w:t>要求</w:t>
      </w:r>
    </w:p>
    <w:p w14:paraId="6C41C4F2">
      <w:pPr>
        <w:snapToGrid w:val="0"/>
        <w:spacing w:line="360" w:lineRule="auto"/>
        <w:jc w:val="center"/>
        <w:rPr>
          <w:rFonts w:ascii="Arial" w:hAnsi="Arial" w:eastAsia="宋体" w:cs="Arial"/>
          <w:b/>
          <w:sz w:val="36"/>
          <w:szCs w:val="36"/>
        </w:rPr>
      </w:pPr>
      <w:r>
        <w:rPr>
          <w:rFonts w:ascii="Arial" w:hAnsi="Arial" w:eastAsia="宋体" w:cs="Arial"/>
          <w:b/>
          <w:sz w:val="36"/>
          <w:szCs w:val="36"/>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165100</wp:posOffset>
                </wp:positionV>
                <wp:extent cx="5922645" cy="0"/>
                <wp:effectExtent l="0" t="0" r="21590" b="19050"/>
                <wp:wrapNone/>
                <wp:docPr id="5" name="直接连接符 5"/>
                <wp:cNvGraphicFramePr/>
                <a:graphic xmlns:a="http://schemas.openxmlformats.org/drawingml/2006/main">
                  <a:graphicData uri="http://schemas.microsoft.com/office/word/2010/wordprocessingShape">
                    <wps:wsp>
                      <wps:cNvCnPr/>
                      <wps:spPr>
                        <a:xfrm>
                          <a:off x="0" y="0"/>
                          <a:ext cx="5922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pt;margin-top:13pt;height:0pt;width:466.35pt;z-index:251661312;mso-width-relative:page;mso-height-relative:page;" filled="f" stroked="t" coordsize="21600,21600" o:gfxdata="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VAh+fVAAAACAEA&#10;AA8AAAAAAAAAAQAgAAAAIgAAAGRycy9kb3ducmV2LnhtbFBLAQIUABQAAAAIAIdO4kBzcGW05AEA&#10;ALEDAAAOAAAAAAAAAAEAIAAAACQBAABkcnMvZTJvRG9jLnhtbFBLBQYAAAAABgAGAFkBAAB6BQAA&#10;AAA=&#10;">
                <v:fill on="f" focussize="0,0"/>
                <v:stroke weight="0.5pt" color="#000000 [3213]" miterlimit="8" joinstyle="miter"/>
                <v:imagedata o:title=""/>
                <o:lock v:ext="edit" aspectratio="f"/>
              </v:line>
            </w:pict>
          </mc:Fallback>
        </mc:AlternateContent>
      </w:r>
    </w:p>
    <w:p w14:paraId="421F95DE">
      <w:pPr>
        <w:snapToGrid w:val="0"/>
        <w:spacing w:line="360" w:lineRule="auto"/>
        <w:jc w:val="center"/>
        <w:rPr>
          <w:rFonts w:ascii="Arial" w:hAnsi="Arial" w:eastAsia="宋体" w:cs="Arial"/>
          <w:b/>
          <w:sz w:val="48"/>
          <w:szCs w:val="48"/>
        </w:rPr>
      </w:pPr>
      <w:r>
        <w:rPr>
          <w:rFonts w:ascii="Arial" w:hAnsi="Arial" w:eastAsia="宋体" w:cs="Arial"/>
          <w:b/>
          <w:sz w:val="48"/>
          <w:szCs w:val="48"/>
        </w:rPr>
        <w:t>行业与FDA工作人员指南</w:t>
      </w:r>
    </w:p>
    <w:p w14:paraId="0A634191">
      <w:pPr>
        <w:snapToGrid w:val="0"/>
        <w:spacing w:line="360" w:lineRule="auto"/>
        <w:rPr>
          <w:rFonts w:ascii="Arial" w:hAnsi="Arial" w:eastAsia="宋体" w:cs="Arial"/>
          <w:szCs w:val="21"/>
        </w:rPr>
      </w:pPr>
    </w:p>
    <w:p w14:paraId="2F986815">
      <w:pPr>
        <w:pBdr>
          <w:top w:val="single" w:color="auto" w:sz="24" w:space="1"/>
          <w:left w:val="single" w:color="auto" w:sz="24" w:space="4"/>
          <w:bottom w:val="single" w:color="auto" w:sz="24" w:space="1"/>
          <w:right w:val="single" w:color="auto" w:sz="24" w:space="4"/>
        </w:pBdr>
        <w:snapToGrid w:val="0"/>
        <w:spacing w:line="360" w:lineRule="auto"/>
        <w:rPr>
          <w:rFonts w:ascii="Arial" w:hAnsi="Arial" w:eastAsia="宋体" w:cs="Arial"/>
          <w:szCs w:val="21"/>
        </w:rPr>
      </w:pPr>
      <w:r>
        <w:rPr>
          <w:rFonts w:ascii="Arial" w:hAnsi="Arial" w:eastAsia="宋体" w:cs="Arial"/>
          <w:szCs w:val="21"/>
        </w:rPr>
        <w:t>本指导文件代表了食品与药品监督管理局（FDA）针对本问题的当前的思考。其不赋予任何人任何权利，也不对FDA或公众产生任何约束。您也可以选择其他能够满足适用的法律法规的方法。如要讨论其他方法，请联系按照指南页列出FDA工作人员或负责本指南的办公室。</w:t>
      </w:r>
    </w:p>
    <w:p w14:paraId="56465E48">
      <w:pPr>
        <w:snapToGrid w:val="0"/>
        <w:spacing w:line="360" w:lineRule="auto"/>
        <w:rPr>
          <w:rFonts w:ascii="Arial" w:hAnsi="Arial" w:eastAsia="宋体" w:cs="Arial"/>
          <w:szCs w:val="21"/>
        </w:rPr>
      </w:pPr>
    </w:p>
    <w:p w14:paraId="110D1CE7">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4" w:name="_Toc478549313"/>
      <w:r>
        <w:rPr>
          <w:rFonts w:ascii="Arial" w:hAnsi="Arial" w:eastAsia="宋体" w:cs="Arial"/>
          <w:b/>
          <w:sz w:val="28"/>
          <w:szCs w:val="28"/>
        </w:rPr>
        <w:t>前言</w:t>
      </w:r>
      <w:bookmarkEnd w:id="4"/>
    </w:p>
    <w:p w14:paraId="117FDE2D">
      <w:pPr>
        <w:snapToGrid w:val="0"/>
        <w:spacing w:before="156" w:beforeLines="50" w:after="156" w:afterLines="50" w:line="360" w:lineRule="auto"/>
        <w:rPr>
          <w:rFonts w:ascii="Arial" w:hAnsi="Arial" w:eastAsia="宋体" w:cs="Arial"/>
          <w:szCs w:val="21"/>
        </w:rPr>
      </w:pPr>
      <w:r>
        <w:rPr>
          <w:rFonts w:ascii="Arial" w:hAnsi="Arial" w:eastAsia="宋体" w:cs="Arial"/>
          <w:szCs w:val="21"/>
        </w:rPr>
        <w:t>FDA发布本指南旨在协助行业人员完成普通外科用双极高频电外科血管闭合器械上市前通告510(k)的递交。该器械通过使用两枚相邻的电极之间产生高频电流来进行独立血管和淋巴管的封闭，从而进行止血（作为结扎之外的一种方法）。</w:t>
      </w:r>
    </w:p>
    <w:p w14:paraId="31FFB0BC">
      <w:pPr>
        <w:snapToGrid w:val="0"/>
        <w:spacing w:before="156" w:beforeLines="50" w:after="156" w:afterLines="50" w:line="360" w:lineRule="auto"/>
        <w:jc w:val="left"/>
        <w:rPr>
          <w:rFonts w:ascii="Arial" w:hAnsi="Arial" w:eastAsia="宋体" w:cs="Arial"/>
          <w:szCs w:val="21"/>
        </w:rPr>
      </w:pPr>
      <w:r>
        <w:rPr>
          <w:rFonts w:ascii="Arial" w:hAnsi="Arial" w:eastAsia="宋体" w:cs="Arial"/>
          <w:szCs w:val="21"/>
        </w:rPr>
        <w:t>有关本文件所参考的FDA认可标准的现行版本，请参阅FDA认可的统一标准数据库，网址为</w:t>
      </w:r>
      <w:r>
        <w:rPr>
          <w:rFonts w:ascii="Arial" w:hAnsi="Arial" w:cs="Arial"/>
          <w:color w:val="0000FF"/>
          <w:szCs w:val="21"/>
          <w:u w:val="single"/>
        </w:rPr>
        <w:t>http://www.accessdata.fda.gov/scripts/cdrh/cfdocs/cfStandards/search.cfm</w:t>
      </w:r>
      <w:r>
        <w:rPr>
          <w:rFonts w:ascii="Arial" w:hAnsi="Arial" w:eastAsia="宋体" w:cs="Arial"/>
          <w:szCs w:val="21"/>
        </w:rPr>
        <w:t>。</w:t>
      </w:r>
    </w:p>
    <w:p w14:paraId="75AD69B1">
      <w:pPr>
        <w:snapToGrid w:val="0"/>
        <w:spacing w:before="156" w:beforeLines="50" w:after="156" w:afterLines="50" w:line="360" w:lineRule="auto"/>
        <w:rPr>
          <w:rFonts w:ascii="Arial" w:hAnsi="Arial" w:eastAsia="宋体" w:cs="Arial"/>
          <w:szCs w:val="21"/>
        </w:rPr>
      </w:pPr>
      <w:r>
        <w:rPr>
          <w:rFonts w:ascii="Arial" w:hAnsi="Arial" w:eastAsia="宋体" w:cs="Arial"/>
          <w:szCs w:val="21"/>
        </w:rPr>
        <w:t>FDA的指导性文件，包括本指南在内，均不产生法律上强制执行的责任。然而，指南文件体现了机构对某一问题的当前考虑，且应仅视为建议，除引用特定的法规或法律要求外。机构指导文件中的“应当”表示建议或推荐，而非要求。</w:t>
      </w:r>
    </w:p>
    <w:p w14:paraId="2ED110E1">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5" w:name="_Toc478549314"/>
      <w:r>
        <w:rPr>
          <w:rFonts w:ascii="Arial" w:hAnsi="Arial" w:eastAsia="宋体" w:cs="Arial"/>
          <w:b/>
          <w:sz w:val="28"/>
          <w:szCs w:val="28"/>
        </w:rPr>
        <w:t>范围</w:t>
      </w:r>
      <w:bookmarkEnd w:id="5"/>
    </w:p>
    <w:p w14:paraId="482A227B">
      <w:pPr>
        <w:snapToGrid w:val="0"/>
        <w:spacing w:before="156" w:beforeLines="50" w:after="156" w:afterLines="50" w:line="360" w:lineRule="auto"/>
        <w:rPr>
          <w:rFonts w:ascii="Arial" w:hAnsi="Arial" w:eastAsia="宋体" w:cs="Arial"/>
          <w:szCs w:val="21"/>
        </w:rPr>
      </w:pPr>
      <w:r>
        <w:rPr>
          <w:rFonts w:ascii="Arial" w:hAnsi="Arial" w:eastAsia="宋体" w:cs="Arial"/>
          <w:szCs w:val="21"/>
        </w:rPr>
        <w:t>本指导文件的范围仅限于按照以下规定编号分类的II类电外科器械和</w:t>
      </w:r>
      <w:r>
        <w:rPr>
          <w:rFonts w:hint="eastAsia" w:ascii="Arial" w:hAnsi="Arial" w:eastAsia="宋体" w:cs="Arial"/>
          <w:szCs w:val="21"/>
        </w:rPr>
        <w:t>附件</w:t>
      </w:r>
      <w:r>
        <w:rPr>
          <w:rFonts w:ascii="Arial" w:hAnsi="Arial" w:eastAsia="宋体" w:cs="Arial"/>
          <w:szCs w:val="21"/>
        </w:rPr>
        <w:t>：</w:t>
      </w:r>
    </w:p>
    <w:p w14:paraId="7419EB05">
      <w:pPr>
        <w:snapToGrid w:val="0"/>
        <w:spacing w:before="156" w:beforeLines="50" w:after="156" w:afterLines="50" w:line="360" w:lineRule="auto"/>
        <w:rPr>
          <w:rFonts w:ascii="Arial" w:hAnsi="Arial" w:eastAsia="宋体" w:cs="Arial"/>
          <w:szCs w:val="21"/>
        </w:rPr>
      </w:pPr>
      <w:r>
        <w:rPr>
          <w:rFonts w:ascii="Arial" w:hAnsi="Arial" w:eastAsia="宋体" w:cs="Arial"/>
          <w:szCs w:val="21"/>
        </w:rPr>
        <w:t>第878.4400节，</w:t>
      </w:r>
      <w:bookmarkStart w:id="6" w:name="OLE_LINK2"/>
      <w:bookmarkStart w:id="7" w:name="OLE_LINK1"/>
      <w:r>
        <w:rPr>
          <w:rFonts w:ascii="Arial" w:hAnsi="Arial" w:eastAsia="宋体" w:cs="Arial"/>
          <w:szCs w:val="21"/>
        </w:rPr>
        <w:t>电外科切割与凝血器械与</w:t>
      </w:r>
      <w:bookmarkEnd w:id="6"/>
      <w:bookmarkEnd w:id="7"/>
      <w:r>
        <w:rPr>
          <w:rFonts w:hint="eastAsia" w:ascii="Arial" w:hAnsi="Arial" w:eastAsia="宋体" w:cs="Arial"/>
          <w:szCs w:val="21"/>
        </w:rPr>
        <w:t>附件</w:t>
      </w:r>
      <w:r>
        <w:rPr>
          <w:rFonts w:ascii="Arial" w:hAnsi="Arial" w:eastAsia="宋体" w:cs="Arial"/>
          <w:szCs w:val="21"/>
        </w:rPr>
        <w:t>。</w:t>
      </w:r>
    </w:p>
    <w:p w14:paraId="77C8FF2C">
      <w:pPr>
        <w:snapToGrid w:val="0"/>
        <w:spacing w:before="156" w:beforeLines="50" w:after="156" w:afterLines="50" w:line="360" w:lineRule="auto"/>
        <w:rPr>
          <w:rFonts w:ascii="Arial" w:hAnsi="Arial" w:eastAsia="宋体" w:cs="Arial"/>
          <w:szCs w:val="21"/>
        </w:rPr>
      </w:pPr>
      <w:r>
        <w:rPr>
          <w:rFonts w:ascii="Arial" w:hAnsi="Arial" w:eastAsia="宋体" w:cs="Arial"/>
          <w:szCs w:val="21"/>
        </w:rPr>
        <w:t>电外科切割与凝血器械与附件旨在通过使用高频电流进行组织切除和止血。</w:t>
      </w:r>
    </w:p>
    <w:p w14:paraId="76F11326">
      <w:pPr>
        <w:widowControl/>
        <w:jc w:val="left"/>
        <w:rPr>
          <w:rFonts w:ascii="Arial" w:hAnsi="Arial" w:eastAsia="宋体" w:cs="Arial"/>
          <w:szCs w:val="21"/>
        </w:rPr>
      </w:pPr>
      <w:r>
        <w:rPr>
          <w:rFonts w:ascii="Arial" w:hAnsi="Arial" w:eastAsia="宋体" w:cs="Arial"/>
          <w:szCs w:val="21"/>
        </w:rPr>
        <w:br w:type="page"/>
      </w:r>
    </w:p>
    <w:p w14:paraId="64674CC2">
      <w:pPr>
        <w:snapToGrid w:val="0"/>
        <w:spacing w:before="156" w:beforeLines="50" w:after="156" w:afterLines="50" w:line="360" w:lineRule="auto"/>
        <w:rPr>
          <w:rFonts w:ascii="Arial" w:hAnsi="Arial" w:eastAsia="宋体" w:cs="Arial"/>
          <w:szCs w:val="21"/>
        </w:rPr>
      </w:pPr>
      <w:r>
        <w:rPr>
          <w:rFonts w:ascii="Arial" w:hAnsi="Arial" w:eastAsia="宋体" w:cs="Arial"/>
          <w:szCs w:val="21"/>
        </w:rPr>
        <w:t>一般类型的器械一般包括双极血管闭合器械、与之相关的电外科发电机，以及用于开放和微创普通外科手术的附件。本指南仅针对在普通外科手术中常规使用的双极高频电外科血管闭合器械。如果您的器械用于特殊适应症，则可能需要其他的信息（如其他的工作台和/或临床数据）或发现新的适应症。关于此问题的更多信息，请参考FDA文件“</w:t>
      </w:r>
      <w:r>
        <w:rPr>
          <w:rFonts w:ascii="Arial" w:hAnsi="Arial" w:eastAsia="宋体" w:cs="Arial"/>
          <w:color w:val="0000FF"/>
          <w:szCs w:val="21"/>
          <w:u w:val="single"/>
        </w:rPr>
        <w:t>行业指南：一般性/特殊性适应症。</w:t>
      </w:r>
      <w:r>
        <w:rPr>
          <w:rFonts w:ascii="Arial" w:hAnsi="Arial" w:eastAsia="宋体" w:cs="Arial"/>
          <w:szCs w:val="21"/>
        </w:rPr>
        <w:t>”</w:t>
      </w:r>
    </w:p>
    <w:p w14:paraId="204EBC99">
      <w:pPr>
        <w:snapToGrid w:val="0"/>
        <w:spacing w:before="156" w:beforeLines="50" w:after="156" w:afterLines="50" w:line="360" w:lineRule="auto"/>
        <w:rPr>
          <w:rFonts w:ascii="Arial" w:hAnsi="Arial" w:eastAsia="宋体" w:cs="Arial"/>
          <w:szCs w:val="21"/>
        </w:rPr>
      </w:pPr>
      <w:r>
        <w:rPr>
          <w:rFonts w:ascii="Arial" w:hAnsi="Arial" w:eastAsia="宋体" w:cs="Arial"/>
          <w:szCs w:val="21"/>
        </w:rPr>
        <w:t>本指南</w:t>
      </w:r>
      <w:r>
        <w:rPr>
          <w:rFonts w:ascii="Arial" w:hAnsi="Arial" w:eastAsia="宋体" w:cs="Arial"/>
          <w:szCs w:val="21"/>
          <w:u w:val="single"/>
        </w:rPr>
        <w:t>不适用</w:t>
      </w:r>
      <w:r>
        <w:rPr>
          <w:rFonts w:ascii="Arial" w:hAnsi="Arial" w:eastAsia="宋体" w:cs="Arial"/>
          <w:szCs w:val="21"/>
        </w:rPr>
        <w:t>于按以下规定分类的器械：</w:t>
      </w:r>
    </w:p>
    <w:p w14:paraId="4713D3C6">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不产生射频电流的器械（如电烙器、微波消融和超声外科手术器械）；</w:t>
      </w:r>
    </w:p>
    <w:p w14:paraId="779FE974">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单极电外科器械；</w:t>
      </w:r>
    </w:p>
    <w:p w14:paraId="4E4EC0D1">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不用于独立血管或淋巴管封闭的器械（如仅用于大块组织切除与电凝止血的器械）；</w:t>
      </w:r>
    </w:p>
    <w:p w14:paraId="5F5C544D">
      <w:pPr>
        <w:pStyle w:val="12"/>
        <w:numPr>
          <w:ilvl w:val="0"/>
          <w:numId w:val="2"/>
        </w:numPr>
        <w:snapToGrid w:val="0"/>
        <w:spacing w:line="360" w:lineRule="auto"/>
        <w:ind w:left="462" w:hanging="462" w:hangingChars="220"/>
        <w:rPr>
          <w:rFonts w:ascii="Arial" w:hAnsi="Arial" w:eastAsia="宋体" w:cs="Arial"/>
          <w:szCs w:val="21"/>
        </w:rPr>
      </w:pPr>
      <w:r>
        <w:rPr>
          <w:rFonts w:ascii="Arial" w:hAnsi="Arial" w:eastAsia="宋体" w:cs="Arial"/>
          <w:szCs w:val="21"/>
        </w:rPr>
        <w:t>用于特殊手术的器械或用于某一专业领域的器械（如眼科使用器械），即除普通外科手术之外的器械；以及</w:t>
      </w:r>
    </w:p>
    <w:p w14:paraId="0D3FC865">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再加工的一次性器械。</w:t>
      </w:r>
    </w:p>
    <w:p w14:paraId="1F01BF4A">
      <w:pPr>
        <w:snapToGrid w:val="0"/>
        <w:spacing w:before="156" w:beforeLines="50" w:after="156" w:afterLines="50" w:line="360" w:lineRule="auto"/>
        <w:rPr>
          <w:rFonts w:ascii="Arial" w:hAnsi="Arial" w:eastAsia="宋体" w:cs="Arial"/>
          <w:szCs w:val="21"/>
        </w:rPr>
      </w:pPr>
      <w:r>
        <w:rPr>
          <w:rFonts w:ascii="Arial" w:hAnsi="Arial" w:eastAsia="宋体" w:cs="Arial"/>
          <w:szCs w:val="21"/>
        </w:rPr>
        <w:t>另外，请注意本指南是指导文件“</w:t>
      </w:r>
      <w:r>
        <w:rPr>
          <w:rFonts w:ascii="Arial" w:hAnsi="Arial" w:eastAsia="宋体" w:cs="Arial"/>
          <w:color w:val="0000FF"/>
          <w:szCs w:val="21"/>
          <w:u w:val="single"/>
        </w:rPr>
        <w:t>普通外科用电外科器械上市前通告（510（k）申请）</w:t>
      </w:r>
      <w:r>
        <w:rPr>
          <w:rFonts w:ascii="Arial" w:hAnsi="Arial" w:eastAsia="宋体" w:cs="Arial"/>
          <w:szCs w:val="21"/>
        </w:rPr>
        <w:t>”的补充文件。本补充指南提供了其他的建议，或取代了电外科器械指南。电外科器械指南的下列部分仍适用于双机血管封闭器械：</w:t>
      </w:r>
    </w:p>
    <w:p w14:paraId="2B2A27E9">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软件</w:t>
      </w:r>
    </w:p>
    <w:p w14:paraId="2C995E05">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生物相容性</w:t>
      </w:r>
    </w:p>
    <w:p w14:paraId="346AA08A">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灭菌</w:t>
      </w:r>
    </w:p>
    <w:p w14:paraId="4DD35D35">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再处理</w:t>
      </w:r>
    </w:p>
    <w:p w14:paraId="19CD2372">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致热源性</w:t>
      </w:r>
    </w:p>
    <w:p w14:paraId="3847B7F3">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有效期</w:t>
      </w:r>
    </w:p>
    <w:p w14:paraId="458C280C">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用电安全与电磁相容性</w:t>
      </w:r>
    </w:p>
    <w:p w14:paraId="7CA2F138">
      <w:pPr>
        <w:pStyle w:val="12"/>
        <w:numPr>
          <w:ilvl w:val="0"/>
          <w:numId w:val="1"/>
        </w:numPr>
        <w:snapToGrid w:val="0"/>
        <w:spacing w:before="156" w:beforeLines="50" w:after="156" w:afterLines="50" w:line="360" w:lineRule="auto"/>
        <w:ind w:firstLineChars="0"/>
        <w:rPr>
          <w:rFonts w:ascii="Arial" w:hAnsi="Arial" w:eastAsia="宋体" w:cs="Arial"/>
          <w:b/>
          <w:sz w:val="28"/>
          <w:szCs w:val="28"/>
        </w:rPr>
        <w:sectPr>
          <w:footerReference r:id="rId9" w:type="default"/>
          <w:pgSz w:w="11906" w:h="16838"/>
          <w:pgMar w:top="1134" w:right="1134" w:bottom="1134" w:left="1134" w:header="720" w:footer="720" w:gutter="0"/>
          <w:pgNumType w:start="2"/>
          <w:cols w:space="720" w:num="1"/>
          <w:docGrid w:type="lines" w:linePitch="312" w:charSpace="0"/>
        </w:sectPr>
      </w:pPr>
    </w:p>
    <w:p w14:paraId="0CF9916E">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8" w:name="_Toc478549315"/>
      <w:r>
        <w:rPr>
          <w:rFonts w:ascii="Arial" w:hAnsi="Arial" w:eastAsia="宋体" w:cs="Arial"/>
          <w:b/>
          <w:sz w:val="28"/>
          <w:szCs w:val="28"/>
        </w:rPr>
        <w:t>器械描述</w:t>
      </w:r>
      <w:bookmarkEnd w:id="8"/>
    </w:p>
    <w:p w14:paraId="0FF0BC77">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我们推荐通过第II节中描述的适用法规编号来确定您的器械，并包含下列信息：</w:t>
      </w:r>
    </w:p>
    <w:p w14:paraId="4B15ACD3">
      <w:pPr>
        <w:pStyle w:val="12"/>
        <w:numPr>
          <w:ilvl w:val="0"/>
          <w:numId w:val="3"/>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9" w:name="_Toc478549316"/>
      <w:r>
        <w:rPr>
          <w:rFonts w:ascii="Arial" w:hAnsi="Arial" w:eastAsia="宋体" w:cs="Arial"/>
          <w:b/>
          <w:sz w:val="24"/>
          <w:szCs w:val="24"/>
        </w:rPr>
        <w:t>使用适应症</w:t>
      </w:r>
      <w:bookmarkEnd w:id="9"/>
    </w:p>
    <w:p w14:paraId="38CA1EB0">
      <w:pPr>
        <w:snapToGrid w:val="0"/>
        <w:spacing w:before="156" w:beforeLines="50" w:after="156" w:afterLines="50" w:line="360" w:lineRule="auto"/>
        <w:ind w:left="391" w:leftChars="186" w:firstLine="1"/>
        <w:rPr>
          <w:rFonts w:ascii="Arial" w:hAnsi="Arial" w:eastAsia="宋体" w:cs="Arial"/>
          <w:szCs w:val="21"/>
        </w:rPr>
      </w:pPr>
      <w:r>
        <w:rPr>
          <w:rFonts w:ascii="Arial" w:hAnsi="Arial" w:eastAsia="宋体" w:cs="Arial"/>
          <w:szCs w:val="21"/>
        </w:rPr>
        <w:t>您应提供器械使用适应症的清晰说明。使用说明书页对适应症陈述的使用适应症应当与510（k）总结（如果在510（k）声明中包含了该部分）的陈述以及器械标签的陈述相一致。您还应说明该器械为处方用器械，并相应地在使用说明书页的适应症中说明。</w:t>
      </w:r>
    </w:p>
    <w:p w14:paraId="725A9D9F">
      <w:pPr>
        <w:snapToGrid w:val="0"/>
        <w:spacing w:before="156" w:beforeLines="50" w:after="156" w:afterLines="50" w:line="360" w:lineRule="auto"/>
        <w:ind w:left="391" w:leftChars="186" w:firstLine="1"/>
        <w:rPr>
          <w:rFonts w:ascii="Arial" w:hAnsi="Arial" w:eastAsia="宋体" w:cs="Arial"/>
          <w:szCs w:val="21"/>
        </w:rPr>
      </w:pPr>
      <w:r>
        <w:rPr>
          <w:rFonts w:ascii="Arial" w:hAnsi="Arial" w:eastAsia="宋体" w:cs="Arial"/>
          <w:szCs w:val="21"/>
        </w:rPr>
        <w:t>您提交的510（k）申请中应当包含您器械的适应症与所有引用的待比较器械适应症的比较情况。应当明确给出双极电外科血管封闭器械适用的血压正常患者在充盈状态下的最大血管尺寸。如果申请器械或比较器械由多个部件组成，且各部件的适应症不同，则需要在比较中指明这些差异。如果能够证明申请器械的适应症与比较器械相同，并且没有新的能够引起安全性和有效性的技术特性，如果申请器械和比较器械在适应症方面存在任何差异的话则您应该提供一个说明，包括适用的性能数据。</w:t>
      </w:r>
    </w:p>
    <w:p w14:paraId="4F8B05FC">
      <w:pPr>
        <w:pStyle w:val="12"/>
        <w:numPr>
          <w:ilvl w:val="0"/>
          <w:numId w:val="3"/>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10" w:name="_Toc478549317"/>
      <w:r>
        <w:rPr>
          <w:rFonts w:ascii="Arial" w:hAnsi="Arial" w:eastAsia="宋体" w:cs="Arial"/>
          <w:b/>
          <w:sz w:val="24"/>
          <w:szCs w:val="24"/>
        </w:rPr>
        <w:t>器械设计</w:t>
      </w:r>
      <w:bookmarkEnd w:id="10"/>
    </w:p>
    <w:p w14:paraId="5D5D03E4">
      <w:pPr>
        <w:snapToGrid w:val="0"/>
        <w:spacing w:before="156" w:beforeLines="50" w:after="156" w:afterLines="50" w:line="360" w:lineRule="auto"/>
        <w:ind w:left="392" w:leftChars="186" w:hanging="1"/>
        <w:rPr>
          <w:rFonts w:ascii="Arial" w:hAnsi="Arial" w:eastAsia="宋体" w:cs="Arial"/>
          <w:szCs w:val="21"/>
        </w:rPr>
      </w:pPr>
      <w:r>
        <w:rPr>
          <w:rFonts w:ascii="Arial" w:hAnsi="Arial" w:eastAsia="宋体" w:cs="Arial"/>
          <w:szCs w:val="21"/>
        </w:rPr>
        <w:t>您应该针对器械的运行原理及执行机制如何实现预期的效果提供一个简要的描述。如果器械包含多个部件或附件，并且部件/附件为申请的一部分，则需要提供一个所有部件/附件的清单，并给出相应的模型编号和/或部件号。在本指南中部件/附件指的是电外科单元（ESU），活动部件/活动附件，以及各种部件/附件。如果有的部件/附件已经获得了510（k）批准或豁免，则需要分别提供510（k）编号或标明豁免状态。</w:t>
      </w:r>
    </w:p>
    <w:p w14:paraId="5EDE3D95">
      <w:pPr>
        <w:snapToGrid w:val="0"/>
        <w:spacing w:before="156" w:beforeLines="50" w:after="156" w:afterLines="50" w:line="360" w:lineRule="auto"/>
        <w:ind w:left="392" w:leftChars="186" w:hanging="1"/>
        <w:rPr>
          <w:rFonts w:ascii="Arial" w:hAnsi="Arial" w:eastAsia="宋体" w:cs="Arial"/>
          <w:szCs w:val="21"/>
        </w:rPr>
      </w:pPr>
      <w:r>
        <w:rPr>
          <w:rFonts w:ascii="Arial" w:hAnsi="Arial" w:eastAsia="宋体" w:cs="Arial"/>
          <w:szCs w:val="21"/>
        </w:rPr>
        <w:t>关于器械设计您至少需要提供以下信息：</w:t>
      </w:r>
    </w:p>
    <w:p w14:paraId="348D4141">
      <w:pPr>
        <w:pStyle w:val="12"/>
        <w:numPr>
          <w:ilvl w:val="0"/>
          <w:numId w:val="4"/>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器械部件</w:t>
      </w:r>
    </w:p>
    <w:p w14:paraId="5D348DD2">
      <w:pPr>
        <w:snapToGrid w:val="0"/>
        <w:spacing w:before="156" w:beforeLines="50" w:after="156" w:afterLines="50" w:line="360" w:lineRule="auto"/>
        <w:ind w:firstLine="348" w:firstLineChars="166"/>
        <w:rPr>
          <w:rFonts w:ascii="Arial" w:hAnsi="Arial" w:eastAsia="宋体" w:cs="Arial"/>
          <w:szCs w:val="21"/>
        </w:rPr>
      </w:pPr>
      <w:r>
        <w:rPr>
          <w:rFonts w:ascii="Arial" w:hAnsi="Arial" w:eastAsia="宋体" w:cs="Arial"/>
          <w:szCs w:val="21"/>
        </w:rPr>
        <w:t>我们建议您提供一份包含所有适用于您申请的主要部件或附件的简要描述：</w:t>
      </w:r>
    </w:p>
    <w:p w14:paraId="369CCDE5">
      <w:pPr>
        <w:pStyle w:val="12"/>
        <w:numPr>
          <w:ilvl w:val="0"/>
          <w:numId w:val="5"/>
        </w:numPr>
        <w:snapToGrid w:val="0"/>
        <w:spacing w:line="360" w:lineRule="auto"/>
        <w:ind w:left="714" w:leftChars="167" w:hanging="363" w:hangingChars="173"/>
        <w:rPr>
          <w:rFonts w:ascii="Arial" w:hAnsi="Arial" w:eastAsia="宋体" w:cs="Arial"/>
          <w:szCs w:val="21"/>
        </w:rPr>
      </w:pPr>
      <w:r>
        <w:rPr>
          <w:rFonts w:ascii="Arial" w:hAnsi="Arial" w:eastAsia="宋体" w:cs="Arial"/>
          <w:szCs w:val="21"/>
        </w:rPr>
        <w:t>ESU（即发电机和控制台）主要功能，性能规格参数，以及物理规格。如果申请的器械为血管封闭附件，并且与已经批准上市的发电机共同使用，则需要提供发电机的510（k）编号，以及发电机的主要功能的性能参数（输出功率、波形、峰值电压等）、全部性能参数及物理规格参数。</w:t>
      </w:r>
    </w:p>
    <w:p w14:paraId="3EE3803D">
      <w:pPr>
        <w:pStyle w:val="12"/>
        <w:numPr>
          <w:ilvl w:val="0"/>
          <w:numId w:val="5"/>
        </w:numPr>
        <w:snapToGrid w:val="0"/>
        <w:spacing w:line="360" w:lineRule="auto"/>
        <w:ind w:left="714" w:leftChars="167" w:hanging="363" w:hangingChars="173"/>
        <w:rPr>
          <w:rFonts w:ascii="Arial" w:hAnsi="Arial" w:eastAsia="宋体" w:cs="Arial"/>
          <w:szCs w:val="21"/>
        </w:rPr>
      </w:pPr>
      <w:r>
        <w:rPr>
          <w:rFonts w:ascii="Arial" w:hAnsi="Arial" w:eastAsia="宋体" w:cs="Arial"/>
          <w:szCs w:val="21"/>
        </w:rPr>
        <w:t>活动部件/附件（通常由一个或多个活动电极，活动接头或线缆，以及活动手柄或机头）设计，物理规格，以及与患者接触的材料。</w:t>
      </w:r>
    </w:p>
    <w:p w14:paraId="06F1B62A">
      <w:pPr>
        <w:pStyle w:val="12"/>
        <w:numPr>
          <w:ilvl w:val="0"/>
          <w:numId w:val="5"/>
        </w:numPr>
        <w:snapToGrid w:val="0"/>
        <w:spacing w:line="360" w:lineRule="auto"/>
        <w:ind w:left="714" w:leftChars="167" w:hanging="363" w:hangingChars="173"/>
        <w:rPr>
          <w:rFonts w:ascii="Arial" w:hAnsi="Arial" w:eastAsia="宋体" w:cs="Arial"/>
          <w:szCs w:val="21"/>
        </w:rPr>
      </w:pPr>
      <w:r>
        <w:rPr>
          <w:rFonts w:ascii="Arial" w:hAnsi="Arial" w:eastAsia="宋体" w:cs="Arial"/>
          <w:szCs w:val="21"/>
        </w:rPr>
        <w:t>其他附件如脚踏开关，电极检测器等。</w:t>
      </w:r>
    </w:p>
    <w:p w14:paraId="791D3FE6">
      <w:pPr>
        <w:pStyle w:val="12"/>
        <w:numPr>
          <w:ilvl w:val="0"/>
          <w:numId w:val="4"/>
        </w:numPr>
        <w:snapToGrid w:val="0"/>
        <w:spacing w:before="156" w:beforeLines="50" w:after="156" w:afterLines="50" w:line="360" w:lineRule="auto"/>
        <w:ind w:firstLineChars="0"/>
        <w:rPr>
          <w:rFonts w:ascii="Arial" w:hAnsi="Arial" w:eastAsia="宋体" w:cs="Arial"/>
          <w:b/>
          <w:szCs w:val="21"/>
        </w:rPr>
        <w:sectPr>
          <w:pgSz w:w="11906" w:h="16838"/>
          <w:pgMar w:top="1134" w:right="1134" w:bottom="1134" w:left="1134" w:header="720" w:footer="720" w:gutter="0"/>
          <w:cols w:space="720" w:num="1"/>
          <w:docGrid w:type="lines" w:linePitch="312" w:charSpace="0"/>
        </w:sectPr>
      </w:pPr>
    </w:p>
    <w:p w14:paraId="3E6247E3">
      <w:pPr>
        <w:pStyle w:val="12"/>
        <w:numPr>
          <w:ilvl w:val="0"/>
          <w:numId w:val="4"/>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特殊部件/附件的申请</w:t>
      </w:r>
    </w:p>
    <w:p w14:paraId="469B2958">
      <w:pPr>
        <w:snapToGrid w:val="0"/>
        <w:spacing w:before="156" w:beforeLines="50" w:after="156" w:afterLines="50" w:line="360" w:lineRule="auto"/>
        <w:ind w:left="361" w:leftChars="172" w:firstLine="10" w:firstLineChars="5"/>
        <w:rPr>
          <w:rFonts w:ascii="Arial" w:hAnsi="Arial" w:eastAsia="宋体" w:cs="Arial"/>
          <w:szCs w:val="21"/>
        </w:rPr>
      </w:pPr>
      <w:r>
        <w:rPr>
          <w:rFonts w:ascii="Arial" w:hAnsi="Arial" w:eastAsia="宋体" w:cs="Arial"/>
          <w:szCs w:val="21"/>
        </w:rPr>
        <w:t>如果您申请批准某一特定的部件或附件而非整个血管封闭器械，则您应该对该部件/附件进行描述。您应该讨论该部件/附件如何进行使用。例如，如果申请的器械为活动电极，并且该电极仅标识为与已经上市的某款器械共同使用，则您应该提供性能测试数据（参见第V节，性能数据）来证明其与您已上市的器械相容。同时，您应该解决该活动部件与其他生产厂商的ESU配合使用的情况，并确定相关的风险。在风险评估中，您应该指明是否在器械设计的过程中引入了特殊的机制来防止该活动部件与其他厂商产品共同使用，因为在这种情况下生物相容性情况尚未明确。在风险评估的基础上，您还需要提供其他的性能测试，以证明与其他制造商的器械共同使用时，该部件安全且有效。</w:t>
      </w:r>
    </w:p>
    <w:p w14:paraId="1A0ACAD1">
      <w:pPr>
        <w:pStyle w:val="12"/>
        <w:numPr>
          <w:ilvl w:val="0"/>
          <w:numId w:val="4"/>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器械的图片和/或示意图</w:t>
      </w:r>
    </w:p>
    <w:p w14:paraId="5964A2D7">
      <w:pPr>
        <w:snapToGrid w:val="0"/>
        <w:spacing w:before="156" w:beforeLines="50" w:after="156" w:afterLines="50" w:line="360" w:lineRule="auto"/>
        <w:ind w:left="361" w:leftChars="172" w:firstLine="10" w:firstLineChars="5"/>
        <w:rPr>
          <w:rFonts w:ascii="Arial" w:hAnsi="Arial" w:eastAsia="宋体" w:cs="Arial"/>
          <w:szCs w:val="21"/>
        </w:rPr>
      </w:pPr>
      <w:r>
        <w:rPr>
          <w:rFonts w:ascii="Arial" w:hAnsi="Arial" w:eastAsia="宋体" w:cs="Arial"/>
          <w:szCs w:val="21"/>
        </w:rPr>
        <w:t>我们推荐您提供器械的高清图像、示意图和/或照片，其有助于解释功能和特征。我们还推荐您提供器械的分解或各组成部件的示意图或连接图，并清晰地标出所有组成部件。</w:t>
      </w:r>
    </w:p>
    <w:p w14:paraId="41287B85">
      <w:pPr>
        <w:pStyle w:val="12"/>
        <w:numPr>
          <w:ilvl w:val="0"/>
          <w:numId w:val="1"/>
        </w:numPr>
        <w:snapToGrid w:val="0"/>
        <w:spacing w:before="156" w:beforeLines="50" w:after="156" w:afterLines="50" w:line="360" w:lineRule="auto"/>
        <w:ind w:firstLineChars="0"/>
        <w:rPr>
          <w:rFonts w:ascii="Arial" w:hAnsi="Arial" w:eastAsia="宋体" w:cs="Arial"/>
          <w:b/>
          <w:sz w:val="28"/>
          <w:szCs w:val="28"/>
        </w:rPr>
        <w:sectPr>
          <w:pgSz w:w="11906" w:h="16838"/>
          <w:pgMar w:top="1134" w:right="1134" w:bottom="1134" w:left="1134" w:header="720" w:footer="720" w:gutter="0"/>
          <w:cols w:space="720" w:num="1"/>
          <w:docGrid w:type="lines" w:linePitch="312" w:charSpace="0"/>
        </w:sectPr>
      </w:pPr>
    </w:p>
    <w:p w14:paraId="72CDAB2E">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11" w:name="_Toc478549318"/>
      <w:r>
        <w:rPr>
          <w:rFonts w:hint="eastAsia" w:ascii="Arial" w:hAnsi="Arial" w:eastAsia="宋体" w:cs="Arial"/>
          <w:b/>
          <w:sz w:val="28"/>
          <w:szCs w:val="28"/>
        </w:rPr>
        <w:t>实质</w:t>
      </w:r>
      <w:r>
        <w:rPr>
          <w:rFonts w:ascii="Arial" w:hAnsi="Arial" w:eastAsia="宋体" w:cs="Arial"/>
          <w:b/>
          <w:sz w:val="28"/>
          <w:szCs w:val="28"/>
        </w:rPr>
        <w:t>等同性比较</w:t>
      </w:r>
      <w:bookmarkEnd w:id="11"/>
    </w:p>
    <w:p w14:paraId="10FA5948">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我们推荐您根据21 CFR 807.87（f）的相关要求选择一种您认为在适应症和技术特性方面与您的器械实质等同的合法上市器械来进行比较。尽量使用表1所示的表格的形式对器械的每个部分进行比较。对于发现的差异，则需要对与比较器械差异进行进一步的讨论，说明为什么这种差异不会影响安全性与有效性。您应该提供性能信息来证明，即使存在显著差异，该器械仍然具有与比较器械相同的安全性和有效性。</w:t>
      </w:r>
    </w:p>
    <w:tbl>
      <w:tblPr>
        <w:tblStyle w:val="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9"/>
        <w:gridCol w:w="1814"/>
        <w:gridCol w:w="1848"/>
      </w:tblGrid>
      <w:tr w14:paraId="39D3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55B9F212">
            <w:pPr>
              <w:snapToGrid w:val="0"/>
              <w:spacing w:before="46" w:beforeLines="15" w:after="46" w:afterLines="15" w:line="360" w:lineRule="auto"/>
              <w:jc w:val="center"/>
              <w:rPr>
                <w:rFonts w:ascii="Arial" w:hAnsi="Arial" w:eastAsia="宋体" w:cs="Arial"/>
                <w:sz w:val="18"/>
                <w:szCs w:val="18"/>
              </w:rPr>
            </w:pPr>
            <w:r>
              <w:rPr>
                <w:rFonts w:ascii="Arial" w:hAnsi="Arial" w:eastAsia="宋体" w:cs="Arial"/>
                <w:sz w:val="18"/>
                <w:szCs w:val="18"/>
              </w:rPr>
              <w:t>描述</w:t>
            </w:r>
          </w:p>
        </w:tc>
        <w:tc>
          <w:tcPr>
            <w:tcW w:w="1814" w:type="dxa"/>
          </w:tcPr>
          <w:p w14:paraId="597035DD">
            <w:pPr>
              <w:snapToGrid w:val="0"/>
              <w:spacing w:before="46" w:beforeLines="15" w:after="46" w:afterLines="15" w:line="360" w:lineRule="auto"/>
              <w:jc w:val="center"/>
              <w:rPr>
                <w:rFonts w:ascii="Arial" w:hAnsi="Arial" w:eastAsia="宋体" w:cs="Arial"/>
                <w:sz w:val="18"/>
                <w:szCs w:val="18"/>
              </w:rPr>
            </w:pPr>
            <w:r>
              <w:rPr>
                <w:rFonts w:ascii="Arial" w:hAnsi="Arial" w:eastAsia="宋体" w:cs="Arial"/>
                <w:sz w:val="18"/>
                <w:szCs w:val="18"/>
              </w:rPr>
              <w:t>您的器械</w:t>
            </w:r>
          </w:p>
        </w:tc>
        <w:tc>
          <w:tcPr>
            <w:tcW w:w="1848" w:type="dxa"/>
          </w:tcPr>
          <w:p w14:paraId="213B5C18">
            <w:pPr>
              <w:snapToGrid w:val="0"/>
              <w:spacing w:before="46" w:beforeLines="15" w:after="46" w:afterLines="15" w:line="360" w:lineRule="auto"/>
              <w:jc w:val="center"/>
              <w:rPr>
                <w:rFonts w:ascii="Arial" w:hAnsi="Arial" w:eastAsia="宋体" w:cs="Arial"/>
                <w:sz w:val="18"/>
                <w:szCs w:val="18"/>
              </w:rPr>
            </w:pPr>
            <w:r>
              <w:rPr>
                <w:rFonts w:ascii="Arial" w:hAnsi="Arial" w:eastAsia="宋体" w:cs="Arial"/>
                <w:sz w:val="18"/>
                <w:szCs w:val="18"/>
              </w:rPr>
              <w:t>比较器械</w:t>
            </w:r>
          </w:p>
        </w:tc>
      </w:tr>
      <w:tr w14:paraId="6010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500AFCB7">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适应症</w:t>
            </w:r>
          </w:p>
        </w:tc>
        <w:tc>
          <w:tcPr>
            <w:tcW w:w="1814" w:type="dxa"/>
          </w:tcPr>
          <w:p w14:paraId="0060D0E7">
            <w:pPr>
              <w:snapToGrid w:val="0"/>
              <w:spacing w:before="46" w:beforeLines="15" w:after="46" w:afterLines="15" w:line="360" w:lineRule="auto"/>
              <w:rPr>
                <w:rFonts w:ascii="Arial" w:hAnsi="Arial" w:eastAsia="宋体" w:cs="Arial"/>
                <w:sz w:val="18"/>
                <w:szCs w:val="18"/>
              </w:rPr>
            </w:pPr>
          </w:p>
        </w:tc>
        <w:tc>
          <w:tcPr>
            <w:tcW w:w="1848" w:type="dxa"/>
          </w:tcPr>
          <w:p w14:paraId="224D034D">
            <w:pPr>
              <w:snapToGrid w:val="0"/>
              <w:spacing w:before="46" w:beforeLines="15" w:after="46" w:afterLines="15" w:line="360" w:lineRule="auto"/>
              <w:rPr>
                <w:rFonts w:ascii="Arial" w:hAnsi="Arial" w:eastAsia="宋体" w:cs="Arial"/>
                <w:sz w:val="18"/>
                <w:szCs w:val="18"/>
              </w:rPr>
            </w:pPr>
          </w:p>
        </w:tc>
      </w:tr>
      <w:tr w14:paraId="0A60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0EEA3AF8">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ESU</w:t>
            </w:r>
          </w:p>
          <w:p w14:paraId="2A7079F3">
            <w:pPr>
              <w:pStyle w:val="12"/>
              <w:numPr>
                <w:ilvl w:val="0"/>
                <w:numId w:val="6"/>
              </w:numPr>
              <w:snapToGrid w:val="0"/>
              <w:spacing w:before="46" w:beforeLines="15" w:after="46" w:afterLines="15" w:line="360" w:lineRule="auto"/>
              <w:ind w:left="437" w:hanging="437" w:hangingChars="243"/>
              <w:rPr>
                <w:rFonts w:ascii="Arial" w:hAnsi="Arial" w:eastAsia="宋体" w:cs="Arial"/>
                <w:sz w:val="18"/>
                <w:szCs w:val="18"/>
              </w:rPr>
            </w:pPr>
            <w:r>
              <w:rPr>
                <w:rFonts w:ascii="Arial" w:hAnsi="Arial" w:eastAsia="宋体" w:cs="Arial"/>
                <w:sz w:val="18"/>
                <w:szCs w:val="18"/>
              </w:rPr>
              <w:t>主要功能（如单极和/或双极，温度或阻抗反馈系统，电极监测，闭合完成自动检测，启动方法，警告功能）。【请注意：血管闭合器械的发电机要使用双极；但如果该发电机有其他的用于切割或凝血的单极功能，那么也要对这些功能分别进行描述。】</w:t>
            </w:r>
          </w:p>
          <w:p w14:paraId="73EB7295">
            <w:pPr>
              <w:pStyle w:val="12"/>
              <w:numPr>
                <w:ilvl w:val="0"/>
                <w:numId w:val="6"/>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性能参数（如输出频率，波形，输出电压，输出功率，峰值因数）</w:t>
            </w:r>
          </w:p>
          <w:p w14:paraId="1B85666C">
            <w:pPr>
              <w:pStyle w:val="12"/>
              <w:numPr>
                <w:ilvl w:val="0"/>
                <w:numId w:val="6"/>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物理参数</w:t>
            </w:r>
          </w:p>
        </w:tc>
        <w:tc>
          <w:tcPr>
            <w:tcW w:w="1814" w:type="dxa"/>
          </w:tcPr>
          <w:p w14:paraId="78B32BB8">
            <w:pPr>
              <w:snapToGrid w:val="0"/>
              <w:spacing w:before="46" w:beforeLines="15" w:after="46" w:afterLines="15" w:line="360" w:lineRule="auto"/>
              <w:rPr>
                <w:rFonts w:ascii="Arial" w:hAnsi="Arial" w:eastAsia="宋体" w:cs="Arial"/>
                <w:sz w:val="18"/>
                <w:szCs w:val="18"/>
              </w:rPr>
            </w:pPr>
          </w:p>
        </w:tc>
        <w:tc>
          <w:tcPr>
            <w:tcW w:w="1848" w:type="dxa"/>
          </w:tcPr>
          <w:p w14:paraId="70512DE5">
            <w:pPr>
              <w:snapToGrid w:val="0"/>
              <w:spacing w:before="46" w:beforeLines="15" w:after="46" w:afterLines="15" w:line="360" w:lineRule="auto"/>
              <w:rPr>
                <w:rFonts w:ascii="Arial" w:hAnsi="Arial" w:eastAsia="宋体" w:cs="Arial"/>
                <w:sz w:val="18"/>
                <w:szCs w:val="18"/>
              </w:rPr>
            </w:pPr>
          </w:p>
        </w:tc>
      </w:tr>
      <w:tr w14:paraId="3A44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2D19BFB2">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活动部件/附件</w:t>
            </w:r>
          </w:p>
          <w:p w14:paraId="1E2FD2EF">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物理尺寸和设计（如尺寸，长度，接口类型）</w:t>
            </w:r>
          </w:p>
          <w:p w14:paraId="18298D77">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端部设计/形状</w:t>
            </w:r>
          </w:p>
          <w:p w14:paraId="49EB644D">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切割原理（如机械和/或电切割）</w:t>
            </w:r>
          </w:p>
          <w:p w14:paraId="1B4DC1C7">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额定电压</w:t>
            </w:r>
          </w:p>
          <w:p w14:paraId="156FB9F2">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材料（电极，绝缘材料，涂层等）</w:t>
            </w:r>
          </w:p>
        </w:tc>
        <w:tc>
          <w:tcPr>
            <w:tcW w:w="1814" w:type="dxa"/>
          </w:tcPr>
          <w:p w14:paraId="3D85CC63">
            <w:pPr>
              <w:snapToGrid w:val="0"/>
              <w:spacing w:before="46" w:beforeLines="15" w:after="46" w:afterLines="15" w:line="360" w:lineRule="auto"/>
              <w:rPr>
                <w:rFonts w:ascii="Arial" w:hAnsi="Arial" w:eastAsia="宋体" w:cs="Arial"/>
                <w:sz w:val="18"/>
                <w:szCs w:val="18"/>
              </w:rPr>
            </w:pPr>
          </w:p>
        </w:tc>
        <w:tc>
          <w:tcPr>
            <w:tcW w:w="1848" w:type="dxa"/>
          </w:tcPr>
          <w:p w14:paraId="2A116CA1">
            <w:pPr>
              <w:snapToGrid w:val="0"/>
              <w:spacing w:before="46" w:beforeLines="15" w:after="46" w:afterLines="15" w:line="360" w:lineRule="auto"/>
              <w:rPr>
                <w:rFonts w:ascii="Arial" w:hAnsi="Arial" w:eastAsia="宋体" w:cs="Arial"/>
                <w:sz w:val="18"/>
                <w:szCs w:val="18"/>
              </w:rPr>
            </w:pPr>
          </w:p>
        </w:tc>
      </w:tr>
      <w:tr w14:paraId="654D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11D2142D">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各种附件</w:t>
            </w:r>
          </w:p>
          <w:p w14:paraId="24CB105A">
            <w:pPr>
              <w:pStyle w:val="12"/>
              <w:numPr>
                <w:ilvl w:val="0"/>
                <w:numId w:val="8"/>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功能</w:t>
            </w:r>
          </w:p>
          <w:p w14:paraId="714BED19">
            <w:pPr>
              <w:pStyle w:val="12"/>
              <w:numPr>
                <w:ilvl w:val="0"/>
                <w:numId w:val="8"/>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性能规格参数</w:t>
            </w:r>
          </w:p>
          <w:p w14:paraId="0622613D">
            <w:pPr>
              <w:pStyle w:val="12"/>
              <w:numPr>
                <w:ilvl w:val="0"/>
                <w:numId w:val="8"/>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物理规格参数</w:t>
            </w:r>
          </w:p>
          <w:p w14:paraId="61091418">
            <w:pPr>
              <w:pStyle w:val="12"/>
              <w:numPr>
                <w:ilvl w:val="0"/>
                <w:numId w:val="8"/>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材料</w:t>
            </w:r>
          </w:p>
        </w:tc>
        <w:tc>
          <w:tcPr>
            <w:tcW w:w="1814" w:type="dxa"/>
          </w:tcPr>
          <w:p w14:paraId="1D084ECC">
            <w:pPr>
              <w:snapToGrid w:val="0"/>
              <w:spacing w:before="46" w:beforeLines="15" w:after="46" w:afterLines="15" w:line="360" w:lineRule="auto"/>
              <w:rPr>
                <w:rFonts w:ascii="Arial" w:hAnsi="Arial" w:eastAsia="宋体" w:cs="Arial"/>
                <w:sz w:val="18"/>
                <w:szCs w:val="18"/>
              </w:rPr>
            </w:pPr>
          </w:p>
        </w:tc>
        <w:tc>
          <w:tcPr>
            <w:tcW w:w="1848" w:type="dxa"/>
          </w:tcPr>
          <w:p w14:paraId="050160AE">
            <w:pPr>
              <w:snapToGrid w:val="0"/>
              <w:spacing w:before="46" w:beforeLines="15" w:after="46" w:afterLines="15" w:line="360" w:lineRule="auto"/>
              <w:rPr>
                <w:rFonts w:ascii="Arial" w:hAnsi="Arial" w:eastAsia="宋体" w:cs="Arial"/>
                <w:sz w:val="18"/>
                <w:szCs w:val="18"/>
              </w:rPr>
            </w:pPr>
          </w:p>
        </w:tc>
      </w:tr>
      <w:tr w14:paraId="669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73BF946F">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血管</w:t>
            </w:r>
          </w:p>
          <w:p w14:paraId="1D885686">
            <w:pPr>
              <w:pStyle w:val="12"/>
              <w:numPr>
                <w:ilvl w:val="0"/>
                <w:numId w:val="9"/>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类型</w:t>
            </w:r>
          </w:p>
          <w:p w14:paraId="26078761">
            <w:pPr>
              <w:pStyle w:val="12"/>
              <w:numPr>
                <w:ilvl w:val="0"/>
                <w:numId w:val="9"/>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最大直径</w:t>
            </w:r>
          </w:p>
          <w:p w14:paraId="00672D9F">
            <w:pPr>
              <w:pStyle w:val="12"/>
              <w:numPr>
                <w:ilvl w:val="0"/>
                <w:numId w:val="9"/>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尺寸范围</w:t>
            </w:r>
          </w:p>
        </w:tc>
        <w:tc>
          <w:tcPr>
            <w:tcW w:w="1814" w:type="dxa"/>
          </w:tcPr>
          <w:p w14:paraId="75961E1C">
            <w:pPr>
              <w:snapToGrid w:val="0"/>
              <w:spacing w:before="46" w:beforeLines="15" w:after="46" w:afterLines="15" w:line="360" w:lineRule="auto"/>
              <w:rPr>
                <w:rFonts w:ascii="Arial" w:hAnsi="Arial" w:eastAsia="宋体" w:cs="Arial"/>
                <w:sz w:val="18"/>
                <w:szCs w:val="18"/>
              </w:rPr>
            </w:pPr>
          </w:p>
        </w:tc>
        <w:tc>
          <w:tcPr>
            <w:tcW w:w="1848" w:type="dxa"/>
          </w:tcPr>
          <w:p w14:paraId="5028B46A">
            <w:pPr>
              <w:snapToGrid w:val="0"/>
              <w:spacing w:before="46" w:beforeLines="15" w:after="46" w:afterLines="15" w:line="360" w:lineRule="auto"/>
              <w:rPr>
                <w:rFonts w:ascii="Arial" w:hAnsi="Arial" w:eastAsia="宋体" w:cs="Arial"/>
                <w:sz w:val="18"/>
                <w:szCs w:val="18"/>
              </w:rPr>
            </w:pPr>
          </w:p>
        </w:tc>
      </w:tr>
    </w:tbl>
    <w:p w14:paraId="10543774">
      <w:pPr>
        <w:snapToGrid w:val="0"/>
        <w:spacing w:before="156" w:beforeLines="50" w:after="156" w:afterLines="50" w:line="360" w:lineRule="auto"/>
        <w:rPr>
          <w:rFonts w:ascii="Arial" w:hAnsi="Arial" w:eastAsia="宋体" w:cs="Arial"/>
          <w:szCs w:val="21"/>
        </w:rPr>
      </w:pPr>
      <w:r>
        <w:rPr>
          <w:rFonts w:ascii="Arial" w:hAnsi="Arial" w:eastAsia="宋体" w:cs="Arial"/>
          <w:szCs w:val="21"/>
        </w:rPr>
        <w:t>如果与您的器械进行实质等同性比较的其他器械不止一个，则您应该对每一个\比较器械给出选择说明。您应该证明不同的比较器械的不同特征和/功能组合到一台器械上后不会引起新的安全性和有效性的问题。一个可以使用多个比较器械的例子是，如果一台器械涉及多种不同的技术，这些技术可以单独使用，但同时也可以一起用于血管封闭。如果每一种技术均有一种比较器械，则假设功能之间不会相互干扰的话，可以认为这些技术的组合是实质等同的。在这种情况下，您应该提供性能数据来支持您的论断。</w:t>
      </w:r>
    </w:p>
    <w:p w14:paraId="30B5EA91">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12" w:name="_Toc478549319"/>
      <w:r>
        <w:rPr>
          <w:rFonts w:ascii="Arial" w:hAnsi="Arial" w:eastAsia="宋体" w:cs="Arial"/>
          <w:b/>
          <w:sz w:val="28"/>
          <w:szCs w:val="28"/>
        </w:rPr>
        <w:t>性能数据</w:t>
      </w:r>
      <w:bookmarkEnd w:id="12"/>
    </w:p>
    <w:p w14:paraId="2D5296AA">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推荐使用非临床测试的方法来证明血管封闭系统的每个单独的附件（或者最为相关的产品系列中的代表）以及所有附件组装成的血管闭合系统（系统）满足所有的设计和性能规格要求。如果510（k）申请针对的是血管闭合系统的一个或多个附件而非整个血管封闭系统（例如单独的ESU或活动电极），则需要使用合法上市的系统，配合您的与之兼容的部件进行非临床检测。如果510（k）申请针对的是血管封闭系统以及电外科器械的其它活动部件，则推荐采取电外科器械其它的活动部件附件所必要的性能数据。请参考FDA指南“</w:t>
      </w:r>
      <w:bookmarkStart w:id="13" w:name="OLE_LINK5"/>
      <w:bookmarkStart w:id="14" w:name="OLE_LINK6"/>
      <w:r>
        <w:rPr>
          <w:rFonts w:ascii="Arial" w:hAnsi="Arial" w:eastAsia="宋体" w:cs="Arial"/>
          <w:szCs w:val="21"/>
        </w:rPr>
        <w:t>普通外科手术用电外科器械上市前通告（510（k））申请”</w:t>
      </w:r>
      <w:bookmarkEnd w:id="13"/>
      <w:bookmarkEnd w:id="14"/>
      <w:r>
        <w:rPr>
          <w:rFonts w:ascii="Arial" w:hAnsi="Arial" w:eastAsia="宋体" w:cs="Arial"/>
          <w:szCs w:val="21"/>
        </w:rPr>
        <w:t>。</w:t>
      </w:r>
    </w:p>
    <w:p w14:paraId="5F57E68E">
      <w:pPr>
        <w:snapToGrid w:val="0"/>
        <w:spacing w:before="156" w:beforeLines="50" w:after="156" w:afterLines="50" w:line="360" w:lineRule="auto"/>
        <w:rPr>
          <w:rFonts w:ascii="Arial" w:hAnsi="Arial" w:eastAsia="宋体" w:cs="Arial"/>
          <w:szCs w:val="21"/>
        </w:rPr>
      </w:pPr>
    </w:p>
    <w:p w14:paraId="7D8FEDD5">
      <w:pPr>
        <w:snapToGrid w:val="0"/>
        <w:spacing w:before="156" w:beforeLines="50" w:after="156" w:afterLines="50" w:line="360" w:lineRule="auto"/>
        <w:rPr>
          <w:rFonts w:ascii="Arial" w:hAnsi="Arial" w:eastAsia="宋体" w:cs="Arial"/>
          <w:szCs w:val="21"/>
        </w:rPr>
      </w:pPr>
      <w:r>
        <w:rPr>
          <w:rFonts w:ascii="Arial" w:hAnsi="Arial" w:eastAsia="宋体" w:cs="Arial"/>
          <w:szCs w:val="21"/>
        </w:rPr>
        <w:t>根据与比较器械的实质等同性比较结果，非临床测试可能采用单独的台架测试，也可能需要使用动物模型进行体内或体外测试。后文所述为推荐的针对每个主要部件及系统的非临床测试。</w:t>
      </w:r>
    </w:p>
    <w:p w14:paraId="66BCFDE6">
      <w:pPr>
        <w:snapToGrid w:val="0"/>
        <w:spacing w:before="156" w:beforeLines="50" w:after="156" w:afterLines="50" w:line="360" w:lineRule="auto"/>
        <w:rPr>
          <w:rFonts w:ascii="Arial" w:hAnsi="Arial" w:eastAsia="宋体" w:cs="Arial"/>
          <w:szCs w:val="21"/>
        </w:rPr>
      </w:pPr>
      <w:r>
        <w:rPr>
          <w:rFonts w:ascii="Arial" w:hAnsi="Arial" w:eastAsia="宋体" w:cs="Arial"/>
          <w:szCs w:val="21"/>
        </w:rPr>
        <w:t>您应该提供每一项测试的完整测试报告。一份完整的测试报告包括：测试目的，测试方法和流程的描述，研究终点，预先设定的通过/未通过标准，结果总结，以及结论。您还需要提供一份关于为什么测试得到的数据支持实质等同性的说明。凡涉及组织效应的测试，需要描述每项测试的接受标准的临床相关性，并解释测试结果为何能够说明您的器械符合可接受的临床性能。非临床检测的条件要模拟在器械临床使用中可能遇到的最坏的状况。对于不在FDA统一标准范围内的非临床测试，申请器械的测试结果要与比较器械进行比较。</w:t>
      </w:r>
    </w:p>
    <w:p w14:paraId="66ACF0B8">
      <w:pPr>
        <w:snapToGrid w:val="0"/>
        <w:spacing w:before="156" w:beforeLines="50" w:after="156" w:afterLines="50" w:line="360" w:lineRule="auto"/>
        <w:rPr>
          <w:rFonts w:ascii="Arial" w:hAnsi="Arial" w:eastAsia="宋体" w:cs="Arial"/>
          <w:szCs w:val="21"/>
        </w:rPr>
      </w:pPr>
    </w:p>
    <w:p w14:paraId="5D35FB70">
      <w:pPr>
        <w:widowControl/>
        <w:spacing w:line="360" w:lineRule="auto"/>
        <w:jc w:val="left"/>
        <w:rPr>
          <w:rFonts w:ascii="Arial" w:hAnsi="Arial" w:eastAsia="宋体" w:cs="Arial"/>
          <w:b/>
          <w:sz w:val="24"/>
          <w:szCs w:val="24"/>
        </w:rPr>
      </w:pPr>
      <w:r>
        <w:rPr>
          <w:rFonts w:ascii="Arial" w:hAnsi="Arial" w:eastAsia="宋体" w:cs="Arial"/>
          <w:b/>
          <w:sz w:val="24"/>
          <w:szCs w:val="24"/>
        </w:rPr>
        <w:br w:type="page"/>
      </w:r>
    </w:p>
    <w:p w14:paraId="396C159E">
      <w:pPr>
        <w:pStyle w:val="12"/>
        <w:numPr>
          <w:ilvl w:val="0"/>
          <w:numId w:val="10"/>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15" w:name="_Toc478549320"/>
      <w:r>
        <w:rPr>
          <w:rFonts w:ascii="Arial" w:hAnsi="Arial" w:eastAsia="宋体" w:cs="Arial"/>
          <w:b/>
          <w:sz w:val="24"/>
          <w:szCs w:val="24"/>
        </w:rPr>
        <w:t>ESU</w:t>
      </w:r>
      <w:bookmarkEnd w:id="15"/>
    </w:p>
    <w:p w14:paraId="3FB6789E">
      <w:pPr>
        <w:snapToGrid w:val="0"/>
        <w:spacing w:before="156" w:beforeLines="50" w:after="156" w:afterLines="50" w:line="360" w:lineRule="auto"/>
        <w:rPr>
          <w:rFonts w:ascii="Arial" w:hAnsi="Arial" w:eastAsia="宋体" w:cs="Arial"/>
          <w:szCs w:val="21"/>
        </w:rPr>
      </w:pPr>
      <w:r>
        <w:rPr>
          <w:rFonts w:ascii="Arial" w:hAnsi="Arial" w:eastAsia="宋体" w:cs="Arial"/>
          <w:szCs w:val="21"/>
        </w:rPr>
        <w:t>您应该提供在额定负荷情况下输出波形的图像，指出相关的模式、振幅、频率、工作周期、使用的符合以及峰值因数。</w:t>
      </w:r>
    </w:p>
    <w:p w14:paraId="3B9A7590">
      <w:pPr>
        <w:snapToGrid w:val="0"/>
        <w:spacing w:before="156" w:beforeLines="50" w:after="156" w:afterLines="50" w:line="360" w:lineRule="auto"/>
        <w:rPr>
          <w:rFonts w:ascii="Arial" w:hAnsi="Arial" w:eastAsia="宋体" w:cs="Arial"/>
          <w:szCs w:val="21"/>
        </w:rPr>
      </w:pPr>
      <w:r>
        <w:rPr>
          <w:rFonts w:ascii="Arial" w:hAnsi="Arial" w:eastAsia="宋体" w:cs="Arial"/>
          <w:szCs w:val="21"/>
        </w:rPr>
        <w:t>您应该提供在</w:t>
      </w:r>
      <w:bookmarkStart w:id="16" w:name="OLE_LINK21"/>
      <w:bookmarkStart w:id="17" w:name="OLE_LINK22"/>
      <w:r>
        <w:rPr>
          <w:rFonts w:ascii="Arial" w:hAnsi="Arial" w:eastAsia="宋体" w:cs="Arial"/>
          <w:szCs w:val="21"/>
        </w:rPr>
        <w:t>期望载荷范围的最大和半强度下的功率输出示意图</w:t>
      </w:r>
      <w:bookmarkEnd w:id="16"/>
      <w:bookmarkEnd w:id="17"/>
      <w:r>
        <w:rPr>
          <w:rFonts w:ascii="Arial" w:hAnsi="Arial" w:eastAsia="宋体" w:cs="Arial"/>
          <w:szCs w:val="21"/>
        </w:rPr>
        <w:t>（如双极50Ω到500Ω）。该信息应当来自实验检测数据而非理论值，并且应当与比较器械相应模式下的曲线进行对比。</w:t>
      </w:r>
    </w:p>
    <w:p w14:paraId="40C29494">
      <w:pPr>
        <w:snapToGrid w:val="0"/>
        <w:spacing w:before="156" w:beforeLines="50" w:after="156" w:afterLines="50" w:line="360" w:lineRule="auto"/>
        <w:rPr>
          <w:rFonts w:ascii="Arial" w:hAnsi="Arial" w:eastAsia="宋体" w:cs="Arial"/>
          <w:szCs w:val="21"/>
        </w:rPr>
      </w:pPr>
      <w:r>
        <w:rPr>
          <w:rFonts w:ascii="Arial" w:hAnsi="Arial" w:eastAsia="宋体" w:cs="Arial"/>
          <w:szCs w:val="21"/>
        </w:rPr>
        <w:t>如果血管闭合ESU具有其他的功能，也可以再血管闭合外的其他手术中用作射频手术的发电机，则您应该提供该ESU每种模式下的信息。请参考FDA的指导文件，“普通外科手术用电外科器械上市前通告（510（k））申请。”</w:t>
      </w:r>
    </w:p>
    <w:p w14:paraId="4130BF1A">
      <w:pPr>
        <w:pStyle w:val="12"/>
        <w:numPr>
          <w:ilvl w:val="0"/>
          <w:numId w:val="10"/>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18" w:name="_Toc478549321"/>
      <w:r>
        <w:rPr>
          <w:rFonts w:ascii="Arial" w:hAnsi="Arial" w:eastAsia="宋体" w:cs="Arial"/>
          <w:b/>
          <w:sz w:val="24"/>
          <w:szCs w:val="24"/>
        </w:rPr>
        <w:t>活动部件/附件</w:t>
      </w:r>
      <w:bookmarkEnd w:id="18"/>
    </w:p>
    <w:p w14:paraId="073C3CA2">
      <w:pPr>
        <w:snapToGrid w:val="0"/>
        <w:spacing w:before="156" w:beforeLines="50" w:after="156" w:afterLines="50" w:line="360" w:lineRule="auto"/>
        <w:rPr>
          <w:rFonts w:ascii="Arial" w:hAnsi="Arial" w:eastAsia="宋体" w:cs="Arial"/>
          <w:szCs w:val="21"/>
        </w:rPr>
      </w:pPr>
      <w:r>
        <w:rPr>
          <w:rFonts w:ascii="Arial" w:hAnsi="Arial" w:eastAsia="宋体" w:cs="Arial"/>
          <w:szCs w:val="21"/>
        </w:rPr>
        <w:t>血管闭合系统活动电极和器械的机械测试对于降低与机械故障和短路有关的风险十分重要。虽然不同的器械设计可能涉及不同的方法，但您均需要对器械使用前（如包装跌落测试）和使用中（如弯曲力）的潜在损害进行评估。对于一次性使用的器械和可重复利用的器械也有必要采取不同的测试方法。对于可重复利用的器械，检测结果需要表明在多次使用和再生循环后，器械的机械强度和电性能（如绝缘完整性）均应符合要求。对于进行手动操作的器械部件，我们推荐对该部件进行模拟重复使用测试，包括抓握力和</w:t>
      </w:r>
      <w:bookmarkStart w:id="19" w:name="OLE_LINK8"/>
      <w:bookmarkStart w:id="20" w:name="OLE_LINK7"/>
      <w:r>
        <w:rPr>
          <w:rFonts w:ascii="Arial" w:hAnsi="Arial" w:eastAsia="宋体" w:cs="Arial"/>
          <w:szCs w:val="21"/>
        </w:rPr>
        <w:t>能够导致机械爪损坏的力</w:t>
      </w:r>
      <w:bookmarkEnd w:id="19"/>
      <w:bookmarkEnd w:id="20"/>
      <w:r>
        <w:rPr>
          <w:rFonts w:ascii="Arial" w:hAnsi="Arial" w:eastAsia="宋体" w:cs="Arial"/>
          <w:szCs w:val="21"/>
        </w:rPr>
        <w:t>的大小。能够导致机械爪损坏的力指的是能够导致操作部件无法抓握或无法接近目标组织的力。这项测试对于确保器械能够在最坏的情况下抓住目标组织十分重要。对</w:t>
      </w:r>
      <w:r>
        <w:rPr>
          <w:rFonts w:hint="eastAsia" w:ascii="Arial" w:hAnsi="Arial" w:eastAsia="宋体" w:cs="Arial"/>
          <w:szCs w:val="21"/>
        </w:rPr>
        <w:t>于可重复使用的工具，该项测试应当在模拟最大使用次数以及再循环周期数后进行。</w:t>
      </w:r>
    </w:p>
    <w:p w14:paraId="04CAE140">
      <w:pPr>
        <w:pStyle w:val="12"/>
        <w:numPr>
          <w:ilvl w:val="0"/>
          <w:numId w:val="10"/>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21" w:name="_Toc478549322"/>
      <w:r>
        <w:rPr>
          <w:rFonts w:hint="eastAsia" w:ascii="Arial" w:hAnsi="Arial" w:eastAsia="宋体" w:cs="Arial"/>
          <w:b/>
          <w:sz w:val="24"/>
          <w:szCs w:val="24"/>
        </w:rPr>
        <w:t>其他</w:t>
      </w:r>
      <w:r>
        <w:rPr>
          <w:rFonts w:ascii="Arial" w:hAnsi="Arial" w:eastAsia="宋体" w:cs="Arial"/>
          <w:b/>
          <w:sz w:val="24"/>
          <w:szCs w:val="24"/>
        </w:rPr>
        <w:t>附件/附件</w:t>
      </w:r>
      <w:bookmarkEnd w:id="21"/>
    </w:p>
    <w:p w14:paraId="5536C5C0">
      <w:pPr>
        <w:snapToGrid w:val="0"/>
        <w:spacing w:before="156" w:beforeLines="50" w:after="156" w:afterLines="50" w:line="360" w:lineRule="auto"/>
        <w:rPr>
          <w:rFonts w:ascii="Arial" w:hAnsi="Arial" w:eastAsia="宋体" w:cs="Arial"/>
          <w:szCs w:val="21"/>
        </w:rPr>
      </w:pPr>
      <w:r>
        <w:rPr>
          <w:rFonts w:hint="eastAsia" w:ascii="Arial" w:hAnsi="Arial" w:eastAsia="宋体" w:cs="Arial"/>
          <w:szCs w:val="21"/>
        </w:rPr>
        <w:t>如果血管闭合设备还包含如脚踏开关等其他附件，则您应当提供相应的检测报告，证明每种附件设备均符合设计规格和性能要求。</w:t>
      </w:r>
    </w:p>
    <w:p w14:paraId="7B137311">
      <w:pPr>
        <w:snapToGrid w:val="0"/>
        <w:spacing w:before="156" w:beforeLines="50" w:after="156" w:afterLines="50" w:line="360" w:lineRule="auto"/>
        <w:rPr>
          <w:rFonts w:ascii="Arial" w:hAnsi="Arial" w:eastAsia="宋体" w:cs="Arial"/>
          <w:szCs w:val="21"/>
        </w:rPr>
      </w:pPr>
      <w:r>
        <w:rPr>
          <w:rFonts w:hint="eastAsia" w:ascii="Arial" w:hAnsi="Arial" w:eastAsia="宋体" w:cs="Arial"/>
          <w:szCs w:val="21"/>
        </w:rPr>
        <w:t>如果该附件</w:t>
      </w:r>
      <w:r>
        <w:rPr>
          <w:rFonts w:ascii="Arial" w:hAnsi="Arial" w:eastAsia="宋体" w:cs="Arial"/>
          <w:szCs w:val="21"/>
        </w:rPr>
        <w:t>/附件已经通过了FDA批准，则您可以提供510（k）原件作为参考，而不需要对该附件/附件进行额外的测试。但仍然要对该附件/附件与待申请设备的兼容性作出说明。</w:t>
      </w:r>
    </w:p>
    <w:p w14:paraId="02273368">
      <w:pPr>
        <w:pStyle w:val="12"/>
        <w:numPr>
          <w:ilvl w:val="0"/>
          <w:numId w:val="10"/>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22" w:name="_Toc478549323"/>
      <w:r>
        <w:rPr>
          <w:rFonts w:hint="eastAsia" w:ascii="Arial" w:hAnsi="Arial" w:eastAsia="宋体" w:cs="Arial"/>
          <w:b/>
          <w:sz w:val="24"/>
          <w:szCs w:val="24"/>
        </w:rPr>
        <w:t>系统测试</w:t>
      </w:r>
      <w:bookmarkEnd w:id="22"/>
    </w:p>
    <w:p w14:paraId="4FECAED0">
      <w:pPr>
        <w:snapToGrid w:val="0"/>
        <w:spacing w:before="156" w:beforeLines="50" w:after="156" w:afterLines="50" w:line="360" w:lineRule="auto"/>
        <w:rPr>
          <w:rFonts w:ascii="Arial" w:hAnsi="Arial" w:eastAsia="宋体" w:cs="Arial"/>
          <w:szCs w:val="21"/>
        </w:rPr>
      </w:pPr>
      <w:r>
        <w:rPr>
          <w:rFonts w:hint="eastAsia" w:ascii="Arial" w:hAnsi="Arial" w:eastAsia="宋体" w:cs="Arial"/>
          <w:szCs w:val="21"/>
        </w:rPr>
        <w:t>对于新型血</w:t>
      </w:r>
      <w:r>
        <w:rPr>
          <w:rFonts w:ascii="Arial" w:hAnsi="Arial" w:eastAsia="宋体" w:cs="Arial"/>
          <w:szCs w:val="21"/>
        </w:rPr>
        <w:t>管闭合系统或能够影响系统的组织效应的修改（如机械爪的几何结构或材料，机械爪表面特性，</w:t>
      </w:r>
      <w:bookmarkStart w:id="23" w:name="OLE_LINK10"/>
      <w:bookmarkStart w:id="24" w:name="OLE_LINK9"/>
      <w:r>
        <w:rPr>
          <w:rFonts w:ascii="Arial" w:hAnsi="Arial" w:eastAsia="宋体" w:cs="Arial"/>
          <w:szCs w:val="21"/>
        </w:rPr>
        <w:t>抓握力，输出功率，或发电机控制算法</w:t>
      </w:r>
      <w:bookmarkEnd w:id="23"/>
      <w:bookmarkEnd w:id="24"/>
      <w:r>
        <w:rPr>
          <w:rFonts w:ascii="Arial" w:hAnsi="Arial" w:eastAsia="宋体" w:cs="Arial"/>
          <w:szCs w:val="21"/>
        </w:rPr>
        <w:t>）的510（k）申请，我们推荐使用下列的系统测试方法来证明双极电外科血管闭合系统的性能。</w:t>
      </w:r>
      <w:bookmarkStart w:id="25" w:name="OLE_LINK13"/>
      <w:bookmarkStart w:id="26" w:name="OLE_LINK14"/>
      <w:r>
        <w:rPr>
          <w:rFonts w:ascii="Arial" w:hAnsi="Arial" w:eastAsia="宋体" w:cs="Arial"/>
          <w:szCs w:val="21"/>
        </w:rPr>
        <w:t>如果510（k）包含一系列相关的器械，且这些器械的机械爪几何形状或材料、表面特性、抓握力、输出功率及发电机控制算法均相同，则不必对该系列的每种产品重复进行测试。需要在说明书和/或报告中对选择一个系列的代表个体的数据还是整体的数据作出说明。</w:t>
      </w:r>
      <w:bookmarkEnd w:id="25"/>
      <w:bookmarkEnd w:id="26"/>
      <w:r>
        <w:rPr>
          <w:rFonts w:ascii="Arial" w:hAnsi="Arial" w:eastAsia="宋体" w:cs="Arial"/>
          <w:szCs w:val="21"/>
        </w:rPr>
        <w:t>该信息应当包含申请器械的测试结果以及比较器械的信息并进行比较。</w:t>
      </w:r>
    </w:p>
    <w:p w14:paraId="6ABE2543">
      <w:pPr>
        <w:pStyle w:val="12"/>
        <w:numPr>
          <w:ilvl w:val="0"/>
          <w:numId w:val="11"/>
        </w:numPr>
        <w:snapToGrid w:val="0"/>
        <w:spacing w:before="156" w:beforeLines="50" w:after="156" w:afterLines="50" w:line="360" w:lineRule="auto"/>
        <w:ind w:firstLineChars="0"/>
        <w:rPr>
          <w:rFonts w:ascii="Arial" w:hAnsi="Arial" w:eastAsia="宋体" w:cs="Arial"/>
          <w:b/>
          <w:szCs w:val="21"/>
        </w:rPr>
        <w:sectPr>
          <w:pgSz w:w="11906" w:h="16838"/>
          <w:pgMar w:top="1134" w:right="1134" w:bottom="1134" w:left="1134" w:header="720" w:footer="720" w:gutter="0"/>
          <w:cols w:space="720" w:num="1"/>
          <w:docGrid w:type="lines" w:linePitch="312" w:charSpace="0"/>
        </w:sectPr>
      </w:pPr>
    </w:p>
    <w:p w14:paraId="3849DBF6">
      <w:pPr>
        <w:pStyle w:val="12"/>
        <w:numPr>
          <w:ilvl w:val="0"/>
          <w:numId w:val="11"/>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爆破压力</w:t>
      </w:r>
    </w:p>
    <w:p w14:paraId="76287D91">
      <w:pPr>
        <w:snapToGrid w:val="0"/>
        <w:spacing w:before="156" w:beforeLines="50" w:after="156" w:afterLines="50" w:line="360" w:lineRule="auto"/>
        <w:ind w:left="404" w:leftChars="192" w:hanging="1"/>
        <w:rPr>
          <w:rFonts w:ascii="Arial" w:hAnsi="Arial" w:eastAsia="宋体" w:cs="Arial"/>
          <w:szCs w:val="21"/>
        </w:rPr>
      </w:pPr>
      <w:bookmarkStart w:id="27" w:name="OLE_LINK11"/>
      <w:bookmarkStart w:id="28" w:name="OLE_LINK12"/>
      <w:r>
        <w:rPr>
          <w:rFonts w:ascii="Arial" w:hAnsi="Arial" w:eastAsia="宋体" w:cs="Arial"/>
          <w:szCs w:val="21"/>
        </w:rPr>
        <w:t>对于每一种模式和代表器械，</w:t>
      </w:r>
      <w:bookmarkEnd w:id="27"/>
      <w:bookmarkEnd w:id="28"/>
      <w:r>
        <w:rPr>
          <w:rFonts w:ascii="Arial" w:hAnsi="Arial" w:eastAsia="宋体" w:cs="Arial"/>
          <w:szCs w:val="21"/>
        </w:rPr>
        <w:t>在与使用比较器械所封闭的血管进行比较时，需要提供爆破压力的信息来对使用申请的器械所封闭的血管的封闭强度进行评估。在该项测试中，血管分别用申请的器械和比较器械进行封闭操作。然后使用液体对这些血管进行加压，直到其破裂。所记录到破裂前的压强为爆破压力。</w:t>
      </w:r>
    </w:p>
    <w:p w14:paraId="5DE61CD2">
      <w:pPr>
        <w:snapToGrid w:val="0"/>
        <w:spacing w:before="156" w:beforeLines="50" w:after="156" w:afterLines="50" w:line="360" w:lineRule="auto"/>
        <w:ind w:left="406" w:leftChars="193" w:hanging="1"/>
        <w:rPr>
          <w:rFonts w:ascii="Arial" w:hAnsi="Arial" w:eastAsia="宋体" w:cs="Arial"/>
          <w:szCs w:val="21"/>
        </w:rPr>
      </w:pPr>
      <w:r>
        <w:rPr>
          <w:rFonts w:ascii="Arial" w:hAnsi="Arial" w:eastAsia="宋体" w:cs="Arial"/>
          <w:szCs w:val="21"/>
        </w:rPr>
        <w:t>您应该选择与使用说明相一致的血管尺寸范围，并说明选择的特定血管类型（静脉，动脉或两者均有）的原因。您应当提供一份深入的检测报告，并在表格中列出密封的血管的爆破压力、血管类型、直径、器械样本编号、物理现象（如黏着、炭化）以及故障或记录（如第一次尝试进行封闭时发生警告，重新进行操作）。您应当使用爆破压力测试中的信息，通过观察最难封闭或在爆破压力测试中出现问题的血管尺寸来确定长期动物试验中的最差情况。</w:t>
      </w:r>
    </w:p>
    <w:p w14:paraId="6F42B148">
      <w:pPr>
        <w:pStyle w:val="12"/>
        <w:numPr>
          <w:ilvl w:val="0"/>
          <w:numId w:val="11"/>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血管热扩散</w:t>
      </w:r>
    </w:p>
    <w:p w14:paraId="196CC340">
      <w:pPr>
        <w:snapToGrid w:val="0"/>
        <w:spacing w:before="156" w:beforeLines="50" w:after="156" w:afterLines="50" w:line="360" w:lineRule="auto"/>
        <w:ind w:left="406" w:leftChars="193" w:hanging="1"/>
        <w:rPr>
          <w:rFonts w:ascii="Arial" w:hAnsi="Arial" w:eastAsia="宋体" w:cs="Arial"/>
          <w:szCs w:val="21"/>
        </w:rPr>
      </w:pPr>
      <w:r>
        <w:rPr>
          <w:rFonts w:ascii="Arial" w:hAnsi="Arial" w:eastAsia="宋体" w:cs="Arial"/>
          <w:szCs w:val="21"/>
        </w:rPr>
        <w:t>对于每一种模式和代表器械，您应该提供比较数据以评估血管热损伤的扩散情况。这些数据应当包括对于热损伤区域尺寸（长宽高）的定量测量（在放大镜下）。认为两个维度的组织学评估（如长和宽）是评估热扩散最低可接受的测量。有必要进行三个维度的组织学评估（如长和宽）以量化产生特殊生长特性（例如，热扩散的非对称增长）的闭合中热扩散。</w:t>
      </w:r>
    </w:p>
    <w:p w14:paraId="273A6C0A">
      <w:pPr>
        <w:snapToGrid w:val="0"/>
        <w:spacing w:before="156" w:beforeLines="50" w:after="156" w:afterLines="50" w:line="360" w:lineRule="auto"/>
        <w:ind w:left="406" w:leftChars="193" w:hanging="1"/>
        <w:rPr>
          <w:rFonts w:ascii="Arial" w:hAnsi="Arial" w:eastAsia="宋体" w:cs="Arial"/>
          <w:szCs w:val="21"/>
        </w:rPr>
      </w:pPr>
      <w:r>
        <w:rPr>
          <w:rFonts w:ascii="Arial" w:hAnsi="Arial" w:eastAsia="宋体" w:cs="Arial"/>
          <w:szCs w:val="21"/>
        </w:rPr>
        <w:t>在该测试中，首先使用申请器械或比较器械进行血管封闭，然后对热损伤（如凝固性坏死）情况进行组织学评估，以确定其余封口边缘的距离。</w:t>
      </w:r>
    </w:p>
    <w:p w14:paraId="619FE756">
      <w:pPr>
        <w:snapToGrid w:val="0"/>
        <w:spacing w:before="156" w:beforeLines="50" w:after="156" w:afterLines="50" w:line="360" w:lineRule="auto"/>
        <w:ind w:left="406" w:leftChars="193" w:hanging="1"/>
        <w:rPr>
          <w:rFonts w:ascii="Arial" w:hAnsi="Arial" w:eastAsia="宋体" w:cs="Arial"/>
          <w:szCs w:val="21"/>
        </w:rPr>
      </w:pPr>
      <w:r>
        <w:rPr>
          <w:rFonts w:ascii="Arial" w:hAnsi="Arial" w:eastAsia="宋体" w:cs="Arial"/>
          <w:szCs w:val="21"/>
        </w:rPr>
        <w:t>我们推荐您对体内血管进行封闭，或者提供一份说明，证明体外使用并不会影响结果。您应当提供一份深入全面的测试报告，包括各组组织学样本中具有代表性的高清彩色图像，这些图形应当能够清晰展现封口的边缘以及测量是如何进行的。</w:t>
      </w:r>
    </w:p>
    <w:p w14:paraId="6D998AF4">
      <w:pPr>
        <w:pStyle w:val="12"/>
        <w:numPr>
          <w:ilvl w:val="0"/>
          <w:numId w:val="12"/>
        </w:numPr>
        <w:snapToGrid w:val="0"/>
        <w:spacing w:before="156" w:beforeLines="50" w:after="156" w:afterLines="50" w:line="360" w:lineRule="auto"/>
        <w:ind w:firstLineChars="0"/>
        <w:rPr>
          <w:rFonts w:ascii="Arial" w:hAnsi="Arial" w:eastAsia="宋体" w:cs="Arial"/>
          <w:b/>
          <w:sz w:val="24"/>
          <w:szCs w:val="24"/>
        </w:rPr>
        <w:sectPr>
          <w:pgSz w:w="11906" w:h="16838"/>
          <w:pgMar w:top="1134" w:right="1134" w:bottom="1134" w:left="1134" w:header="720" w:footer="720" w:gutter="0"/>
          <w:cols w:space="720" w:num="1"/>
          <w:docGrid w:type="lines" w:linePitch="312" w:charSpace="0"/>
        </w:sectPr>
      </w:pPr>
    </w:p>
    <w:p w14:paraId="4B0DD6D7">
      <w:pPr>
        <w:pStyle w:val="12"/>
        <w:numPr>
          <w:ilvl w:val="0"/>
          <w:numId w:val="12"/>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29" w:name="_Toc478549324"/>
      <w:r>
        <w:rPr>
          <w:rFonts w:ascii="Arial" w:hAnsi="Arial" w:eastAsia="宋体" w:cs="Arial"/>
          <w:b/>
          <w:sz w:val="24"/>
          <w:szCs w:val="24"/>
        </w:rPr>
        <w:t>长期动物研究</w:t>
      </w:r>
      <w:bookmarkEnd w:id="29"/>
    </w:p>
    <w:p w14:paraId="19770904">
      <w:pPr>
        <w:snapToGrid w:val="0"/>
        <w:spacing w:before="156" w:beforeLines="50" w:after="156" w:afterLines="50" w:line="360" w:lineRule="auto"/>
        <w:ind w:left="378" w:leftChars="180" w:firstLine="12" w:firstLineChars="6"/>
        <w:rPr>
          <w:rFonts w:ascii="Arial" w:hAnsi="Arial" w:eastAsia="宋体" w:cs="Arial"/>
          <w:szCs w:val="21"/>
        </w:rPr>
      </w:pPr>
      <w:r>
        <w:rPr>
          <w:rFonts w:ascii="Arial" w:hAnsi="Arial" w:eastAsia="宋体" w:cs="Arial"/>
          <w:szCs w:val="21"/>
        </w:rPr>
        <w:t>对于新型血管闭合系统或能够影响系统的组织效应的修改（如机械爪的几何结构或材料，机械爪表面特性，抓握力，输出功率，或发电机控制算法）的510（k）申请，我们推荐使用长期动物实验的方式来证明双机血管闭合器械的性能。如果510（k）包含一系列相关的器械，且这些器械的机械爪几何形状或材料、表面特性、抓握力、输出功率及发电机控制算法均相同，则不必对该系列的每种产品重复进行测试。需要在方案和/或报告中对选择一个系列的代表个体的数据还是整体的数据作出说明。</w:t>
      </w:r>
    </w:p>
    <w:p w14:paraId="5E02D7B1">
      <w:pPr>
        <w:snapToGrid w:val="0"/>
        <w:spacing w:before="156" w:beforeLines="50" w:after="156" w:afterLines="50" w:line="360" w:lineRule="auto"/>
        <w:ind w:left="378" w:leftChars="180" w:firstLine="12" w:firstLineChars="6"/>
        <w:rPr>
          <w:rFonts w:ascii="Arial" w:hAnsi="Arial" w:eastAsia="宋体" w:cs="Arial"/>
          <w:szCs w:val="21"/>
        </w:rPr>
      </w:pPr>
      <w:r>
        <w:rPr>
          <w:rFonts w:ascii="Arial" w:hAnsi="Arial" w:eastAsia="宋体" w:cs="Arial"/>
          <w:szCs w:val="21"/>
        </w:rPr>
        <w:t>为了评估长期的闭合质量以及对邻近组织潜在的损伤，您应该在至少5只实验动物中进行一个最短为期3周的长期动物实验来对器械的性能进行评估。为了保证足够的研究样本量，每只实验动物均应进行多处血管封闭。在预先确定好通过标准，该标准符合临床要求（如没有血管漏出，血管正常愈合，以及没有邻近组织受损），并且可以获取用于比较的比较器械产生的类似数据的情况下，该项研究可以只使用申请的器械进行。您应该提供一份深入全面的检测报告，该报告至少应包含以下信息：</w:t>
      </w:r>
    </w:p>
    <w:p w14:paraId="11D3D225">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关于动物模型以及选择的血管类型（如动脉和静脉）及直径的说明；</w:t>
      </w:r>
    </w:p>
    <w:p w14:paraId="4EB4A19C">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对手术流程的描述，包括血管在闭合后是否以及如何进行切片，以及在尸检中如何对封闭区域进行定位；</w:t>
      </w:r>
    </w:p>
    <w:p w14:paraId="4D4F0FE0">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在对动物缝合前的血管漏出情况的术中评估描述；</w:t>
      </w:r>
    </w:p>
    <w:p w14:paraId="4C06A3E5">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如果强度（如功率设置）可调，则需要提供选择该输出强度的理由（在该情况中，我们推荐测试包含最差情况在内的某一范围的值）；</w:t>
      </w:r>
    </w:p>
    <w:p w14:paraId="154309DE">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列出每条闭合血管的血管类型、直径、器械样品/识别号、闭合外观、尸检中的大体发现（如未预见的损伤、闭合区域大的血肿、邻近组织损伤）以及封闭失败或成功的评论；</w:t>
      </w:r>
    </w:p>
    <w:p w14:paraId="6A5D88D1">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关于动物从手术后至进行尸检中这段时间的生活状况的养殖/兽医的临床观察报告；</w:t>
      </w:r>
    </w:p>
    <w:p w14:paraId="097CC966">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动物的手术后活动水平（活动不应当受限），以及对于动物的任何压力的描述（如血压评估）；以及</w:t>
      </w:r>
    </w:p>
    <w:p w14:paraId="6CEE997B">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描述血管愈合程度、关于渗漏的证据（出血和/或水肿），以及任何的邻近组织损伤的病生理学报告。</w:t>
      </w:r>
    </w:p>
    <w:p w14:paraId="40D2A689">
      <w:pPr>
        <w:snapToGrid w:val="0"/>
        <w:spacing w:before="156" w:beforeLines="50" w:after="156" w:afterLines="50" w:line="360" w:lineRule="auto"/>
        <w:rPr>
          <w:rFonts w:ascii="Arial" w:hAnsi="Arial" w:eastAsia="宋体" w:cs="Arial"/>
          <w:szCs w:val="21"/>
        </w:rPr>
      </w:pPr>
      <w:r>
        <w:rPr>
          <w:rFonts w:ascii="Arial" w:hAnsi="Arial" w:eastAsia="宋体" w:cs="Arial"/>
          <w:szCs w:val="21"/>
        </w:rPr>
        <w:t>应当在原始的方案中以及最终检测报告中注明在尸检中对闭合位置进行定位的可接受的方法。方案和报告也应当相应地对进行闭合操作的解剖位置进行确认。缝合和墨水标记均为方案和报告中记录的解剖位置内的特定闭合的可接受方法。</w:t>
      </w:r>
    </w:p>
    <w:p w14:paraId="6D6E63FA">
      <w:pPr>
        <w:snapToGrid w:val="0"/>
        <w:spacing w:before="156" w:beforeLines="50" w:after="156" w:afterLines="50" w:line="360" w:lineRule="auto"/>
        <w:rPr>
          <w:rFonts w:ascii="Arial" w:hAnsi="Arial" w:eastAsia="宋体" w:cs="Arial"/>
          <w:szCs w:val="21"/>
        </w:rPr>
      </w:pPr>
      <w:r>
        <w:rPr>
          <w:rFonts w:ascii="Arial" w:hAnsi="Arial" w:eastAsia="宋体" w:cs="Arial"/>
          <w:szCs w:val="21"/>
        </w:rPr>
        <w:t>前文所推荐的非临床动物实验能够帮助确定器械的安全性，因此必须按照21 CFR 58部分的药品非临床研究质量管理规范（GLP）进行操作。</w:t>
      </w:r>
    </w:p>
    <w:p w14:paraId="4A238E93">
      <w:pPr>
        <w:snapToGrid w:val="0"/>
        <w:spacing w:before="156" w:beforeLines="50" w:after="156" w:afterLines="50" w:line="360" w:lineRule="auto"/>
        <w:rPr>
          <w:rFonts w:ascii="Arial" w:hAnsi="Arial" w:eastAsia="宋体" w:cs="Arial"/>
          <w:szCs w:val="21"/>
        </w:rPr>
      </w:pPr>
    </w:p>
    <w:p w14:paraId="760109C8">
      <w:pPr>
        <w:pStyle w:val="12"/>
        <w:numPr>
          <w:ilvl w:val="0"/>
          <w:numId w:val="1"/>
        </w:numPr>
        <w:snapToGrid w:val="0"/>
        <w:spacing w:before="156" w:beforeLines="50" w:after="156" w:afterLines="50" w:line="360" w:lineRule="auto"/>
        <w:ind w:firstLineChars="0"/>
        <w:rPr>
          <w:rFonts w:ascii="Arial" w:hAnsi="Arial" w:eastAsia="宋体" w:cs="Arial"/>
          <w:b/>
          <w:sz w:val="28"/>
          <w:szCs w:val="28"/>
        </w:rPr>
        <w:sectPr>
          <w:pgSz w:w="11906" w:h="16838"/>
          <w:pgMar w:top="1134" w:right="1134" w:bottom="1134" w:left="1134" w:header="720" w:footer="720" w:gutter="0"/>
          <w:cols w:space="720" w:num="1"/>
          <w:docGrid w:type="lines" w:linePitch="312" w:charSpace="0"/>
        </w:sectPr>
      </w:pPr>
    </w:p>
    <w:p w14:paraId="5FE37AA7">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30" w:name="_Toc478549325"/>
      <w:r>
        <w:rPr>
          <w:rFonts w:ascii="Arial" w:hAnsi="Arial" w:eastAsia="宋体" w:cs="Arial"/>
          <w:b/>
          <w:sz w:val="28"/>
          <w:szCs w:val="28"/>
        </w:rPr>
        <w:t>临床测试</w:t>
      </w:r>
      <w:bookmarkEnd w:id="30"/>
    </w:p>
    <w:p w14:paraId="6D65A4D5">
      <w:pPr>
        <w:snapToGrid w:val="0"/>
        <w:spacing w:before="156" w:beforeLines="50" w:after="156" w:afterLines="50" w:line="360" w:lineRule="auto"/>
        <w:rPr>
          <w:rFonts w:ascii="Arial" w:hAnsi="Arial" w:eastAsia="宋体" w:cs="Arial"/>
          <w:szCs w:val="21"/>
        </w:rPr>
      </w:pPr>
      <w:r>
        <w:rPr>
          <w:rFonts w:ascii="Arial" w:hAnsi="Arial" w:eastAsia="宋体" w:cs="Arial"/>
          <w:szCs w:val="21"/>
        </w:rPr>
        <w:t>通常情况下，普通外科手术用的双极电外科血管闭合系统的510（k）申请并不需要临床数据支持。但如果器械使用适应症或器械的技术和/或运行机制与比较器械有显著的差异，并且非临床测试并不足以确定实质等同性，则可能需要临床测试以确定实质等同性。</w:t>
      </w:r>
    </w:p>
    <w:p w14:paraId="388290B6">
      <w:pPr>
        <w:snapToGrid w:val="0"/>
        <w:spacing w:before="156" w:beforeLines="50" w:after="156" w:afterLines="50" w:line="360" w:lineRule="auto"/>
        <w:rPr>
          <w:rFonts w:ascii="宋体" w:hAnsi="宋体" w:eastAsia="宋体" w:cs="Arial"/>
          <w:szCs w:val="21"/>
        </w:rPr>
      </w:pPr>
      <w:r>
        <w:rPr>
          <w:rFonts w:ascii="宋体" w:hAnsi="宋体" w:eastAsia="宋体" w:cs="Arial"/>
          <w:szCs w:val="21"/>
        </w:rPr>
        <w:t>如果您认为临床数据十分有必要，或者您不确定，我们强烈推荐您通过提交前程序与机构取得联系，以获取实验设计方面的早期反馈（参见FDA指南，</w:t>
      </w:r>
      <w:bookmarkStart w:id="31" w:name="OLE_LINK15"/>
      <w:bookmarkStart w:id="32" w:name="OLE_LINK16"/>
      <w:r>
        <w:rPr>
          <w:rFonts w:ascii="宋体" w:hAnsi="宋体" w:eastAsia="宋体" w:cs="Arial"/>
          <w:szCs w:val="21"/>
        </w:rPr>
        <w:t>医疗器械申请的反馈申请</w:t>
      </w:r>
      <w:bookmarkEnd w:id="31"/>
      <w:bookmarkEnd w:id="32"/>
      <w:r>
        <w:rPr>
          <w:rFonts w:ascii="宋体" w:hAnsi="宋体" w:eastAsia="宋体" w:cs="Arial"/>
          <w:szCs w:val="21"/>
        </w:rPr>
        <w:t>：</w:t>
      </w:r>
      <w:r>
        <w:rPr>
          <w:rFonts w:ascii="宋体" w:hAnsi="宋体" w:eastAsia="宋体"/>
          <w:color w:val="0000FF"/>
          <w:szCs w:val="21"/>
          <w:u w:val="single"/>
        </w:rPr>
        <w:t>提交前项目以及与食品与药品监督管理局工作人员进行会见</w:t>
      </w:r>
      <w:r>
        <w:rPr>
          <w:rFonts w:ascii="宋体" w:hAnsi="宋体" w:eastAsia="宋体" w:cs="Arial"/>
          <w:szCs w:val="21"/>
        </w:rPr>
        <w:t>）。</w:t>
      </w:r>
    </w:p>
    <w:p w14:paraId="57D19B45">
      <w:pPr>
        <w:snapToGrid w:val="0"/>
        <w:spacing w:before="156" w:beforeLines="50" w:after="156" w:afterLines="50" w:line="360" w:lineRule="auto"/>
        <w:rPr>
          <w:rFonts w:ascii="Arial" w:hAnsi="Arial" w:eastAsia="宋体" w:cs="Arial"/>
          <w:szCs w:val="21"/>
        </w:rPr>
      </w:pPr>
    </w:p>
    <w:p w14:paraId="219F418A">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33" w:name="_Toc478549326"/>
      <w:r>
        <w:rPr>
          <w:rFonts w:ascii="Arial" w:hAnsi="Arial" w:eastAsia="宋体" w:cs="Arial"/>
          <w:b/>
          <w:sz w:val="28"/>
          <w:szCs w:val="28"/>
        </w:rPr>
        <w:t>标签</w:t>
      </w:r>
      <w:bookmarkEnd w:id="33"/>
    </w:p>
    <w:p w14:paraId="321AEB8F">
      <w:pPr>
        <w:snapToGrid w:val="0"/>
        <w:spacing w:before="156" w:beforeLines="50" w:after="156" w:afterLines="50" w:line="360" w:lineRule="auto"/>
        <w:rPr>
          <w:rFonts w:ascii="Arial" w:hAnsi="Arial" w:eastAsia="宋体" w:cs="Arial"/>
          <w:szCs w:val="21"/>
        </w:rPr>
      </w:pPr>
      <w:r>
        <w:rPr>
          <w:rFonts w:ascii="Arial" w:hAnsi="Arial" w:eastAsia="宋体" w:cs="Arial"/>
          <w:szCs w:val="21"/>
        </w:rPr>
        <w:t>上市前通告必须包含符合</w:t>
      </w:r>
      <w:bookmarkStart w:id="34" w:name="OLE_LINK18"/>
      <w:bookmarkStart w:id="35" w:name="OLE_LINK17"/>
      <w:r>
        <w:rPr>
          <w:rFonts w:ascii="Arial" w:hAnsi="Arial" w:eastAsia="宋体" w:cs="Arial"/>
          <w:szCs w:val="21"/>
        </w:rPr>
        <w:t>21 CFR 807.87（e）</w:t>
      </w:r>
      <w:bookmarkEnd w:id="34"/>
      <w:bookmarkEnd w:id="35"/>
      <w:r>
        <w:rPr>
          <w:rFonts w:ascii="Arial" w:hAnsi="Arial" w:eastAsia="宋体" w:cs="Arial"/>
          <w:szCs w:val="21"/>
        </w:rPr>
        <w:t>要求的足够内容。按照21 CFR 807.87（e）的描述，清晰地标注特定的适应症说明和任何警告，禁忌症，或局限性，必须提供足以描述血管闭合器械，及其适应症、使用方法的拟定标签、标注、以及广告。在按照21 CFR 807.87（e）的要求准备标签时请参考后文列出的建议。这些建议旨在帮助您准备可接受的标签。</w:t>
      </w:r>
    </w:p>
    <w:p w14:paraId="6C298BAE">
      <w:pPr>
        <w:snapToGrid w:val="0"/>
        <w:spacing w:before="156" w:beforeLines="50" w:after="156" w:afterLines="50" w:line="360" w:lineRule="auto"/>
        <w:rPr>
          <w:rFonts w:ascii="Arial" w:hAnsi="Arial" w:eastAsia="宋体" w:cs="Arial"/>
          <w:szCs w:val="21"/>
        </w:rPr>
      </w:pPr>
      <w:r>
        <w:rPr>
          <w:rFonts w:ascii="Arial" w:hAnsi="Arial" w:eastAsia="宋体" w:cs="Arial"/>
          <w:szCs w:val="21"/>
        </w:rPr>
        <w:t xml:space="preserve">虽然510（k）的批准并不要求最终版的标签，但在医疗器械进入美国市场前，最终版的标签必须符合21 CFR第801部分的要求。另外，处方类医疗器械的最终标签还必须符合21 </w:t>
      </w:r>
      <w:bookmarkStart w:id="36" w:name="OLE_LINK20"/>
      <w:bookmarkStart w:id="37" w:name="OLE_LINK19"/>
      <w:r>
        <w:rPr>
          <w:rFonts w:ascii="Arial" w:hAnsi="Arial" w:eastAsia="宋体" w:cs="Arial"/>
          <w:szCs w:val="21"/>
        </w:rPr>
        <w:t>CFR 801.109</w:t>
      </w:r>
      <w:bookmarkEnd w:id="36"/>
      <w:bookmarkEnd w:id="37"/>
      <w:r>
        <w:rPr>
          <w:rFonts w:ascii="Arial" w:hAnsi="Arial" w:eastAsia="宋体" w:cs="Arial"/>
          <w:szCs w:val="21"/>
        </w:rPr>
        <w:t>.</w:t>
      </w:r>
    </w:p>
    <w:p w14:paraId="09D25340">
      <w:pPr>
        <w:snapToGrid w:val="0"/>
        <w:spacing w:before="156" w:beforeLines="50" w:after="156" w:afterLines="50" w:line="360" w:lineRule="auto"/>
        <w:rPr>
          <w:rFonts w:ascii="Arial" w:hAnsi="Arial" w:eastAsia="宋体" w:cs="Arial"/>
          <w:szCs w:val="21"/>
        </w:rPr>
      </w:pPr>
      <w:r>
        <w:rPr>
          <w:rFonts w:ascii="Arial" w:hAnsi="Arial" w:eastAsia="宋体" w:cs="Arial"/>
          <w:szCs w:val="21"/>
        </w:rPr>
        <w:t xml:space="preserve">作为处方类器械，根据CFR 801.109的要求，该器械不必针对外行使用者进行足够的指导。但标签必须包含医生使用该器械的足够的信息，包括适应症，效果，路径，方法，使用的频率和时长，以及任何相关的损害、禁忌症、副作用以及注意事项（21 </w:t>
      </w:r>
      <w:r>
        <w:rPr>
          <w:rFonts w:ascii="Arial" w:hAnsi="Arial" w:eastAsia="宋体" w:cs="Arial"/>
          <w:kern w:val="0"/>
          <w:szCs w:val="21"/>
        </w:rPr>
        <w:t>CFR 801.109（d）</w:t>
      </w:r>
      <w:r>
        <w:rPr>
          <w:rFonts w:ascii="Arial" w:hAnsi="Arial" w:eastAsia="宋体" w:cs="Arial"/>
          <w:szCs w:val="21"/>
        </w:rPr>
        <w:t>）。</w:t>
      </w:r>
    </w:p>
    <w:p w14:paraId="2FB67B95">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我们推荐所有的双极电外科血管封闭器械符合目前FDA认可的60601系列标准，包括AAMI/ANSI ES60601-1，IEC 60601-1-2，IEC 60601-2-2，以及（如适用）IEC 60601-2-18.我们也推荐您在标签中包含以下的信息。请注意有些标签内容已经在标准中有所包含，但我们重复标出以示强调。其他的推荐内容来在标准的基础上做出了更改。</w:t>
      </w:r>
    </w:p>
    <w:p w14:paraId="0814CA5A">
      <w:pPr>
        <w:snapToGrid w:val="0"/>
        <w:spacing w:before="156" w:beforeLines="50" w:after="156" w:afterLines="50" w:line="360" w:lineRule="auto"/>
        <w:rPr>
          <w:rFonts w:ascii="Arial" w:hAnsi="Arial" w:eastAsia="宋体" w:cs="Arial"/>
          <w:szCs w:val="21"/>
        </w:rPr>
      </w:pPr>
      <w:r>
        <w:rPr>
          <w:rFonts w:ascii="Arial" w:hAnsi="Arial" w:eastAsia="宋体" w:cs="Arial"/>
          <w:szCs w:val="21"/>
        </w:rPr>
        <w:t>血管闭合系统一般由几个不同的可交换的附件组成，这些附件共同运作，产生目标效果，、包括ESU、可再次使用的附件、一次性器械、脚踏开关等。下面的某些推荐可能仅适用于某个单独的附件或系统中的每个附件等。您应该根据适应症、每个附件以及这些附件的包装方式（共同包装还是独立包装）来决定合适的标签内容。</w:t>
      </w:r>
    </w:p>
    <w:p w14:paraId="2FEE2E4E">
      <w:pPr>
        <w:snapToGrid w:val="0"/>
        <w:spacing w:before="156" w:beforeLines="50" w:after="156" w:afterLines="50" w:line="360" w:lineRule="auto"/>
        <w:rPr>
          <w:rFonts w:ascii="Arial" w:hAnsi="Arial" w:eastAsia="宋体" w:cs="Arial"/>
          <w:szCs w:val="21"/>
        </w:rPr>
        <w:sectPr>
          <w:pgSz w:w="11906" w:h="16838"/>
          <w:pgMar w:top="1134" w:right="1134" w:bottom="1134" w:left="1134" w:header="720" w:footer="720" w:gutter="0"/>
          <w:cols w:space="720" w:num="1"/>
          <w:docGrid w:type="lines" w:linePitch="312" w:charSpace="0"/>
        </w:sectPr>
      </w:pPr>
    </w:p>
    <w:p w14:paraId="36EAE8A5">
      <w:pPr>
        <w:snapToGrid w:val="0"/>
        <w:spacing w:before="156" w:beforeLines="50" w:after="156" w:afterLines="50" w:line="360" w:lineRule="auto"/>
        <w:rPr>
          <w:rFonts w:ascii="Arial" w:hAnsi="Arial" w:eastAsia="宋体" w:cs="Arial"/>
          <w:szCs w:val="21"/>
        </w:rPr>
      </w:pPr>
      <w:r>
        <w:rPr>
          <w:rFonts w:ascii="Arial" w:hAnsi="Arial" w:eastAsia="宋体" w:cs="Arial"/>
          <w:szCs w:val="21"/>
        </w:rPr>
        <w:t>下面列出的内容并不想穷尽801部分所列出的所有的标签要求。</w:t>
      </w:r>
    </w:p>
    <w:p w14:paraId="75757DBB">
      <w:pPr>
        <w:pStyle w:val="12"/>
        <w:numPr>
          <w:ilvl w:val="1"/>
          <w:numId w:val="14"/>
        </w:numPr>
        <w:snapToGrid w:val="0"/>
        <w:spacing w:before="156" w:beforeLines="50" w:after="156" w:afterLines="50" w:line="360" w:lineRule="auto"/>
        <w:ind w:left="839" w:hanging="459" w:firstLineChars="0"/>
        <w:outlineLvl w:val="1"/>
        <w:rPr>
          <w:rFonts w:ascii="Arial" w:hAnsi="Arial" w:eastAsia="宋体" w:cs="Arial"/>
          <w:sz w:val="24"/>
          <w:szCs w:val="24"/>
        </w:rPr>
      </w:pPr>
      <w:bookmarkStart w:id="38" w:name="_Toc478549327"/>
      <w:r>
        <w:rPr>
          <w:rFonts w:ascii="Arial" w:hAnsi="Arial" w:eastAsia="宋体" w:cs="Arial"/>
          <w:b/>
          <w:sz w:val="24"/>
          <w:szCs w:val="24"/>
        </w:rPr>
        <w:t>使用说明（使用手册）</w:t>
      </w:r>
      <w:bookmarkEnd w:id="38"/>
    </w:p>
    <w:p w14:paraId="7B9369D6">
      <w:pPr>
        <w:pStyle w:val="12"/>
        <w:numPr>
          <w:ilvl w:val="0"/>
          <w:numId w:val="15"/>
        </w:numPr>
        <w:snapToGrid w:val="0"/>
        <w:spacing w:before="156" w:beforeLines="50" w:after="156" w:afterLines="50" w:line="360" w:lineRule="auto"/>
        <w:ind w:left="1217" w:leftChars="420" w:hanging="335" w:hangingChars="159"/>
        <w:rPr>
          <w:rFonts w:ascii="Arial" w:hAnsi="Arial" w:eastAsia="宋体" w:cs="Arial"/>
          <w:b/>
          <w:szCs w:val="21"/>
        </w:rPr>
      </w:pPr>
      <w:r>
        <w:rPr>
          <w:rFonts w:ascii="Arial" w:hAnsi="Arial" w:eastAsia="宋体" w:cs="Arial"/>
          <w:b/>
          <w:szCs w:val="21"/>
        </w:rPr>
        <w:t>使用适应症</w:t>
      </w:r>
    </w:p>
    <w:p w14:paraId="3D98D7C4">
      <w:pPr>
        <w:snapToGrid w:val="0"/>
        <w:spacing w:before="156" w:beforeLines="50" w:after="156" w:afterLines="50" w:line="360" w:lineRule="auto"/>
        <w:ind w:left="1216" w:leftChars="579" w:firstLine="2"/>
        <w:rPr>
          <w:rFonts w:ascii="Arial" w:hAnsi="Arial" w:eastAsia="宋体" w:cs="Arial"/>
          <w:szCs w:val="21"/>
        </w:rPr>
      </w:pPr>
      <w:r>
        <w:rPr>
          <w:rFonts w:ascii="Arial" w:hAnsi="Arial" w:eastAsia="宋体" w:cs="Arial"/>
          <w:szCs w:val="21"/>
        </w:rPr>
        <w:t>标签应明确标明正如在您使用适应症说明中指定的器械使用适应症。该信息应当位于使用适应症开始的显要位置。如果器械由适应症不同的多个附件组成，则请在标签部分予以注明。</w:t>
      </w:r>
    </w:p>
    <w:p w14:paraId="0A98CB65">
      <w:pPr>
        <w:pStyle w:val="12"/>
        <w:numPr>
          <w:ilvl w:val="0"/>
          <w:numId w:val="15"/>
        </w:numPr>
        <w:snapToGrid w:val="0"/>
        <w:spacing w:before="156" w:beforeLines="50" w:after="156" w:afterLines="50" w:line="360" w:lineRule="auto"/>
        <w:ind w:left="1217" w:leftChars="420" w:hanging="335" w:hangingChars="159"/>
        <w:rPr>
          <w:rFonts w:ascii="Arial" w:hAnsi="Arial" w:eastAsia="宋体" w:cs="Arial"/>
          <w:b/>
          <w:szCs w:val="21"/>
        </w:rPr>
      </w:pPr>
      <w:r>
        <w:rPr>
          <w:rFonts w:ascii="Arial" w:hAnsi="Arial" w:eastAsia="宋体" w:cs="Arial"/>
          <w:b/>
          <w:szCs w:val="21"/>
        </w:rPr>
        <w:t>禁忌症</w:t>
      </w:r>
    </w:p>
    <w:p w14:paraId="0596368F">
      <w:pPr>
        <w:snapToGrid w:val="0"/>
        <w:spacing w:before="156" w:beforeLines="50" w:after="156" w:afterLines="50" w:line="360" w:lineRule="auto"/>
        <w:ind w:left="1216" w:leftChars="579" w:firstLine="14" w:firstLineChars="7"/>
        <w:rPr>
          <w:rFonts w:ascii="Arial" w:hAnsi="Arial" w:eastAsia="宋体" w:cs="Arial"/>
          <w:szCs w:val="21"/>
        </w:rPr>
      </w:pPr>
      <w:r>
        <w:rPr>
          <w:rFonts w:ascii="Arial" w:hAnsi="Arial" w:eastAsia="宋体" w:cs="Arial"/>
          <w:szCs w:val="21"/>
        </w:rPr>
        <w:t>我们建议双极血管闭合器械包含以下的禁忌症：该器械在绝育手术的输卵管结扎或输卵管凝固过程中的有效应未得到确认。不要在这些手术中使用该器械。</w:t>
      </w:r>
    </w:p>
    <w:p w14:paraId="7CD91109">
      <w:pPr>
        <w:pStyle w:val="12"/>
        <w:numPr>
          <w:ilvl w:val="0"/>
          <w:numId w:val="15"/>
        </w:numPr>
        <w:snapToGrid w:val="0"/>
        <w:spacing w:before="156" w:beforeLines="50" w:after="156" w:afterLines="50" w:line="360" w:lineRule="auto"/>
        <w:ind w:left="1217" w:leftChars="420" w:hanging="335" w:hangingChars="159"/>
        <w:rPr>
          <w:rFonts w:ascii="Arial" w:hAnsi="Arial" w:eastAsia="宋体" w:cs="Arial"/>
          <w:b/>
          <w:szCs w:val="21"/>
        </w:rPr>
      </w:pPr>
      <w:r>
        <w:rPr>
          <w:rFonts w:ascii="Arial" w:hAnsi="Arial" w:eastAsia="宋体" w:cs="Arial"/>
          <w:b/>
          <w:szCs w:val="21"/>
        </w:rPr>
        <w:t>警告</w:t>
      </w:r>
    </w:p>
    <w:p w14:paraId="55545118">
      <w:pPr>
        <w:snapToGrid w:val="0"/>
        <w:spacing w:before="156" w:beforeLines="50" w:after="156" w:afterLines="50" w:line="360" w:lineRule="auto"/>
        <w:ind w:left="1216" w:leftChars="579" w:firstLine="14" w:firstLineChars="7"/>
        <w:rPr>
          <w:rFonts w:ascii="Arial" w:hAnsi="Arial" w:eastAsia="宋体" w:cs="Arial"/>
          <w:szCs w:val="21"/>
        </w:rPr>
      </w:pPr>
      <w:r>
        <w:rPr>
          <w:rFonts w:ascii="Arial" w:hAnsi="Arial" w:eastAsia="宋体" w:cs="Arial"/>
          <w:szCs w:val="21"/>
        </w:rPr>
        <w:t>如果适用，我们建议在使用说明中包含如下信息。示例语言以斜体表示。如果您认为这些警告中的某些不适用于您的器械，请提供针对忽略项的说明。</w:t>
      </w:r>
    </w:p>
    <w:p w14:paraId="3A3C298F">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未向专业人士医生咨询（如心脏病专家），佩戴有电子植入物如心脏起搏器的患者禁止使用。由于会对电子植入物产生干扰，或可能损坏植入物，因而存在危害。</w:t>
      </w:r>
    </w:p>
    <w:p w14:paraId="4C52D2F4">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直径超过__mm的血管禁止使用该器械。</w:t>
      </w:r>
    </w:p>
    <w:p w14:paraId="332BBC51">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易燃性麻醉剂或氧化性气体（如二氧化氮和氧气）存在的情况下，或接近挥发性溶剂（如甲醇或乙醇）的情况下禁止使用，可能引发爆炸。</w:t>
      </w:r>
    </w:p>
    <w:p w14:paraId="3BD7F1B7">
      <w:pPr>
        <w:pStyle w:val="12"/>
        <w:numPr>
          <w:ilvl w:val="1"/>
          <w:numId w:val="15"/>
        </w:numPr>
        <w:snapToGrid w:val="0"/>
        <w:spacing w:before="156" w:beforeLines="50" w:after="156" w:afterLines="50" w:line="360" w:lineRule="auto"/>
        <w:ind w:left="1624" w:hanging="392" w:firstLineChars="0"/>
        <w:rPr>
          <w:rFonts w:ascii="Arial" w:hAnsi="Arial" w:eastAsia="宋体" w:cs="Arial"/>
          <w:spacing w:val="-4"/>
          <w:szCs w:val="21"/>
        </w:rPr>
      </w:pPr>
      <w:r>
        <w:rPr>
          <w:rFonts w:ascii="Arial" w:hAnsi="Arial" w:eastAsia="宋体" w:cs="Arial"/>
          <w:spacing w:val="-4"/>
          <w:szCs w:val="21"/>
        </w:rPr>
        <w:t>不要将器械靠近在或解除易燃物品（如纱布或手术单）。器械运行或使用过热可能引发火灾。</w:t>
      </w:r>
    </w:p>
    <w:p w14:paraId="23C70FFF">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在不使用的情况下，请将器械放置在干净、干燥、明显可以观察到且不与患者接触的位置。出现疏忽与患者接触可能会引起灼伤。</w:t>
      </w:r>
    </w:p>
    <w:p w14:paraId="7D810F21">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不要将血管和/或组织放置于机械爪轴部。将血管和/或组织放置于机械爪中心。</w:t>
      </w:r>
    </w:p>
    <w:p w14:paraId="4B6466A2">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在进行切割前，检查血管或组织，确保正确闭合。（如果器械使用同时封闭切割的技术，则可以忽略此警告。）</w:t>
      </w:r>
    </w:p>
    <w:p w14:paraId="2A385E7E">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不要使用带电器械进行闭合口的切开，如电外科笔或超声手术刀。</w:t>
      </w:r>
    </w:p>
    <w:p w14:paraId="399E64C8">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不要试图使用夹子或钉子或与接触金属物体（如取回器）进行闭合。与工作中的电极或任何金属器具接触可能会引手术位置起灼伤或闭合不全。</w:t>
      </w:r>
    </w:p>
    <w:p w14:paraId="6A86619F">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在每次使用前对可重复使用的器械进行检查，尤其是腹腔镜/内窥镜器械的绝缘隔热情况。可以在放大镜下肉眼完成或使用高功率的绝缘隔热检测器械。绝缘出现问题可能会导致患者或医生出现灼伤或其他损伤。</w:t>
      </w:r>
    </w:p>
    <w:p w14:paraId="45C3E822">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在启动器械前从手术位置吸引液体。导电液体（如血液或盐水）与运行中的电极直接接触或靠近会导致电流或热量从目标组织处流失，可能会导致患者出现未预见的灼伤。</w:t>
      </w:r>
    </w:p>
    <w:p w14:paraId="7BC67ADB">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在射频电流关闭后，活动电极表面温度可能仍然很高，可能会引起灼伤。</w:t>
      </w:r>
    </w:p>
    <w:p w14:paraId="2154D38A">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由于电外科手术的副产物（如组织产生的烟和气溶胶）具有潜在的致癌或感染性，一次在开放和腹腔镜手术中均应使用保护性的眼罩、过滤性面具以及有效的排风器械。</w:t>
      </w:r>
    </w:p>
    <w:p w14:paraId="100B1D8F">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在电源关闭后再进行电外科单元适配器和附件的连接。否则肯恩滚起患者或操作人员受伤或电击。</w:t>
      </w:r>
    </w:p>
    <w:p w14:paraId="3081ED77">
      <w:pPr>
        <w:pStyle w:val="12"/>
        <w:numPr>
          <w:ilvl w:val="0"/>
          <w:numId w:val="15"/>
        </w:numPr>
        <w:snapToGrid w:val="0"/>
        <w:spacing w:before="156" w:beforeLines="50" w:after="156" w:afterLines="50" w:line="360" w:lineRule="auto"/>
        <w:ind w:left="1232" w:leftChars="440" w:hanging="308" w:hangingChars="146"/>
        <w:rPr>
          <w:rFonts w:ascii="Arial" w:hAnsi="Arial" w:eastAsia="宋体" w:cs="Arial"/>
          <w:b/>
          <w:szCs w:val="21"/>
        </w:rPr>
        <w:sectPr>
          <w:pgSz w:w="11906" w:h="16838"/>
          <w:pgMar w:top="1134" w:right="1134" w:bottom="1134" w:left="1134" w:header="720" w:footer="720" w:gutter="0"/>
          <w:cols w:space="720" w:num="1"/>
          <w:docGrid w:type="lines" w:linePitch="312" w:charSpace="0"/>
        </w:sectPr>
      </w:pPr>
    </w:p>
    <w:p w14:paraId="5E65875F">
      <w:pPr>
        <w:pStyle w:val="12"/>
        <w:numPr>
          <w:ilvl w:val="0"/>
          <w:numId w:val="15"/>
        </w:numPr>
        <w:snapToGrid w:val="0"/>
        <w:spacing w:before="156" w:beforeLines="50" w:after="156" w:afterLines="50" w:line="360" w:lineRule="auto"/>
        <w:ind w:left="1232" w:leftChars="440" w:hanging="308" w:hangingChars="146"/>
        <w:rPr>
          <w:rFonts w:ascii="Arial" w:hAnsi="Arial" w:eastAsia="宋体" w:cs="Arial"/>
          <w:b/>
          <w:szCs w:val="21"/>
        </w:rPr>
      </w:pPr>
      <w:r>
        <w:rPr>
          <w:rFonts w:ascii="Arial" w:hAnsi="Arial" w:eastAsia="宋体" w:cs="Arial"/>
          <w:b/>
          <w:szCs w:val="21"/>
        </w:rPr>
        <w:t>注意事项</w:t>
      </w:r>
    </w:p>
    <w:p w14:paraId="2C0D348D">
      <w:pPr>
        <w:snapToGrid w:val="0"/>
        <w:spacing w:before="156" w:beforeLines="50" w:after="156" w:afterLines="50" w:line="360" w:lineRule="auto"/>
        <w:ind w:left="1231" w:leftChars="586" w:firstLine="1"/>
        <w:rPr>
          <w:rFonts w:ascii="Arial" w:hAnsi="Arial" w:eastAsia="宋体" w:cs="Arial"/>
          <w:szCs w:val="21"/>
        </w:rPr>
      </w:pPr>
      <w:r>
        <w:rPr>
          <w:rFonts w:ascii="Arial" w:hAnsi="Arial" w:eastAsia="宋体" w:cs="Arial"/>
          <w:szCs w:val="21"/>
        </w:rPr>
        <w:t>如果适用，我们建议在使用说明中包含如下信息。示例语言以斜体表示。如果您认为这些警告中的某些不适用于您的器械，请提供针对忽略项的说明。</w:t>
      </w:r>
    </w:p>
    <w:p w14:paraId="19BF320A">
      <w:pPr>
        <w:pStyle w:val="12"/>
        <w:numPr>
          <w:ilvl w:val="1"/>
          <w:numId w:val="15"/>
        </w:numPr>
        <w:snapToGrid w:val="0"/>
        <w:spacing w:before="156" w:beforeLines="50" w:after="156" w:afterLines="50" w:line="360" w:lineRule="auto"/>
        <w:ind w:left="1638" w:leftChars="580" w:hanging="420" w:hangingChars="200"/>
        <w:rPr>
          <w:rFonts w:ascii="Arial" w:hAnsi="Arial" w:eastAsia="宋体" w:cs="Arial"/>
          <w:szCs w:val="21"/>
        </w:rPr>
      </w:pPr>
      <w:r>
        <w:rPr>
          <w:rFonts w:ascii="Arial" w:hAnsi="Arial" w:eastAsia="宋体" w:cs="Arial"/>
          <w:szCs w:val="21"/>
        </w:rPr>
        <w:t>强度应当设置为能够达到预定效果的最低强度。</w:t>
      </w:r>
    </w:p>
    <w:p w14:paraId="481B1372">
      <w:pPr>
        <w:pStyle w:val="12"/>
        <w:numPr>
          <w:ilvl w:val="1"/>
          <w:numId w:val="15"/>
        </w:numPr>
        <w:snapToGrid w:val="0"/>
        <w:spacing w:before="156" w:beforeLines="50" w:after="156" w:afterLines="50" w:line="360" w:lineRule="auto"/>
        <w:ind w:left="1638" w:leftChars="580" w:hanging="420" w:hangingChars="200"/>
        <w:rPr>
          <w:rFonts w:ascii="Arial" w:hAnsi="Arial" w:eastAsia="宋体" w:cs="Arial"/>
          <w:szCs w:val="21"/>
        </w:rPr>
      </w:pPr>
      <w:r>
        <w:rPr>
          <w:rFonts w:ascii="Arial" w:hAnsi="Arial" w:eastAsia="宋体" w:cs="Arial"/>
          <w:szCs w:val="21"/>
        </w:rPr>
        <w:t>不要再机械爪中填满组织，否则将降低器械性能。</w:t>
      </w:r>
    </w:p>
    <w:p w14:paraId="563E9815">
      <w:pPr>
        <w:pStyle w:val="12"/>
        <w:numPr>
          <w:ilvl w:val="1"/>
          <w:numId w:val="15"/>
        </w:numPr>
        <w:snapToGrid w:val="0"/>
        <w:spacing w:before="156" w:beforeLines="50" w:after="156" w:afterLines="50" w:line="360" w:lineRule="auto"/>
        <w:ind w:left="1638" w:leftChars="580" w:hanging="420" w:hangingChars="200"/>
        <w:rPr>
          <w:rFonts w:ascii="Arial" w:hAnsi="Arial" w:eastAsia="宋体" w:cs="Arial"/>
          <w:szCs w:val="21"/>
        </w:rPr>
      </w:pPr>
      <w:r>
        <w:rPr>
          <w:rFonts w:ascii="Arial" w:hAnsi="Arial" w:eastAsia="宋体" w:cs="Arial"/>
          <w:szCs w:val="21"/>
        </w:rPr>
        <w:t>保持活动电极清洁。焦痂累计会降低器械的有效性。不要在清洁过程中启动器械。这可能会损伤手术室工作人员。</w:t>
      </w:r>
    </w:p>
    <w:p w14:paraId="06041DFB">
      <w:pPr>
        <w:pStyle w:val="12"/>
        <w:numPr>
          <w:ilvl w:val="1"/>
          <w:numId w:val="15"/>
        </w:numPr>
        <w:snapToGrid w:val="0"/>
        <w:spacing w:before="156" w:beforeLines="50" w:after="156" w:afterLines="50" w:line="360" w:lineRule="auto"/>
        <w:ind w:left="1638" w:leftChars="580" w:hanging="420" w:hangingChars="200"/>
        <w:rPr>
          <w:rFonts w:ascii="Arial" w:hAnsi="Arial" w:eastAsia="宋体" w:cs="Arial"/>
          <w:szCs w:val="21"/>
        </w:rPr>
      </w:pPr>
      <w:r>
        <w:rPr>
          <w:rFonts w:ascii="Arial" w:hAnsi="Arial" w:eastAsia="宋体" w:cs="Arial"/>
          <w:szCs w:val="21"/>
        </w:rPr>
        <w:t>对于具有特定的血管疾病的患者（动脉粥样硬化，动脉瘤），在手术过程中要十分注意。尽可能在未病变血管进行闭合操作。</w:t>
      </w:r>
    </w:p>
    <w:p w14:paraId="1DA53633">
      <w:pPr>
        <w:pStyle w:val="12"/>
        <w:numPr>
          <w:ilvl w:val="0"/>
          <w:numId w:val="15"/>
        </w:numPr>
        <w:snapToGrid w:val="0"/>
        <w:spacing w:before="156" w:beforeLines="50" w:after="156" w:afterLines="50" w:line="360" w:lineRule="auto"/>
        <w:ind w:left="1232" w:leftChars="440" w:hanging="308" w:hangingChars="146"/>
        <w:rPr>
          <w:rFonts w:ascii="Arial" w:hAnsi="Arial" w:eastAsia="宋体" w:cs="Arial"/>
          <w:b/>
          <w:szCs w:val="21"/>
        </w:rPr>
      </w:pPr>
      <w:r>
        <w:rPr>
          <w:rFonts w:ascii="Arial" w:hAnsi="Arial" w:eastAsia="宋体" w:cs="Arial"/>
          <w:b/>
          <w:szCs w:val="21"/>
        </w:rPr>
        <w:t>动物实验总结</w:t>
      </w:r>
    </w:p>
    <w:p w14:paraId="390F39A2">
      <w:pPr>
        <w:snapToGrid w:val="0"/>
        <w:spacing w:before="156" w:beforeLines="50" w:after="156" w:afterLines="50" w:line="360" w:lineRule="auto"/>
        <w:ind w:left="1230" w:leftChars="440" w:hanging="306" w:hangingChars="146"/>
        <w:rPr>
          <w:rFonts w:ascii="Arial" w:hAnsi="Arial" w:eastAsia="宋体" w:cs="Arial"/>
          <w:szCs w:val="21"/>
        </w:rPr>
      </w:pPr>
      <w:r>
        <w:rPr>
          <w:rFonts w:ascii="Arial" w:hAnsi="Arial" w:eastAsia="宋体" w:cs="Arial"/>
          <w:szCs w:val="21"/>
        </w:rPr>
        <w:t>您应该提供动物实验的总结，以证明您的器械在该动物模型中实现了测试的尺寸的动脉和静脉的闭合。您还需要提供一份声明，指出该效应并非基于临床研究得出，动物模型无法预测存在动脉粥样硬化斑块的血管闭合过程中器械的功能情况。</w:t>
      </w:r>
    </w:p>
    <w:p w14:paraId="73E1E83C">
      <w:pPr>
        <w:pStyle w:val="12"/>
        <w:numPr>
          <w:ilvl w:val="0"/>
          <w:numId w:val="15"/>
        </w:numPr>
        <w:snapToGrid w:val="0"/>
        <w:spacing w:before="156" w:beforeLines="50" w:after="156" w:afterLines="50" w:line="360" w:lineRule="auto"/>
        <w:ind w:left="1232" w:leftChars="440" w:hanging="308" w:hangingChars="146"/>
        <w:rPr>
          <w:rFonts w:ascii="Arial" w:hAnsi="Arial" w:eastAsia="宋体" w:cs="Arial"/>
          <w:b/>
          <w:szCs w:val="21"/>
        </w:rPr>
      </w:pPr>
      <w:r>
        <w:rPr>
          <w:rFonts w:ascii="Arial" w:hAnsi="Arial" w:eastAsia="宋体" w:cs="Arial"/>
          <w:b/>
          <w:szCs w:val="21"/>
        </w:rPr>
        <w:t>操作信息</w:t>
      </w:r>
    </w:p>
    <w:p w14:paraId="7133A867">
      <w:pPr>
        <w:snapToGrid w:val="0"/>
        <w:spacing w:before="156" w:beforeLines="50" w:after="156" w:afterLines="50" w:line="360" w:lineRule="auto"/>
        <w:ind w:left="1230" w:leftChars="440" w:hanging="306" w:hangingChars="146"/>
        <w:rPr>
          <w:rFonts w:ascii="Arial" w:hAnsi="Arial" w:eastAsia="宋体" w:cs="Arial"/>
          <w:szCs w:val="21"/>
        </w:rPr>
      </w:pPr>
      <w:r>
        <w:rPr>
          <w:rFonts w:ascii="Arial" w:hAnsi="Arial" w:eastAsia="宋体" w:cs="Arial"/>
          <w:szCs w:val="21"/>
        </w:rPr>
        <w:t>操作说明应当包含详细的信息，使得使用者能够安全地建立并使用该器械，并达到预期的使用目的。另外，我们建议您在说明书中包含附件的合理选择和使用的信息，避免不兼容以及不安全的操作。对于任何需要更换的附件（如一次性电极），您应当在标签中提供更换的指导（如模型编码和接触信息）。</w:t>
      </w:r>
    </w:p>
    <w:p w14:paraId="4644D9D9">
      <w:pPr>
        <w:pStyle w:val="12"/>
        <w:numPr>
          <w:ilvl w:val="0"/>
          <w:numId w:val="14"/>
        </w:numPr>
        <w:snapToGrid w:val="0"/>
        <w:spacing w:before="156" w:beforeLines="50" w:after="156" w:afterLines="50" w:line="360" w:lineRule="auto"/>
        <w:ind w:firstLineChars="0"/>
        <w:outlineLvl w:val="1"/>
        <w:rPr>
          <w:rFonts w:ascii="Arial" w:hAnsi="Arial" w:eastAsia="宋体" w:cs="Arial"/>
          <w:b/>
          <w:sz w:val="24"/>
          <w:szCs w:val="24"/>
        </w:rPr>
      </w:pPr>
      <w:bookmarkStart w:id="39" w:name="_Toc478549328"/>
      <w:r>
        <w:rPr>
          <w:rFonts w:ascii="Arial" w:hAnsi="Arial" w:eastAsia="宋体" w:cs="Arial"/>
          <w:b/>
          <w:sz w:val="24"/>
          <w:szCs w:val="24"/>
        </w:rPr>
        <w:t>器械标签</w:t>
      </w:r>
      <w:bookmarkEnd w:id="39"/>
    </w:p>
    <w:p w14:paraId="4100FA99">
      <w:pPr>
        <w:snapToGrid w:val="0"/>
        <w:spacing w:before="156" w:beforeLines="50" w:after="156" w:afterLines="50" w:line="360" w:lineRule="auto"/>
        <w:rPr>
          <w:rFonts w:ascii="Arial" w:hAnsi="Arial" w:eastAsia="宋体" w:cs="Arial"/>
          <w:szCs w:val="21"/>
        </w:rPr>
      </w:pPr>
      <w:r>
        <w:rPr>
          <w:rFonts w:ascii="Arial" w:hAnsi="Arial" w:eastAsia="宋体" w:cs="Arial"/>
          <w:szCs w:val="21"/>
        </w:rPr>
        <w:t>在您的申请中，我们建议您提供一份示意图，标明器械的各个部件的标签情况，说明所有的控制器、开关和接口（包括手动开关的活动电极以及脚踏开关）均清晰、准确、永久性的表明了其功能及其他重要信息（如BF型应用部分）。在申请和标签中，您应该描述控制器和接口的颜色（如蓝色“凝结”按钮），这样每个部分的功能都是清晰的。</w:t>
      </w:r>
    </w:p>
    <w:p w14:paraId="3DAC317B">
      <w:pPr>
        <w:pStyle w:val="12"/>
        <w:numPr>
          <w:ilvl w:val="0"/>
          <w:numId w:val="14"/>
        </w:numPr>
        <w:snapToGrid w:val="0"/>
        <w:spacing w:before="156" w:beforeLines="50" w:after="156" w:afterLines="50" w:line="360" w:lineRule="auto"/>
        <w:ind w:firstLineChars="0"/>
        <w:outlineLvl w:val="1"/>
        <w:rPr>
          <w:rFonts w:ascii="Arial" w:hAnsi="Arial" w:eastAsia="宋体" w:cs="Arial"/>
          <w:b/>
          <w:sz w:val="24"/>
          <w:szCs w:val="24"/>
        </w:rPr>
      </w:pPr>
      <w:bookmarkStart w:id="40" w:name="_Toc478549329"/>
      <w:r>
        <w:rPr>
          <w:rFonts w:hint="eastAsia" w:ascii="Arial" w:hAnsi="Arial" w:eastAsia="宋体" w:cs="Arial"/>
          <w:b/>
          <w:sz w:val="24"/>
          <w:szCs w:val="24"/>
        </w:rPr>
        <w:t>包装标签</w:t>
      </w:r>
      <w:bookmarkEnd w:id="40"/>
    </w:p>
    <w:p w14:paraId="1297591B">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我们建议您提供包装标签草案，包括制造商、模型编码、以及关于器械再次使用、灭菌、使用期限等的重要信息。</w:t>
      </w:r>
    </w:p>
    <w:p w14:paraId="0F2A9A57">
      <w:pPr>
        <w:pStyle w:val="12"/>
        <w:numPr>
          <w:ilvl w:val="0"/>
          <w:numId w:val="14"/>
        </w:numPr>
        <w:snapToGrid w:val="0"/>
        <w:spacing w:before="156" w:beforeLines="50" w:after="156" w:afterLines="50" w:line="360" w:lineRule="auto"/>
        <w:ind w:firstLineChars="0"/>
        <w:rPr>
          <w:rFonts w:ascii="Arial" w:hAnsi="Arial" w:eastAsia="宋体" w:cs="Arial"/>
          <w:b/>
          <w:sz w:val="24"/>
          <w:szCs w:val="24"/>
        </w:rPr>
        <w:sectPr>
          <w:pgSz w:w="11906" w:h="16838"/>
          <w:pgMar w:top="1134" w:right="1134" w:bottom="1134" w:left="1134" w:header="720" w:footer="720" w:gutter="0"/>
          <w:cols w:space="720" w:num="1"/>
          <w:docGrid w:type="lines" w:linePitch="312" w:charSpace="0"/>
        </w:sectPr>
      </w:pPr>
    </w:p>
    <w:p w14:paraId="618EBB3F">
      <w:pPr>
        <w:pStyle w:val="12"/>
        <w:numPr>
          <w:ilvl w:val="0"/>
          <w:numId w:val="14"/>
        </w:numPr>
        <w:snapToGrid w:val="0"/>
        <w:spacing w:before="156" w:beforeLines="50" w:after="156" w:afterLines="50" w:line="360" w:lineRule="auto"/>
        <w:ind w:firstLineChars="0"/>
        <w:outlineLvl w:val="1"/>
        <w:rPr>
          <w:rFonts w:ascii="Arial" w:hAnsi="Arial" w:eastAsia="宋体" w:cs="Arial"/>
          <w:b/>
          <w:sz w:val="24"/>
          <w:szCs w:val="24"/>
        </w:rPr>
      </w:pPr>
      <w:bookmarkStart w:id="41" w:name="_Toc478549330"/>
      <w:r>
        <w:rPr>
          <w:rFonts w:ascii="Arial" w:hAnsi="Arial" w:eastAsia="宋体" w:cs="Arial"/>
          <w:b/>
          <w:sz w:val="24"/>
          <w:szCs w:val="24"/>
        </w:rPr>
        <w:t>特殊部件的标签</w:t>
      </w:r>
      <w:bookmarkEnd w:id="41"/>
    </w:p>
    <w:p w14:paraId="0A1309CD">
      <w:pPr>
        <w:pStyle w:val="12"/>
        <w:numPr>
          <w:ilvl w:val="0"/>
          <w:numId w:val="16"/>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ESU</w:t>
      </w:r>
    </w:p>
    <w:p w14:paraId="7EA63E1D">
      <w:pPr>
        <w:snapToGrid w:val="0"/>
        <w:spacing w:before="156" w:beforeLines="50" w:after="156" w:afterLines="50" w:line="360" w:lineRule="auto"/>
        <w:rPr>
          <w:rFonts w:ascii="Arial" w:hAnsi="Arial" w:eastAsia="宋体" w:cs="Arial"/>
          <w:szCs w:val="21"/>
        </w:rPr>
      </w:pPr>
      <w:r>
        <w:rPr>
          <w:rFonts w:ascii="Arial" w:hAnsi="Arial" w:eastAsia="宋体" w:cs="Arial"/>
          <w:szCs w:val="21"/>
        </w:rPr>
        <w:t>您的使用说明应当包含您器械的输出规格信息，以便用户可以清楚地了解传输的电源信息。我们推荐您在器械的每种输出模式中包含以下信息：</w:t>
      </w:r>
    </w:p>
    <w:p w14:paraId="41C1EE4C">
      <w:pPr>
        <w:pStyle w:val="12"/>
        <w:numPr>
          <w:ilvl w:val="0"/>
          <w:numId w:val="17"/>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标明实际输出功率的图表（在特定阻抗下）。如果有多重可供选择的强度设置的话，每种强度设置下均应提供这些图或表。</w:t>
      </w:r>
    </w:p>
    <w:p w14:paraId="48C7CCAE">
      <w:pPr>
        <w:pStyle w:val="12"/>
        <w:numPr>
          <w:ilvl w:val="0"/>
          <w:numId w:val="17"/>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期望载荷范围的最大和半强度下的功率输出示意图。</w:t>
      </w:r>
    </w:p>
    <w:p w14:paraId="68C5D74D">
      <w:pPr>
        <w:pStyle w:val="12"/>
        <w:numPr>
          <w:ilvl w:val="0"/>
          <w:numId w:val="17"/>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最大输出电压以及选择合适电压等级下附件的指导。</w:t>
      </w:r>
    </w:p>
    <w:p w14:paraId="008B5B61">
      <w:pPr>
        <w:pStyle w:val="12"/>
        <w:numPr>
          <w:ilvl w:val="0"/>
          <w:numId w:val="16"/>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活动部件与活动附件</w:t>
      </w:r>
    </w:p>
    <w:p w14:paraId="546E27A7">
      <w:pPr>
        <w:snapToGrid w:val="0"/>
        <w:spacing w:before="156" w:beforeLines="50" w:after="156" w:afterLines="50" w:line="360" w:lineRule="auto"/>
        <w:rPr>
          <w:rFonts w:ascii="Arial" w:hAnsi="Arial" w:eastAsia="宋体" w:cs="Arial"/>
          <w:szCs w:val="21"/>
        </w:rPr>
      </w:pPr>
      <w:bookmarkStart w:id="42" w:name="OLE_LINK23"/>
      <w:bookmarkStart w:id="43" w:name="OLE_LINK24"/>
      <w:r>
        <w:rPr>
          <w:rFonts w:ascii="Arial" w:hAnsi="Arial" w:eastAsia="宋体" w:cs="Arial"/>
          <w:szCs w:val="21"/>
        </w:rPr>
        <w:t>您的使用说明应当包含</w:t>
      </w:r>
      <w:bookmarkEnd w:id="42"/>
      <w:bookmarkEnd w:id="43"/>
      <w:r>
        <w:rPr>
          <w:rFonts w:ascii="Arial" w:hAnsi="Arial" w:eastAsia="宋体" w:cs="Arial"/>
          <w:szCs w:val="21"/>
        </w:rPr>
        <w:t>您的器械与其他电外科系统部件相容性的信息。我们推荐您包含以下信息：</w:t>
      </w:r>
    </w:p>
    <w:p w14:paraId="112316C8">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额定的附件电压。</w:t>
      </w:r>
    </w:p>
    <w:p w14:paraId="202CF82C">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相容的发电机模型，或使用者选择适当的发电机的详细指导和标准。</w:t>
      </w:r>
    </w:p>
    <w:p w14:paraId="5E85E953">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发电机输出设置的限制以及活动时长。</w:t>
      </w:r>
    </w:p>
    <w:p w14:paraId="6BE39449">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更多信息请使用者参考发电机说明书的声明。</w:t>
      </w:r>
    </w:p>
    <w:p w14:paraId="6BADDBBB">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如果器械可重复使用，则需要提供关于清洁、检查以及灭菌和如何记录使用次数的详细说明。您还应提供一个警告，说明单独进行肉眼观察不足以确保绝缘隔热材料完好。</w:t>
      </w:r>
    </w:p>
    <w:p w14:paraId="36F2DF19">
      <w:pPr>
        <w:pStyle w:val="12"/>
        <w:numPr>
          <w:ilvl w:val="0"/>
          <w:numId w:val="16"/>
        </w:numPr>
        <w:snapToGrid w:val="0"/>
        <w:spacing w:before="156" w:beforeLines="50" w:after="156" w:afterLines="50" w:line="360" w:lineRule="auto"/>
        <w:ind w:firstLineChars="0"/>
        <w:rPr>
          <w:rFonts w:ascii="Arial" w:hAnsi="Arial" w:eastAsia="宋体" w:cs="Arial"/>
          <w:b/>
          <w:szCs w:val="21"/>
        </w:rPr>
      </w:pPr>
      <w:r>
        <w:rPr>
          <w:rFonts w:hint="eastAsia" w:ascii="Arial" w:hAnsi="Arial" w:eastAsia="宋体" w:cs="Arial"/>
          <w:b/>
          <w:szCs w:val="21"/>
        </w:rPr>
        <w:t>部件</w:t>
      </w:r>
      <w:r>
        <w:rPr>
          <w:rFonts w:ascii="Arial" w:hAnsi="Arial" w:eastAsia="宋体" w:cs="Arial"/>
          <w:b/>
          <w:szCs w:val="21"/>
        </w:rPr>
        <w:t>与附件</w:t>
      </w:r>
    </w:p>
    <w:p w14:paraId="7E1E0DB6">
      <w:pPr>
        <w:snapToGrid w:val="0"/>
        <w:spacing w:before="156" w:beforeLines="50" w:after="156" w:afterLines="50" w:line="360" w:lineRule="auto"/>
        <w:rPr>
          <w:rFonts w:ascii="Arial" w:hAnsi="Arial" w:eastAsia="宋体" w:cs="Arial"/>
          <w:szCs w:val="21"/>
        </w:rPr>
      </w:pPr>
      <w:r>
        <w:rPr>
          <w:rFonts w:ascii="Arial" w:hAnsi="Arial" w:eastAsia="宋体" w:cs="Arial"/>
          <w:szCs w:val="21"/>
        </w:rPr>
        <w:t>您的使用适应症应当包含每个附件与血管闭合器械相容性的信息。对于某些附件，如吸引冲洗泵以及排烟器械，应当考虑提供单独的使用说明。</w:t>
      </w:r>
    </w:p>
    <w:p w14:paraId="71AF9C33">
      <w:pPr>
        <w:snapToGrid w:val="0"/>
        <w:spacing w:before="156" w:beforeLines="50" w:after="156" w:afterLines="50" w:line="360" w:lineRule="auto"/>
        <w:jc w:val="left"/>
        <w:rPr>
          <w:rFonts w:ascii="Arial" w:hAnsi="Arial" w:eastAsia="宋体" w:cs="Arial"/>
          <w:b/>
          <w:sz w:val="36"/>
          <w:szCs w:val="36"/>
        </w:rPr>
        <w:sectPr>
          <w:pgSz w:w="11906" w:h="16838"/>
          <w:pgMar w:top="1134" w:right="1134" w:bottom="1134" w:left="1134" w:header="720" w:footer="720" w:gutter="0"/>
          <w:cols w:space="720" w:num="1"/>
          <w:docGrid w:type="lines" w:linePitch="312" w:charSpace="0"/>
        </w:sectPr>
      </w:pPr>
    </w:p>
    <w:p w14:paraId="2341C4D1">
      <w:pPr>
        <w:snapToGrid w:val="0"/>
        <w:spacing w:before="156" w:beforeLines="50" w:after="156" w:afterLines="50" w:line="360" w:lineRule="auto"/>
        <w:jc w:val="left"/>
        <w:outlineLvl w:val="1"/>
        <w:rPr>
          <w:rFonts w:ascii="Arial" w:hAnsi="Arial" w:eastAsia="宋体" w:cs="Arial"/>
          <w:b/>
          <w:sz w:val="36"/>
          <w:szCs w:val="36"/>
        </w:rPr>
      </w:pPr>
      <w:bookmarkStart w:id="44" w:name="_Toc478549331"/>
      <w:r>
        <w:rPr>
          <w:rFonts w:ascii="Arial" w:hAnsi="Arial" w:eastAsia="宋体" w:cs="Arial"/>
          <w:b/>
          <w:sz w:val="36"/>
          <w:szCs w:val="36"/>
        </w:rPr>
        <w:t>附录A. 术语表</w:t>
      </w:r>
      <w:bookmarkEnd w:id="44"/>
    </w:p>
    <w:p w14:paraId="532AB194">
      <w:pPr>
        <w:snapToGrid w:val="0"/>
        <w:spacing w:before="156" w:beforeLines="50" w:after="156" w:afterLines="50" w:line="360" w:lineRule="auto"/>
        <w:rPr>
          <w:rFonts w:ascii="Arial" w:hAnsi="Arial" w:eastAsia="宋体" w:cs="Arial"/>
          <w:szCs w:val="21"/>
        </w:rPr>
      </w:pPr>
      <w:r>
        <w:rPr>
          <w:rFonts w:ascii="Arial" w:hAnsi="Arial" w:eastAsia="宋体" w:cs="Arial"/>
          <w:szCs w:val="21"/>
        </w:rPr>
        <w:t>下列术语的定义仅限于本指南范围内，不适用于更广的范围。</w:t>
      </w:r>
    </w:p>
    <w:p w14:paraId="5EA62603">
      <w:pPr>
        <w:snapToGrid w:val="0"/>
        <w:spacing w:before="156" w:beforeLines="50" w:after="156" w:afterLines="50" w:line="360" w:lineRule="auto"/>
        <w:rPr>
          <w:rFonts w:ascii="Arial" w:hAnsi="Arial" w:eastAsia="宋体" w:cs="Arial"/>
          <w:szCs w:val="21"/>
        </w:rPr>
      </w:pPr>
      <w:r>
        <w:rPr>
          <w:rFonts w:ascii="Arial" w:hAnsi="Arial" w:eastAsia="宋体" w:cs="Arial"/>
          <w:szCs w:val="21"/>
        </w:rPr>
        <w:t>活动附件——操作者使用电外科器械的部件，以在患者的手术位点产生手术效果。一般由活动手柄、线绳或线缆，以及活动电极组成（普通电外科单元可能为单电极或双电极）。</w:t>
      </w:r>
    </w:p>
    <w:p w14:paraId="73BD09CF">
      <w:pPr>
        <w:snapToGrid w:val="0"/>
        <w:spacing w:before="156" w:beforeLines="50" w:after="156" w:afterLines="50" w:line="360" w:lineRule="auto"/>
        <w:rPr>
          <w:rFonts w:ascii="Arial" w:hAnsi="Arial" w:eastAsia="宋体" w:cs="Arial"/>
          <w:szCs w:val="21"/>
        </w:rPr>
      </w:pPr>
      <w:r>
        <w:rPr>
          <w:rFonts w:ascii="Arial" w:hAnsi="Arial" w:eastAsia="宋体" w:cs="Arial"/>
          <w:szCs w:val="21"/>
        </w:rPr>
        <w:t>活动电极——电外科器械的导电头，将高强度电流传输到患者手术位点。可以或不可以从器械手柄拆卸。</w:t>
      </w:r>
    </w:p>
    <w:p w14:paraId="692F17EE">
      <w:pPr>
        <w:snapToGrid w:val="0"/>
        <w:spacing w:before="156" w:beforeLines="50" w:after="156" w:afterLines="50" w:line="360" w:lineRule="auto"/>
        <w:rPr>
          <w:rFonts w:ascii="Arial" w:hAnsi="Arial" w:eastAsia="宋体" w:cs="Arial"/>
          <w:szCs w:val="21"/>
        </w:rPr>
      </w:pPr>
      <w:r>
        <w:rPr>
          <w:rFonts w:ascii="Arial" w:hAnsi="Arial" w:eastAsia="宋体" w:cs="Arial"/>
          <w:szCs w:val="21"/>
        </w:rPr>
        <w:t>双电极——一种电外科器械，电流从两个位置非常接近的活动电极流过。</w:t>
      </w:r>
    </w:p>
    <w:p w14:paraId="4504DD27">
      <w:pPr>
        <w:snapToGrid w:val="0"/>
        <w:spacing w:before="156" w:beforeLines="50" w:after="156" w:afterLines="50" w:line="360" w:lineRule="auto"/>
        <w:rPr>
          <w:rFonts w:ascii="Arial" w:hAnsi="Arial" w:eastAsia="宋体" w:cs="Arial"/>
          <w:szCs w:val="21"/>
        </w:rPr>
      </w:pPr>
      <w:r>
        <w:rPr>
          <w:rFonts w:ascii="Arial" w:hAnsi="Arial" w:eastAsia="宋体" w:cs="Arial"/>
          <w:szCs w:val="21"/>
        </w:rPr>
        <w:t>凝结——液体，尤其是血液变成固体。这被认为不同于凝固性坏死。</w:t>
      </w:r>
    </w:p>
    <w:p w14:paraId="2E73FBD7">
      <w:pPr>
        <w:snapToGrid w:val="0"/>
        <w:spacing w:before="156" w:beforeLines="50" w:after="156" w:afterLines="50" w:line="360" w:lineRule="auto"/>
        <w:rPr>
          <w:rFonts w:ascii="Arial" w:hAnsi="Arial" w:eastAsia="宋体" w:cs="Arial"/>
          <w:szCs w:val="21"/>
        </w:rPr>
      </w:pPr>
      <w:r>
        <w:rPr>
          <w:rFonts w:ascii="Arial" w:hAnsi="Arial" w:eastAsia="宋体" w:cs="Arial"/>
          <w:szCs w:val="21"/>
        </w:rPr>
        <w:t>凝固性坏死——由于蛋白质凝结，坏死区域的细胞或组织变成干燥、不透明的均质嗜酸性物质。</w:t>
      </w:r>
    </w:p>
    <w:p w14:paraId="085039BA">
      <w:pPr>
        <w:snapToGrid w:val="0"/>
        <w:spacing w:before="156" w:beforeLines="50" w:after="156" w:afterLines="50" w:line="360" w:lineRule="auto"/>
        <w:rPr>
          <w:rFonts w:ascii="Arial" w:hAnsi="Arial" w:eastAsia="宋体" w:cs="Arial"/>
          <w:szCs w:val="21"/>
        </w:rPr>
      </w:pPr>
      <w:r>
        <w:rPr>
          <w:rFonts w:ascii="Arial" w:hAnsi="Arial" w:eastAsia="宋体" w:cs="Arial"/>
          <w:szCs w:val="21"/>
        </w:rPr>
        <w:t>连续性监测器——单极电外科系统的</w:t>
      </w:r>
      <w:r>
        <w:rPr>
          <w:rFonts w:hint="eastAsia" w:ascii="Arial" w:hAnsi="Arial" w:eastAsia="宋体" w:cs="Arial"/>
          <w:szCs w:val="21"/>
        </w:rPr>
        <w:t>部件</w:t>
      </w:r>
      <w:r>
        <w:rPr>
          <w:rFonts w:ascii="Arial" w:hAnsi="Arial" w:eastAsia="宋体" w:cs="Arial"/>
          <w:szCs w:val="21"/>
        </w:rPr>
        <w:t>，监控中性电极与发电机的连接。如果连接缺失，则连续性监测器会发出警告，但在高强度电流穿过中性电极时不会检测到。</w:t>
      </w:r>
    </w:p>
    <w:p w14:paraId="18FA9654">
      <w:pPr>
        <w:snapToGrid w:val="0"/>
        <w:spacing w:before="156" w:beforeLines="50" w:after="156" w:afterLines="50" w:line="360" w:lineRule="auto"/>
        <w:rPr>
          <w:rFonts w:ascii="Arial" w:hAnsi="Arial" w:eastAsia="宋体" w:cs="Arial"/>
          <w:szCs w:val="21"/>
        </w:rPr>
      </w:pPr>
      <w:r>
        <w:rPr>
          <w:rFonts w:ascii="Arial" w:hAnsi="Arial" w:eastAsia="宋体" w:cs="Arial"/>
          <w:szCs w:val="21"/>
        </w:rPr>
        <w:t>电凝止血——使用电流加热器械，然后施加于组织产生效应。电流仅穿过器械不穿过患者组织。</w:t>
      </w:r>
    </w:p>
    <w:p w14:paraId="403CED11">
      <w:pPr>
        <w:snapToGrid w:val="0"/>
        <w:spacing w:before="156" w:beforeLines="50" w:after="156" w:afterLines="50" w:line="360" w:lineRule="auto"/>
        <w:rPr>
          <w:rFonts w:ascii="Arial" w:hAnsi="Arial" w:eastAsia="宋体" w:cs="Arial"/>
          <w:szCs w:val="21"/>
        </w:rPr>
      </w:pPr>
      <w:r>
        <w:rPr>
          <w:rFonts w:ascii="Arial" w:hAnsi="Arial" w:eastAsia="宋体" w:cs="Arial"/>
          <w:szCs w:val="21"/>
        </w:rPr>
        <w:t>注：电凝止血常被错误地用来指代电外科器械。为了避免混淆，FDA建议不要将两者混用。</w:t>
      </w:r>
    </w:p>
    <w:p w14:paraId="6DAF17C1">
      <w:pPr>
        <w:snapToGrid w:val="0"/>
        <w:spacing w:before="156" w:beforeLines="50" w:after="156" w:afterLines="50" w:line="360" w:lineRule="auto"/>
        <w:rPr>
          <w:rFonts w:ascii="Arial" w:hAnsi="Arial" w:eastAsia="宋体" w:cs="Arial"/>
          <w:szCs w:val="21"/>
        </w:rPr>
      </w:pPr>
      <w:r>
        <w:rPr>
          <w:rFonts w:ascii="Arial" w:hAnsi="Arial" w:eastAsia="宋体" w:cs="Arial"/>
          <w:szCs w:val="21"/>
        </w:rPr>
        <w:t>电外科器械——将高频电流穿过软组织的器械，目的是切除组织或控制出血。</w:t>
      </w:r>
    </w:p>
    <w:p w14:paraId="08E9BAB5">
      <w:pPr>
        <w:snapToGrid w:val="0"/>
        <w:spacing w:before="156" w:beforeLines="50" w:after="156" w:afterLines="50" w:line="360" w:lineRule="auto"/>
        <w:rPr>
          <w:rFonts w:ascii="Arial" w:hAnsi="Arial" w:eastAsia="宋体" w:cs="Arial"/>
          <w:szCs w:val="21"/>
        </w:rPr>
      </w:pPr>
      <w:r>
        <w:rPr>
          <w:rFonts w:ascii="Arial" w:hAnsi="Arial" w:eastAsia="宋体" w:cs="Arial"/>
          <w:szCs w:val="21"/>
        </w:rPr>
        <w:t>ESU——电手术单元的简称。其指发电机和控制台。</w:t>
      </w:r>
    </w:p>
    <w:p w14:paraId="6F9ACDDA">
      <w:pPr>
        <w:snapToGrid w:val="0"/>
        <w:spacing w:before="156" w:beforeLines="50" w:after="156" w:afterLines="50" w:line="360" w:lineRule="auto"/>
        <w:rPr>
          <w:rFonts w:ascii="Arial" w:hAnsi="Arial" w:eastAsia="宋体" w:cs="Arial"/>
          <w:szCs w:val="21"/>
        </w:rPr>
      </w:pPr>
      <w:r>
        <w:rPr>
          <w:rFonts w:ascii="Arial" w:hAnsi="Arial" w:eastAsia="宋体" w:cs="Arial"/>
          <w:szCs w:val="21"/>
        </w:rPr>
        <w:t>发电机——电外科系统的部件，其产生高频电流波，通过相连的线缆、器械、电极输送至组织处。</w:t>
      </w:r>
    </w:p>
    <w:p w14:paraId="2FCCAB00">
      <w:pPr>
        <w:snapToGrid w:val="0"/>
        <w:spacing w:before="156" w:beforeLines="50" w:after="156" w:afterLines="50" w:line="360" w:lineRule="auto"/>
        <w:rPr>
          <w:rFonts w:ascii="Arial" w:hAnsi="Arial" w:eastAsia="宋体" w:cs="Arial"/>
          <w:szCs w:val="21"/>
        </w:rPr>
      </w:pPr>
      <w:r>
        <w:rPr>
          <w:rFonts w:ascii="Arial" w:hAnsi="Arial" w:eastAsia="宋体" w:cs="Arial"/>
          <w:szCs w:val="21"/>
        </w:rPr>
        <w:t>器械——电外科系统的部件，由操作者进行操作以及施加于手术位点，通常由手柄和活动电极组成。</w:t>
      </w:r>
    </w:p>
    <w:p w14:paraId="3A9DB192">
      <w:pPr>
        <w:snapToGrid w:val="0"/>
        <w:spacing w:before="156" w:beforeLines="50" w:after="156" w:afterLines="50" w:line="360" w:lineRule="auto"/>
        <w:rPr>
          <w:rFonts w:ascii="Arial" w:hAnsi="Arial" w:eastAsia="宋体" w:cs="Arial"/>
          <w:szCs w:val="21"/>
        </w:rPr>
      </w:pPr>
      <w:r>
        <w:rPr>
          <w:rFonts w:ascii="Arial" w:hAnsi="Arial" w:eastAsia="宋体" w:cs="Arial"/>
          <w:szCs w:val="21"/>
        </w:rPr>
        <w:t>射频（RF）——通常涉及的频率在100kHZ-5MHz之间，这旨在排除其它频率（如微波消融器械），这些频率也可能落在电磁频谱的射频范围内，但运行原理完全不同。</w:t>
      </w:r>
    </w:p>
    <w:p w14:paraId="151FA917">
      <w:pPr>
        <w:snapToGrid w:val="0"/>
        <w:spacing w:before="156" w:beforeLines="50" w:after="156" w:afterLines="50" w:line="360" w:lineRule="auto"/>
        <w:rPr>
          <w:rFonts w:ascii="Arial" w:hAnsi="Arial" w:eastAsia="宋体" w:cs="Arial"/>
          <w:szCs w:val="21"/>
        </w:rPr>
      </w:pPr>
      <w:r>
        <w:rPr>
          <w:rFonts w:ascii="Arial" w:hAnsi="Arial" w:eastAsia="宋体" w:cs="Arial"/>
          <w:szCs w:val="21"/>
        </w:rPr>
        <w:t>血管闭合器——一种电外科器械，用于将单独的血管和淋巴管进行封闭止血，是结扎的一种替代方式。使用双极。</w:t>
      </w:r>
    </w:p>
    <w:p w14:paraId="3B96A452">
      <w:pPr>
        <w:snapToGrid w:val="0"/>
        <w:spacing w:line="300" w:lineRule="auto"/>
        <w:jc w:val="center"/>
        <w:rPr>
          <w:rFonts w:hint="eastAsia" w:eastAsia="等线"/>
          <w:lang w:eastAsia="zh-CN"/>
        </w:rPr>
      </w:pPr>
    </w:p>
    <w:p w14:paraId="0585EF7F">
      <w:pPr>
        <w:snapToGrid w:val="0"/>
        <w:spacing w:line="300" w:lineRule="auto"/>
        <w:jc w:val="center"/>
        <w:rPr>
          <w:rFonts w:hint="eastAsia" w:eastAsia="等线"/>
          <w:lang w:eastAsia="zh-CN"/>
        </w:rPr>
      </w:pPr>
    </w:p>
    <w:p w14:paraId="45ED63FC">
      <w:pPr>
        <w:snapToGrid w:val="0"/>
        <w:spacing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DE33">
    <w:pPr>
      <w:pStyle w:val="4"/>
      <w:jc w:val="right"/>
    </w:pPr>
  </w:p>
  <w:p w14:paraId="247DA8F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931869"/>
      <w:docPartObj>
        <w:docPartGallery w:val="AutoText"/>
      </w:docPartObj>
    </w:sdtPr>
    <w:sdtContent>
      <w:p w14:paraId="428E4152">
        <w:pPr>
          <w:pStyle w:val="4"/>
          <w:jc w:val="right"/>
        </w:pPr>
      </w:p>
    </w:sdtContent>
  </w:sdt>
  <w:p w14:paraId="50F60B5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866097"/>
      <w:docPartObj>
        <w:docPartGallery w:val="AutoText"/>
      </w:docPartObj>
    </w:sdtPr>
    <w:sdtContent>
      <w:p w14:paraId="4B2E3C74">
        <w:pPr>
          <w:pStyle w:val="4"/>
          <w:jc w:val="right"/>
        </w:pPr>
        <w:r>
          <w:fldChar w:fldCharType="begin"/>
        </w:r>
        <w:r>
          <w:instrText xml:space="preserve">PAGE   \* MERGEFORMAT</w:instrText>
        </w:r>
        <w:r>
          <w:fldChar w:fldCharType="separate"/>
        </w:r>
        <w:r>
          <w:rPr>
            <w:lang w:val="zh-CN"/>
          </w:rPr>
          <w:t>iii</w:t>
        </w:r>
        <w:r>
          <w:fldChar w:fldCharType="end"/>
        </w:r>
      </w:p>
    </w:sdtContent>
  </w:sdt>
  <w:p w14:paraId="5529AC3D">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816303"/>
      <w:docPartObj>
        <w:docPartGallery w:val="AutoText"/>
      </w:docPartObj>
    </w:sdtPr>
    <w:sdtContent>
      <w:p w14:paraId="2773D4B9">
        <w:pPr>
          <w:pStyle w:val="4"/>
          <w:jc w:val="right"/>
        </w:pPr>
        <w:r>
          <w:fldChar w:fldCharType="begin"/>
        </w:r>
        <w:r>
          <w:instrText xml:space="preserve">PAGE   \* MERGEFORMAT</w:instrText>
        </w:r>
        <w:r>
          <w:fldChar w:fldCharType="separate"/>
        </w:r>
        <w:r>
          <w:rPr>
            <w:lang w:val="zh-CN"/>
          </w:rPr>
          <w:t>ii</w:t>
        </w:r>
        <w:r>
          <w:fldChar w:fldCharType="end"/>
        </w:r>
      </w:p>
    </w:sdtContent>
  </w:sdt>
  <w:p w14:paraId="062A86DE">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954847"/>
      <w:docPartObj>
        <w:docPartGallery w:val="AutoText"/>
      </w:docPartObj>
    </w:sdtPr>
    <w:sdtContent>
      <w:p w14:paraId="28BBE943">
        <w:pPr>
          <w:pStyle w:val="4"/>
          <w:jc w:val="right"/>
        </w:pPr>
        <w:r>
          <w:fldChar w:fldCharType="begin"/>
        </w:r>
        <w:r>
          <w:instrText xml:space="preserve">PAGE   \* MERGEFORMAT</w:instrText>
        </w:r>
        <w:r>
          <w:fldChar w:fldCharType="separate"/>
        </w:r>
        <w:r>
          <w:rPr>
            <w:lang w:val="zh-CN"/>
          </w:rPr>
          <w:t>16</w:t>
        </w:r>
        <w:r>
          <w:fldChar w:fldCharType="end"/>
        </w:r>
      </w:p>
    </w:sdtContent>
  </w:sdt>
  <w:p w14:paraId="2D58BE6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3CEB">
    <w:pPr>
      <w:pStyle w:val="5"/>
      <w:pBdr>
        <w:bottom w:val="none" w:color="auto" w:sz="0" w:space="0"/>
      </w:pBdr>
      <w:rPr>
        <w:rFonts w:ascii="宋体" w:hAnsi="宋体" w:eastAsia="宋体"/>
        <w:i/>
        <w:sz w:val="24"/>
        <w:szCs w:val="24"/>
      </w:rPr>
    </w:pPr>
    <w:r>
      <w:rPr>
        <w:rFonts w:hint="eastAsia" w:ascii="宋体" w:hAnsi="宋体" w:eastAsia="宋体"/>
        <w:i/>
        <w:sz w:val="24"/>
        <w:szCs w:val="24"/>
      </w:rPr>
      <w:t>包含非限制性建议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0D0D">
    <w:pPr>
      <w:pStyle w:val="5"/>
      <w:pBdr>
        <w:bottom w:val="none" w:color="auto" w:sz="0" w:space="0"/>
      </w:pBdr>
      <w:rPr>
        <w:rFonts w:ascii="宋体" w:hAnsi="宋体" w:eastAsia="宋体"/>
        <w:i/>
        <w:sz w:val="24"/>
        <w:szCs w:val="24"/>
      </w:rPr>
    </w:pPr>
    <w:r>
      <w:rPr>
        <w:rFonts w:hint="eastAsia" w:ascii="宋体" w:hAnsi="宋体" w:eastAsia="宋体"/>
        <w:i/>
        <w:sz w:val="24"/>
        <w:szCs w:val="24"/>
      </w:rPr>
      <w:t>包含非限制性建议</w:t>
    </w:r>
  </w:p>
  <w:p w14:paraId="5A5C3D9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D252B"/>
    <w:multiLevelType w:val="multilevel"/>
    <w:tmpl w:val="009D252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ABA14E8"/>
    <w:multiLevelType w:val="multilevel"/>
    <w:tmpl w:val="1ABA14E8"/>
    <w:lvl w:ilvl="0" w:tentative="0">
      <w:start w:val="1"/>
      <w:numFmt w:val="decimal"/>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FD46A3"/>
    <w:multiLevelType w:val="multilevel"/>
    <w:tmpl w:val="27FD46A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F964E42"/>
    <w:multiLevelType w:val="multilevel"/>
    <w:tmpl w:val="2F964E42"/>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717677"/>
    <w:multiLevelType w:val="multilevel"/>
    <w:tmpl w:val="3171767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4B25507"/>
    <w:multiLevelType w:val="multilevel"/>
    <w:tmpl w:val="34B2550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700410E"/>
    <w:multiLevelType w:val="multilevel"/>
    <w:tmpl w:val="3700410E"/>
    <w:lvl w:ilvl="0" w:tentative="0">
      <w:start w:val="1"/>
      <w:numFmt w:val="decimal"/>
      <w:lvlText w:val="%1."/>
      <w:lvlJc w:val="left"/>
      <w:pPr>
        <w:ind w:left="360" w:hanging="360"/>
      </w:pPr>
      <w:rPr>
        <w:rFonts w:hint="default"/>
      </w:rPr>
    </w:lvl>
    <w:lvl w:ilvl="1" w:tentative="0">
      <w:start w:val="1"/>
      <w:numFmt w:val="upperLetter"/>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FA010D"/>
    <w:multiLevelType w:val="multilevel"/>
    <w:tmpl w:val="38FA010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486806"/>
    <w:multiLevelType w:val="multilevel"/>
    <w:tmpl w:val="47486806"/>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9F32138"/>
    <w:multiLevelType w:val="multilevel"/>
    <w:tmpl w:val="49F3213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C843C03"/>
    <w:multiLevelType w:val="multilevel"/>
    <w:tmpl w:val="4C843C0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D77039"/>
    <w:multiLevelType w:val="multilevel"/>
    <w:tmpl w:val="4DD77039"/>
    <w:lvl w:ilvl="0" w:tentative="0">
      <w:start w:val="5"/>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27E7757"/>
    <w:multiLevelType w:val="multilevel"/>
    <w:tmpl w:val="527E77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12507B"/>
    <w:multiLevelType w:val="multilevel"/>
    <w:tmpl w:val="5D1250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D74DFD"/>
    <w:multiLevelType w:val="multilevel"/>
    <w:tmpl w:val="5DD74D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7737A8"/>
    <w:multiLevelType w:val="multilevel"/>
    <w:tmpl w:val="747737A8"/>
    <w:lvl w:ilvl="0" w:tentative="0">
      <w:start w:val="1"/>
      <w:numFmt w:val="upperLetter"/>
      <w:lvlText w:val="%1."/>
      <w:lvlJc w:val="left"/>
      <w:pPr>
        <w:ind w:left="420" w:hanging="420"/>
      </w:pPr>
    </w:lvl>
    <w:lvl w:ilvl="1" w:tentative="0">
      <w:start w:val="1"/>
      <w:numFmt w:val="upperLetter"/>
      <w:lvlText w:val="%2."/>
      <w:lvlJc w:val="left"/>
      <w:pPr>
        <w:ind w:left="840" w:hanging="420"/>
      </w:pPr>
      <w:rPr>
        <w:b/>
        <w:sz w:val="28"/>
        <w:szCs w:val="28"/>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7F7D92"/>
    <w:multiLevelType w:val="multilevel"/>
    <w:tmpl w:val="747F7D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DD35859"/>
    <w:multiLevelType w:val="multilevel"/>
    <w:tmpl w:val="7DD358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17"/>
  </w:num>
  <w:num w:numId="3">
    <w:abstractNumId w:val="3"/>
  </w:num>
  <w:num w:numId="4">
    <w:abstractNumId w:val="6"/>
  </w:num>
  <w:num w:numId="5">
    <w:abstractNumId w:val="2"/>
  </w:num>
  <w:num w:numId="6">
    <w:abstractNumId w:val="9"/>
  </w:num>
  <w:num w:numId="7">
    <w:abstractNumId w:val="4"/>
  </w:num>
  <w:num w:numId="8">
    <w:abstractNumId w:val="16"/>
  </w:num>
  <w:num w:numId="9">
    <w:abstractNumId w:val="0"/>
  </w:num>
  <w:num w:numId="10">
    <w:abstractNumId w:val="10"/>
  </w:num>
  <w:num w:numId="11">
    <w:abstractNumId w:val="13"/>
  </w:num>
  <w:num w:numId="12">
    <w:abstractNumId w:val="11"/>
  </w:num>
  <w:num w:numId="13">
    <w:abstractNumId w:val="5"/>
  </w:num>
  <w:num w:numId="14">
    <w:abstractNumId w:val="15"/>
  </w:num>
  <w:num w:numId="15">
    <w:abstractNumId w:val="1"/>
  </w:num>
  <w:num w:numId="16">
    <w:abstractNumId w:val="1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3A"/>
    <w:rsid w:val="00001F0C"/>
    <w:rsid w:val="00022FAB"/>
    <w:rsid w:val="0003319A"/>
    <w:rsid w:val="000550FB"/>
    <w:rsid w:val="00064A0A"/>
    <w:rsid w:val="00082618"/>
    <w:rsid w:val="00083508"/>
    <w:rsid w:val="0009514D"/>
    <w:rsid w:val="000A7074"/>
    <w:rsid w:val="000C5D39"/>
    <w:rsid w:val="000D54F4"/>
    <w:rsid w:val="0010514F"/>
    <w:rsid w:val="00105B04"/>
    <w:rsid w:val="001200E1"/>
    <w:rsid w:val="00131828"/>
    <w:rsid w:val="00134845"/>
    <w:rsid w:val="001354E7"/>
    <w:rsid w:val="00137F71"/>
    <w:rsid w:val="001432C3"/>
    <w:rsid w:val="001A6F04"/>
    <w:rsid w:val="001B4CAA"/>
    <w:rsid w:val="001E1546"/>
    <w:rsid w:val="001E334A"/>
    <w:rsid w:val="0020639D"/>
    <w:rsid w:val="00213D2A"/>
    <w:rsid w:val="00213D44"/>
    <w:rsid w:val="00222697"/>
    <w:rsid w:val="00240306"/>
    <w:rsid w:val="002428A1"/>
    <w:rsid w:val="00242ED5"/>
    <w:rsid w:val="00245EBB"/>
    <w:rsid w:val="00261BC3"/>
    <w:rsid w:val="00267E38"/>
    <w:rsid w:val="00283247"/>
    <w:rsid w:val="002861CA"/>
    <w:rsid w:val="002A313C"/>
    <w:rsid w:val="002C7F72"/>
    <w:rsid w:val="002D6106"/>
    <w:rsid w:val="00325C96"/>
    <w:rsid w:val="00330241"/>
    <w:rsid w:val="0033431B"/>
    <w:rsid w:val="00341330"/>
    <w:rsid w:val="00342E65"/>
    <w:rsid w:val="00353DB0"/>
    <w:rsid w:val="00360E6F"/>
    <w:rsid w:val="00363A88"/>
    <w:rsid w:val="00365943"/>
    <w:rsid w:val="00371991"/>
    <w:rsid w:val="003739EC"/>
    <w:rsid w:val="0039645D"/>
    <w:rsid w:val="003A2E4B"/>
    <w:rsid w:val="003A364E"/>
    <w:rsid w:val="003B32CC"/>
    <w:rsid w:val="003D2A41"/>
    <w:rsid w:val="003D36E1"/>
    <w:rsid w:val="003D79B2"/>
    <w:rsid w:val="003F0791"/>
    <w:rsid w:val="003F47A4"/>
    <w:rsid w:val="00403265"/>
    <w:rsid w:val="00420480"/>
    <w:rsid w:val="0042697D"/>
    <w:rsid w:val="0043451E"/>
    <w:rsid w:val="004404BE"/>
    <w:rsid w:val="00450CB6"/>
    <w:rsid w:val="004900A0"/>
    <w:rsid w:val="004B3949"/>
    <w:rsid w:val="004C5367"/>
    <w:rsid w:val="004E0EF9"/>
    <w:rsid w:val="004F61BF"/>
    <w:rsid w:val="005037C5"/>
    <w:rsid w:val="005314B7"/>
    <w:rsid w:val="00542DC5"/>
    <w:rsid w:val="00547AB8"/>
    <w:rsid w:val="0056476D"/>
    <w:rsid w:val="00565720"/>
    <w:rsid w:val="00574936"/>
    <w:rsid w:val="005944C0"/>
    <w:rsid w:val="00594CB0"/>
    <w:rsid w:val="00595837"/>
    <w:rsid w:val="005A60BA"/>
    <w:rsid w:val="005C365D"/>
    <w:rsid w:val="005D2880"/>
    <w:rsid w:val="005E12FA"/>
    <w:rsid w:val="005F5A1E"/>
    <w:rsid w:val="006017BC"/>
    <w:rsid w:val="00615366"/>
    <w:rsid w:val="00623F04"/>
    <w:rsid w:val="00624F27"/>
    <w:rsid w:val="0063045E"/>
    <w:rsid w:val="00633FD7"/>
    <w:rsid w:val="00643138"/>
    <w:rsid w:val="00643BE9"/>
    <w:rsid w:val="006464AB"/>
    <w:rsid w:val="00660B14"/>
    <w:rsid w:val="00665EA5"/>
    <w:rsid w:val="00691ADD"/>
    <w:rsid w:val="006940BC"/>
    <w:rsid w:val="006C5AE8"/>
    <w:rsid w:val="006E2BE3"/>
    <w:rsid w:val="006F74B9"/>
    <w:rsid w:val="0071470A"/>
    <w:rsid w:val="00721D68"/>
    <w:rsid w:val="00724E55"/>
    <w:rsid w:val="00740AF3"/>
    <w:rsid w:val="007467A7"/>
    <w:rsid w:val="00783278"/>
    <w:rsid w:val="00792981"/>
    <w:rsid w:val="00795797"/>
    <w:rsid w:val="007A302D"/>
    <w:rsid w:val="007B159F"/>
    <w:rsid w:val="007C245A"/>
    <w:rsid w:val="0082308C"/>
    <w:rsid w:val="00825C41"/>
    <w:rsid w:val="0084371A"/>
    <w:rsid w:val="0086153F"/>
    <w:rsid w:val="008703F9"/>
    <w:rsid w:val="00875FF7"/>
    <w:rsid w:val="00885AC8"/>
    <w:rsid w:val="00886F1B"/>
    <w:rsid w:val="00895498"/>
    <w:rsid w:val="008B55D8"/>
    <w:rsid w:val="008C2673"/>
    <w:rsid w:val="008C5935"/>
    <w:rsid w:val="008E2A28"/>
    <w:rsid w:val="008E6085"/>
    <w:rsid w:val="00916357"/>
    <w:rsid w:val="00921678"/>
    <w:rsid w:val="009338F2"/>
    <w:rsid w:val="00937CED"/>
    <w:rsid w:val="00942823"/>
    <w:rsid w:val="009824BD"/>
    <w:rsid w:val="0099389E"/>
    <w:rsid w:val="009B582D"/>
    <w:rsid w:val="009B638E"/>
    <w:rsid w:val="009C4426"/>
    <w:rsid w:val="009E695F"/>
    <w:rsid w:val="009E7FA5"/>
    <w:rsid w:val="009F2B96"/>
    <w:rsid w:val="00A13FFA"/>
    <w:rsid w:val="00A23073"/>
    <w:rsid w:val="00A31809"/>
    <w:rsid w:val="00A41D87"/>
    <w:rsid w:val="00A42456"/>
    <w:rsid w:val="00A43EE7"/>
    <w:rsid w:val="00A66E02"/>
    <w:rsid w:val="00A73526"/>
    <w:rsid w:val="00AA685A"/>
    <w:rsid w:val="00AB7E4C"/>
    <w:rsid w:val="00AC0B43"/>
    <w:rsid w:val="00AD315B"/>
    <w:rsid w:val="00AE4139"/>
    <w:rsid w:val="00AF5079"/>
    <w:rsid w:val="00B1677F"/>
    <w:rsid w:val="00B2423A"/>
    <w:rsid w:val="00B26A81"/>
    <w:rsid w:val="00B33F12"/>
    <w:rsid w:val="00B4770C"/>
    <w:rsid w:val="00B517CB"/>
    <w:rsid w:val="00B70652"/>
    <w:rsid w:val="00B77EC4"/>
    <w:rsid w:val="00B8692C"/>
    <w:rsid w:val="00BD29DA"/>
    <w:rsid w:val="00BE4A83"/>
    <w:rsid w:val="00C20DFC"/>
    <w:rsid w:val="00C22581"/>
    <w:rsid w:val="00C412B5"/>
    <w:rsid w:val="00C450B8"/>
    <w:rsid w:val="00C50FF8"/>
    <w:rsid w:val="00C70E51"/>
    <w:rsid w:val="00C72DFA"/>
    <w:rsid w:val="00C760E2"/>
    <w:rsid w:val="00CA77EC"/>
    <w:rsid w:val="00CC3100"/>
    <w:rsid w:val="00CC6625"/>
    <w:rsid w:val="00CD5A63"/>
    <w:rsid w:val="00CE1D3D"/>
    <w:rsid w:val="00D04AA7"/>
    <w:rsid w:val="00D204C6"/>
    <w:rsid w:val="00D27669"/>
    <w:rsid w:val="00D313F6"/>
    <w:rsid w:val="00D440EC"/>
    <w:rsid w:val="00D5227B"/>
    <w:rsid w:val="00D6312B"/>
    <w:rsid w:val="00D63546"/>
    <w:rsid w:val="00D7238B"/>
    <w:rsid w:val="00D76434"/>
    <w:rsid w:val="00D94F5A"/>
    <w:rsid w:val="00DB74B0"/>
    <w:rsid w:val="00DD1811"/>
    <w:rsid w:val="00DE269F"/>
    <w:rsid w:val="00E10F77"/>
    <w:rsid w:val="00E51356"/>
    <w:rsid w:val="00E52F64"/>
    <w:rsid w:val="00E6340C"/>
    <w:rsid w:val="00E727FC"/>
    <w:rsid w:val="00E73C7F"/>
    <w:rsid w:val="00EA1337"/>
    <w:rsid w:val="00EF2030"/>
    <w:rsid w:val="00F10F7C"/>
    <w:rsid w:val="00F16D47"/>
    <w:rsid w:val="00F22ECE"/>
    <w:rsid w:val="00F302AF"/>
    <w:rsid w:val="00F4649E"/>
    <w:rsid w:val="00F55E65"/>
    <w:rsid w:val="00F629A4"/>
    <w:rsid w:val="00F738A5"/>
    <w:rsid w:val="00F84574"/>
    <w:rsid w:val="00F90D9D"/>
    <w:rsid w:val="00FB39F2"/>
    <w:rsid w:val="00FB77B1"/>
    <w:rsid w:val="00FC2A5A"/>
    <w:rsid w:val="00FD3873"/>
    <w:rsid w:val="4F97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434"/>
        <w:tab w:val="right" w:leader="dot" w:pos="9628"/>
      </w:tabs>
    </w:pPr>
  </w:style>
  <w:style w:type="paragraph" w:styleId="7">
    <w:name w:val="toc 2"/>
    <w:basedOn w:val="1"/>
    <w:next w:val="1"/>
    <w:autoRedefine/>
    <w:unhideWhenUsed/>
    <w:qFormat/>
    <w:uiPriority w:val="39"/>
    <w:pPr>
      <w:ind w:left="420" w:left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框文本 Char"/>
    <w:basedOn w:val="10"/>
    <w:link w:val="3"/>
    <w:semiHidden/>
    <w:qFormat/>
    <w:uiPriority w:val="99"/>
    <w:rPr>
      <w:sz w:val="18"/>
      <w:szCs w:val="18"/>
    </w:rPr>
  </w:style>
  <w:style w:type="character" w:customStyle="1" w:styleId="16">
    <w:name w:val="标题 1 Char"/>
    <w:basedOn w:val="10"/>
    <w:link w:val="2"/>
    <w:qFormat/>
    <w:uiPriority w:val="9"/>
    <w:rPr>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A4B8A-3425-4B59-BE39-4A616DC29D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10064</Words>
  <Characters>10738</Characters>
  <Lines>86</Lines>
  <Paragraphs>24</Paragraphs>
  <TotalTime>1</TotalTime>
  <ScaleCrop>false</ScaleCrop>
  <LinksUpToDate>false</LinksUpToDate>
  <CharactersWithSpaces>10879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2017-03-29T03:48:00Z</dcterms:created>
  <dc:creator>Guozhen Liu</dc:creator>
  <cp:lastModifiedBy>太极箫客</cp:lastModifiedBy>
  <dcterms:modified xsi:type="dcterms:W3CDTF">2025-08-14T06:27:34Z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8606A0215BF44DE88D5B6C634CACF5A5_12</vt:lpwstr>
  </property>
</Properties>
</file>