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27AE4">
      <w:pPr>
        <w:tabs>
          <w:tab w:val="left" w:pos="7200"/>
          <w:tab w:val="left" w:pos="7380"/>
          <w:tab w:val="left" w:pos="7560"/>
        </w:tabs>
        <w:spacing w:line="500" w:lineRule="exact"/>
        <w:rPr>
          <w:rFonts w:hint="eastAsia" w:ascii="黑体" w:hAnsi="宋体" w:eastAsia="黑体" w:cs="黑体"/>
          <w:color w:val="000000"/>
          <w:kern w:val="0"/>
          <w:sz w:val="32"/>
          <w:szCs w:val="32"/>
          <w:lang w:bidi="ar"/>
        </w:rPr>
      </w:pPr>
      <w:bookmarkStart w:id="0" w:name="_GoBack"/>
      <w:bookmarkEnd w:id="0"/>
      <w:r>
        <w:rPr>
          <w:rFonts w:hint="eastAsia" w:ascii="黑体" w:hAnsi="宋体" w:eastAsia="黑体" w:cs="黑体"/>
          <w:color w:val="000000"/>
          <w:kern w:val="0"/>
          <w:sz w:val="32"/>
          <w:szCs w:val="32"/>
          <w:lang w:bidi="ar"/>
        </w:rPr>
        <w:t>附件</w:t>
      </w:r>
    </w:p>
    <w:p w14:paraId="38C68CCE">
      <w:pPr>
        <w:tabs>
          <w:tab w:val="left" w:pos="7200"/>
          <w:tab w:val="left" w:pos="7380"/>
          <w:tab w:val="left" w:pos="7560"/>
        </w:tabs>
        <w:spacing w:line="500" w:lineRule="exact"/>
        <w:rPr>
          <w:rFonts w:hint="eastAsia" w:ascii="黑体" w:hAnsi="宋体" w:eastAsia="黑体" w:cs="黑体"/>
          <w:color w:val="000000"/>
          <w:kern w:val="0"/>
          <w:sz w:val="28"/>
          <w:szCs w:val="28"/>
          <w:lang w:bidi="ar"/>
        </w:rPr>
      </w:pPr>
    </w:p>
    <w:p w14:paraId="56BE6FFC">
      <w:pPr>
        <w:tabs>
          <w:tab w:val="left" w:pos="7200"/>
          <w:tab w:val="left" w:pos="7380"/>
          <w:tab w:val="left" w:pos="7560"/>
        </w:tabs>
        <w:spacing w:line="500" w:lineRule="exact"/>
        <w:jc w:val="center"/>
        <w:rPr>
          <w:rFonts w:hint="eastAsia" w:ascii="黑体" w:hAnsi="宋体" w:eastAsia="黑体" w:cs="黑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《医疗器械分类目录》部分内容调整表</w:t>
      </w:r>
    </w:p>
    <w:p w14:paraId="67E98988">
      <w:pPr>
        <w:tabs>
          <w:tab w:val="left" w:pos="7200"/>
          <w:tab w:val="left" w:pos="7380"/>
          <w:tab w:val="left" w:pos="7560"/>
        </w:tabs>
        <w:spacing w:line="500" w:lineRule="exact"/>
        <w:rPr>
          <w:rFonts w:hint="eastAsia" w:ascii="黑体" w:hAnsi="宋体" w:eastAsia="黑体" w:cs="黑体"/>
          <w:color w:val="000000"/>
          <w:kern w:val="0"/>
          <w:sz w:val="28"/>
          <w:szCs w:val="28"/>
          <w:lang w:bidi="ar"/>
        </w:rPr>
      </w:pPr>
    </w:p>
    <w:tbl>
      <w:tblPr>
        <w:tblStyle w:val="6"/>
        <w:tblW w:w="0" w:type="auto"/>
        <w:jc w:val="center"/>
        <w:tblLayout w:type="fixed"/>
        <w:tblCellMar>
          <w:top w:w="0" w:type="dxa"/>
          <w:left w:w="108" w:type="dxa"/>
          <w:bottom w:w="0" w:type="dxa"/>
          <w:right w:w="108" w:type="dxa"/>
        </w:tblCellMar>
      </w:tblPr>
      <w:tblGrid>
        <w:gridCol w:w="458"/>
        <w:gridCol w:w="865"/>
        <w:gridCol w:w="919"/>
        <w:gridCol w:w="813"/>
        <w:gridCol w:w="1899"/>
        <w:gridCol w:w="1351"/>
        <w:gridCol w:w="1074"/>
        <w:gridCol w:w="740"/>
        <w:gridCol w:w="853"/>
        <w:gridCol w:w="1042"/>
        <w:gridCol w:w="759"/>
        <w:gridCol w:w="1361"/>
        <w:gridCol w:w="1092"/>
        <w:gridCol w:w="1046"/>
        <w:gridCol w:w="704"/>
      </w:tblGrid>
      <w:tr w14:paraId="25648D5B">
        <w:tblPrEx>
          <w:tblCellMar>
            <w:top w:w="0" w:type="dxa"/>
            <w:left w:w="108" w:type="dxa"/>
            <w:bottom w:w="0" w:type="dxa"/>
            <w:right w:w="108" w:type="dxa"/>
          </w:tblCellMar>
        </w:tblPrEx>
        <w:trPr>
          <w:trHeight w:val="400"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vAlign w:val="center"/>
          </w:tcPr>
          <w:p w14:paraId="4A5CEC9B">
            <w:pPr>
              <w:widowControl/>
              <w:spacing w:line="240" w:lineRule="exact"/>
              <w:jc w:val="center"/>
              <w:textAlignment w:val="center"/>
              <w:rPr>
                <w:rFonts w:eastAsia="黑体"/>
                <w:bCs/>
                <w:color w:val="000000"/>
                <w:szCs w:val="21"/>
              </w:rPr>
            </w:pPr>
            <w:r>
              <w:rPr>
                <w:rFonts w:eastAsia="黑体"/>
                <w:bCs/>
                <w:color w:val="000000"/>
                <w:kern w:val="0"/>
                <w:szCs w:val="21"/>
                <w:lang w:bidi="ar"/>
              </w:rPr>
              <w:t>序号</w:t>
            </w:r>
          </w:p>
        </w:tc>
        <w:tc>
          <w:tcPr>
            <w:tcW w:w="7661" w:type="dxa"/>
            <w:gridSpan w:val="7"/>
            <w:tcBorders>
              <w:top w:val="single" w:color="000000" w:sz="4" w:space="0"/>
              <w:left w:val="single" w:color="000000" w:sz="4" w:space="0"/>
              <w:bottom w:val="single" w:color="000000" w:sz="4" w:space="0"/>
              <w:right w:val="single" w:color="000000" w:sz="4" w:space="0"/>
            </w:tcBorders>
            <w:vAlign w:val="center"/>
          </w:tcPr>
          <w:p w14:paraId="09C1AE9A">
            <w:pPr>
              <w:widowControl/>
              <w:spacing w:line="240" w:lineRule="exact"/>
              <w:jc w:val="center"/>
              <w:textAlignment w:val="center"/>
              <w:rPr>
                <w:rFonts w:eastAsia="黑体"/>
                <w:bCs/>
                <w:color w:val="000000"/>
                <w:szCs w:val="21"/>
              </w:rPr>
            </w:pPr>
            <w:r>
              <w:rPr>
                <w:rFonts w:eastAsia="黑体"/>
                <w:bCs/>
                <w:color w:val="000000"/>
                <w:kern w:val="0"/>
                <w:szCs w:val="21"/>
                <w:lang w:bidi="ar"/>
              </w:rPr>
              <w:t>《医疗器械分类目录》内容</w:t>
            </w:r>
          </w:p>
        </w:tc>
        <w:tc>
          <w:tcPr>
            <w:tcW w:w="6857" w:type="dxa"/>
            <w:gridSpan w:val="7"/>
            <w:tcBorders>
              <w:top w:val="single" w:color="000000" w:sz="4" w:space="0"/>
              <w:left w:val="single" w:color="000000" w:sz="4" w:space="0"/>
              <w:bottom w:val="single" w:color="000000" w:sz="4" w:space="0"/>
              <w:right w:val="single" w:color="000000" w:sz="4" w:space="0"/>
            </w:tcBorders>
            <w:vAlign w:val="center"/>
          </w:tcPr>
          <w:p w14:paraId="0BC83B4D">
            <w:pPr>
              <w:widowControl/>
              <w:spacing w:line="240" w:lineRule="exact"/>
              <w:jc w:val="center"/>
              <w:textAlignment w:val="center"/>
              <w:rPr>
                <w:rFonts w:eastAsia="黑体"/>
                <w:bCs/>
                <w:color w:val="000000"/>
                <w:szCs w:val="21"/>
              </w:rPr>
            </w:pPr>
            <w:r>
              <w:rPr>
                <w:rFonts w:eastAsia="黑体"/>
                <w:bCs/>
                <w:color w:val="000000"/>
                <w:kern w:val="0"/>
                <w:szCs w:val="21"/>
                <w:lang w:bidi="ar"/>
              </w:rPr>
              <w:t>调整后《医疗器械分类目录》内容</w:t>
            </w:r>
          </w:p>
        </w:tc>
      </w:tr>
      <w:tr w14:paraId="30FA0B3E">
        <w:tblPrEx>
          <w:tblCellMar>
            <w:top w:w="0" w:type="dxa"/>
            <w:left w:w="108" w:type="dxa"/>
            <w:bottom w:w="0" w:type="dxa"/>
            <w:right w:w="108" w:type="dxa"/>
          </w:tblCellMar>
        </w:tblPrEx>
        <w:trPr>
          <w:trHeight w:val="27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vAlign w:val="center"/>
          </w:tcPr>
          <w:p w14:paraId="0509BF82">
            <w:pPr>
              <w:spacing w:line="240" w:lineRule="exact"/>
              <w:jc w:val="center"/>
              <w:rPr>
                <w:rFonts w:eastAsia="黑体"/>
                <w:bCs/>
                <w:color w:val="000000"/>
                <w:szCs w:val="21"/>
              </w:rPr>
            </w:pP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14:paraId="3B550266">
            <w:pPr>
              <w:widowControl/>
              <w:spacing w:line="240" w:lineRule="exact"/>
              <w:jc w:val="center"/>
              <w:textAlignment w:val="center"/>
              <w:rPr>
                <w:rFonts w:eastAsia="黑体"/>
                <w:bCs/>
                <w:color w:val="000000"/>
                <w:szCs w:val="21"/>
              </w:rPr>
            </w:pPr>
            <w:r>
              <w:rPr>
                <w:rFonts w:eastAsia="黑体"/>
                <w:bCs/>
                <w:color w:val="000000"/>
                <w:kern w:val="0"/>
                <w:szCs w:val="21"/>
                <w:lang w:bidi="ar"/>
              </w:rPr>
              <w:t>子目录</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6535D923">
            <w:pPr>
              <w:widowControl/>
              <w:spacing w:line="240" w:lineRule="exact"/>
              <w:jc w:val="center"/>
              <w:textAlignment w:val="center"/>
              <w:rPr>
                <w:rFonts w:eastAsia="黑体"/>
                <w:bCs/>
                <w:color w:val="000000"/>
                <w:szCs w:val="21"/>
              </w:rPr>
            </w:pPr>
            <w:r>
              <w:rPr>
                <w:rFonts w:eastAsia="黑体"/>
                <w:bCs/>
                <w:color w:val="000000"/>
                <w:kern w:val="0"/>
                <w:szCs w:val="21"/>
                <w:lang w:bidi="ar"/>
              </w:rPr>
              <w:t>一级产品类别</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14:paraId="3A0BAB3F">
            <w:pPr>
              <w:widowControl/>
              <w:spacing w:line="240" w:lineRule="exact"/>
              <w:jc w:val="center"/>
              <w:textAlignment w:val="center"/>
              <w:rPr>
                <w:rFonts w:eastAsia="黑体"/>
                <w:bCs/>
                <w:color w:val="000000"/>
                <w:szCs w:val="21"/>
              </w:rPr>
            </w:pPr>
            <w:r>
              <w:rPr>
                <w:rFonts w:eastAsia="黑体"/>
                <w:bCs/>
                <w:color w:val="000000"/>
                <w:kern w:val="0"/>
                <w:szCs w:val="21"/>
                <w:lang w:bidi="ar"/>
              </w:rPr>
              <w:t>二级产品类别</w:t>
            </w: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4710EE69">
            <w:pPr>
              <w:widowControl/>
              <w:spacing w:line="240" w:lineRule="exact"/>
              <w:jc w:val="center"/>
              <w:textAlignment w:val="center"/>
              <w:rPr>
                <w:rFonts w:eastAsia="黑体"/>
                <w:bCs/>
                <w:color w:val="000000"/>
                <w:szCs w:val="21"/>
              </w:rPr>
            </w:pPr>
            <w:r>
              <w:rPr>
                <w:rFonts w:eastAsia="黑体"/>
                <w:bCs/>
                <w:color w:val="000000"/>
                <w:kern w:val="0"/>
                <w:szCs w:val="21"/>
                <w:lang w:bidi="ar"/>
              </w:rPr>
              <w:t>产品描述</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14:paraId="62314788">
            <w:pPr>
              <w:widowControl/>
              <w:spacing w:line="240" w:lineRule="exact"/>
              <w:jc w:val="center"/>
              <w:textAlignment w:val="center"/>
              <w:rPr>
                <w:rFonts w:eastAsia="黑体"/>
                <w:bCs/>
                <w:color w:val="000000"/>
                <w:szCs w:val="21"/>
              </w:rPr>
            </w:pPr>
            <w:r>
              <w:rPr>
                <w:rFonts w:eastAsia="黑体"/>
                <w:bCs/>
                <w:color w:val="000000"/>
                <w:kern w:val="0"/>
                <w:szCs w:val="21"/>
                <w:lang w:bidi="ar"/>
              </w:rPr>
              <w:t>预期用途</w:t>
            </w:r>
          </w:p>
        </w:tc>
        <w:tc>
          <w:tcPr>
            <w:tcW w:w="1074" w:type="dxa"/>
            <w:vMerge w:val="restart"/>
            <w:tcBorders>
              <w:top w:val="single" w:color="000000" w:sz="4" w:space="0"/>
              <w:left w:val="single" w:color="000000" w:sz="4" w:space="0"/>
              <w:bottom w:val="single" w:color="000000" w:sz="4" w:space="0"/>
              <w:right w:val="single" w:color="000000" w:sz="4" w:space="0"/>
            </w:tcBorders>
            <w:vAlign w:val="center"/>
          </w:tcPr>
          <w:p w14:paraId="4540B27E">
            <w:pPr>
              <w:widowControl/>
              <w:spacing w:line="240" w:lineRule="exact"/>
              <w:jc w:val="center"/>
              <w:textAlignment w:val="center"/>
              <w:rPr>
                <w:rFonts w:eastAsia="黑体"/>
                <w:bCs/>
                <w:color w:val="000000"/>
                <w:szCs w:val="21"/>
              </w:rPr>
            </w:pPr>
            <w:r>
              <w:rPr>
                <w:rFonts w:eastAsia="黑体"/>
                <w:bCs/>
                <w:color w:val="000000"/>
                <w:kern w:val="0"/>
                <w:szCs w:val="21"/>
                <w:lang w:bidi="ar"/>
              </w:rPr>
              <w:t>品名举例</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14:paraId="3812B75E">
            <w:pPr>
              <w:widowControl/>
              <w:spacing w:line="240" w:lineRule="exact"/>
              <w:jc w:val="center"/>
              <w:textAlignment w:val="center"/>
              <w:rPr>
                <w:rFonts w:eastAsia="黑体"/>
                <w:bCs/>
                <w:color w:val="000000"/>
                <w:szCs w:val="21"/>
              </w:rPr>
            </w:pPr>
            <w:r>
              <w:rPr>
                <w:rFonts w:eastAsia="黑体"/>
                <w:bCs/>
                <w:color w:val="000000"/>
                <w:kern w:val="0"/>
                <w:szCs w:val="21"/>
                <w:lang w:bidi="ar"/>
              </w:rPr>
              <w:t>管理类别</w:t>
            </w:r>
          </w:p>
        </w:tc>
        <w:tc>
          <w:tcPr>
            <w:tcW w:w="853" w:type="dxa"/>
            <w:vMerge w:val="restart"/>
            <w:tcBorders>
              <w:top w:val="single" w:color="000000" w:sz="4" w:space="0"/>
              <w:left w:val="single" w:color="000000" w:sz="4" w:space="0"/>
              <w:bottom w:val="single" w:color="000000" w:sz="4" w:space="0"/>
              <w:right w:val="single" w:color="000000" w:sz="4" w:space="0"/>
            </w:tcBorders>
            <w:vAlign w:val="center"/>
          </w:tcPr>
          <w:p w14:paraId="180939C3">
            <w:pPr>
              <w:widowControl/>
              <w:spacing w:line="240" w:lineRule="exact"/>
              <w:jc w:val="center"/>
              <w:textAlignment w:val="center"/>
              <w:rPr>
                <w:rFonts w:eastAsia="黑体"/>
                <w:bCs/>
                <w:color w:val="000000"/>
                <w:szCs w:val="21"/>
              </w:rPr>
            </w:pPr>
            <w:r>
              <w:rPr>
                <w:rFonts w:eastAsia="黑体"/>
                <w:bCs/>
                <w:color w:val="000000"/>
                <w:kern w:val="0"/>
                <w:szCs w:val="21"/>
                <w:lang w:bidi="ar"/>
              </w:rPr>
              <w:t>子目录</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14:paraId="277C8757">
            <w:pPr>
              <w:widowControl/>
              <w:spacing w:line="240" w:lineRule="exact"/>
              <w:jc w:val="center"/>
              <w:textAlignment w:val="center"/>
              <w:rPr>
                <w:rFonts w:eastAsia="黑体"/>
                <w:bCs/>
                <w:color w:val="000000"/>
                <w:szCs w:val="21"/>
              </w:rPr>
            </w:pPr>
            <w:r>
              <w:rPr>
                <w:rFonts w:eastAsia="黑体"/>
                <w:bCs/>
                <w:color w:val="000000"/>
                <w:kern w:val="0"/>
                <w:szCs w:val="21"/>
                <w:lang w:bidi="ar"/>
              </w:rPr>
              <w:t>一级产品类别</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14:paraId="48952BCD">
            <w:pPr>
              <w:widowControl/>
              <w:spacing w:line="240" w:lineRule="exact"/>
              <w:jc w:val="center"/>
              <w:textAlignment w:val="center"/>
              <w:rPr>
                <w:rFonts w:eastAsia="黑体"/>
                <w:bCs/>
                <w:color w:val="000000"/>
                <w:szCs w:val="21"/>
              </w:rPr>
            </w:pPr>
            <w:r>
              <w:rPr>
                <w:rFonts w:eastAsia="黑体"/>
                <w:bCs/>
                <w:color w:val="000000"/>
                <w:kern w:val="0"/>
                <w:szCs w:val="21"/>
                <w:lang w:bidi="ar"/>
              </w:rPr>
              <w:t>二级产品类别</w:t>
            </w:r>
          </w:p>
        </w:tc>
        <w:tc>
          <w:tcPr>
            <w:tcW w:w="1361" w:type="dxa"/>
            <w:vMerge w:val="restart"/>
            <w:tcBorders>
              <w:top w:val="single" w:color="000000" w:sz="4" w:space="0"/>
              <w:left w:val="single" w:color="000000" w:sz="4" w:space="0"/>
              <w:bottom w:val="single" w:color="000000" w:sz="4" w:space="0"/>
              <w:right w:val="single" w:color="000000" w:sz="4" w:space="0"/>
            </w:tcBorders>
            <w:vAlign w:val="center"/>
          </w:tcPr>
          <w:p w14:paraId="7B518360">
            <w:pPr>
              <w:widowControl/>
              <w:spacing w:line="240" w:lineRule="exact"/>
              <w:jc w:val="center"/>
              <w:textAlignment w:val="center"/>
              <w:rPr>
                <w:rFonts w:eastAsia="黑体"/>
                <w:bCs/>
                <w:color w:val="000000"/>
                <w:szCs w:val="21"/>
              </w:rPr>
            </w:pPr>
            <w:r>
              <w:rPr>
                <w:rFonts w:eastAsia="黑体"/>
                <w:bCs/>
                <w:color w:val="000000"/>
                <w:kern w:val="0"/>
                <w:szCs w:val="21"/>
                <w:lang w:bidi="ar"/>
              </w:rPr>
              <w:t>产品描述</w:t>
            </w:r>
          </w:p>
        </w:tc>
        <w:tc>
          <w:tcPr>
            <w:tcW w:w="1092" w:type="dxa"/>
            <w:vMerge w:val="restart"/>
            <w:tcBorders>
              <w:top w:val="single" w:color="000000" w:sz="4" w:space="0"/>
              <w:left w:val="single" w:color="000000" w:sz="4" w:space="0"/>
              <w:bottom w:val="single" w:color="000000" w:sz="4" w:space="0"/>
              <w:right w:val="single" w:color="000000" w:sz="4" w:space="0"/>
            </w:tcBorders>
            <w:vAlign w:val="center"/>
          </w:tcPr>
          <w:p w14:paraId="0B10DF7A">
            <w:pPr>
              <w:widowControl/>
              <w:spacing w:line="240" w:lineRule="exact"/>
              <w:jc w:val="center"/>
              <w:textAlignment w:val="center"/>
              <w:rPr>
                <w:rFonts w:eastAsia="黑体"/>
                <w:bCs/>
                <w:color w:val="000000"/>
                <w:szCs w:val="21"/>
              </w:rPr>
            </w:pPr>
            <w:r>
              <w:rPr>
                <w:rFonts w:eastAsia="黑体"/>
                <w:bCs/>
                <w:color w:val="000000"/>
                <w:kern w:val="0"/>
                <w:szCs w:val="21"/>
                <w:lang w:bidi="ar"/>
              </w:rPr>
              <w:t>预期用途</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14:paraId="0B108ADF">
            <w:pPr>
              <w:widowControl/>
              <w:spacing w:line="240" w:lineRule="exact"/>
              <w:jc w:val="center"/>
              <w:textAlignment w:val="center"/>
              <w:rPr>
                <w:rFonts w:eastAsia="黑体"/>
                <w:bCs/>
                <w:color w:val="000000"/>
                <w:kern w:val="0"/>
                <w:szCs w:val="21"/>
                <w:lang w:bidi="ar"/>
              </w:rPr>
            </w:pPr>
            <w:r>
              <w:rPr>
                <w:rFonts w:eastAsia="黑体"/>
                <w:bCs/>
                <w:color w:val="000000"/>
                <w:kern w:val="0"/>
                <w:szCs w:val="21"/>
                <w:lang w:bidi="ar"/>
              </w:rPr>
              <w:t>品名</w:t>
            </w:r>
          </w:p>
          <w:p w14:paraId="5438D7F6">
            <w:pPr>
              <w:widowControl/>
              <w:spacing w:line="240" w:lineRule="exact"/>
              <w:jc w:val="center"/>
              <w:textAlignment w:val="center"/>
              <w:rPr>
                <w:rFonts w:eastAsia="黑体"/>
                <w:bCs/>
                <w:color w:val="000000"/>
                <w:szCs w:val="21"/>
              </w:rPr>
            </w:pPr>
            <w:r>
              <w:rPr>
                <w:rFonts w:eastAsia="黑体"/>
                <w:bCs/>
                <w:color w:val="000000"/>
                <w:kern w:val="0"/>
                <w:szCs w:val="21"/>
                <w:lang w:bidi="ar"/>
              </w:rPr>
              <w:t>举例</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14:paraId="17A5FB2C">
            <w:pPr>
              <w:widowControl/>
              <w:spacing w:line="240" w:lineRule="exact"/>
              <w:jc w:val="center"/>
              <w:textAlignment w:val="center"/>
              <w:rPr>
                <w:rFonts w:eastAsia="黑体"/>
                <w:bCs/>
                <w:color w:val="000000"/>
                <w:szCs w:val="21"/>
              </w:rPr>
            </w:pPr>
            <w:r>
              <w:rPr>
                <w:rFonts w:eastAsia="黑体"/>
                <w:bCs/>
                <w:color w:val="000000"/>
                <w:kern w:val="0"/>
                <w:szCs w:val="21"/>
                <w:lang w:bidi="ar"/>
              </w:rPr>
              <w:t>管理类别</w:t>
            </w:r>
          </w:p>
        </w:tc>
      </w:tr>
      <w:tr w14:paraId="5271901F">
        <w:tblPrEx>
          <w:tblCellMar>
            <w:top w:w="0" w:type="dxa"/>
            <w:left w:w="108" w:type="dxa"/>
            <w:bottom w:w="0" w:type="dxa"/>
            <w:right w:w="108" w:type="dxa"/>
          </w:tblCellMar>
        </w:tblPrEx>
        <w:trPr>
          <w:trHeight w:val="54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vAlign w:val="center"/>
          </w:tcPr>
          <w:p w14:paraId="6C259E2E">
            <w:pPr>
              <w:spacing w:line="240" w:lineRule="exact"/>
              <w:jc w:val="center"/>
              <w:rPr>
                <w:rFonts w:eastAsia="黑体"/>
                <w:bCs/>
                <w:color w:val="000000"/>
                <w:szCs w:val="21"/>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279C87E9">
            <w:pPr>
              <w:spacing w:line="240" w:lineRule="exact"/>
              <w:jc w:val="center"/>
              <w:rPr>
                <w:rFonts w:eastAsia="黑体"/>
                <w:bCs/>
                <w:color w:val="000000"/>
                <w:szCs w:val="21"/>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7BA66B8F">
            <w:pPr>
              <w:spacing w:line="240" w:lineRule="exact"/>
              <w:jc w:val="center"/>
              <w:rPr>
                <w:rFonts w:eastAsia="黑体"/>
                <w:bCs/>
                <w:color w:val="000000"/>
                <w:szCs w:val="21"/>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14:paraId="099FE7C8">
            <w:pPr>
              <w:spacing w:line="240" w:lineRule="exact"/>
              <w:jc w:val="center"/>
              <w:rPr>
                <w:rFonts w:eastAsia="黑体"/>
                <w:bCs/>
                <w:color w:val="000000"/>
                <w:szCs w:val="21"/>
              </w:rPr>
            </w:pPr>
          </w:p>
        </w:tc>
        <w:tc>
          <w:tcPr>
            <w:tcW w:w="1899" w:type="dxa"/>
            <w:vMerge w:val="continue"/>
            <w:tcBorders>
              <w:top w:val="single" w:color="000000" w:sz="4" w:space="0"/>
              <w:left w:val="single" w:color="000000" w:sz="4" w:space="0"/>
              <w:bottom w:val="single" w:color="000000" w:sz="4" w:space="0"/>
              <w:right w:val="single" w:color="000000" w:sz="4" w:space="0"/>
            </w:tcBorders>
            <w:vAlign w:val="center"/>
          </w:tcPr>
          <w:p w14:paraId="2D92E199">
            <w:pPr>
              <w:spacing w:line="240" w:lineRule="exact"/>
              <w:jc w:val="center"/>
              <w:rPr>
                <w:rFonts w:eastAsia="黑体"/>
                <w:bCs/>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3FDEE24E">
            <w:pPr>
              <w:spacing w:line="240" w:lineRule="exact"/>
              <w:jc w:val="center"/>
              <w:rPr>
                <w:rFonts w:eastAsia="黑体"/>
                <w:bCs/>
                <w:color w:val="000000"/>
                <w:szCs w:val="21"/>
              </w:rPr>
            </w:pPr>
          </w:p>
        </w:tc>
        <w:tc>
          <w:tcPr>
            <w:tcW w:w="1074" w:type="dxa"/>
            <w:vMerge w:val="continue"/>
            <w:tcBorders>
              <w:top w:val="single" w:color="000000" w:sz="4" w:space="0"/>
              <w:left w:val="single" w:color="000000" w:sz="4" w:space="0"/>
              <w:bottom w:val="single" w:color="000000" w:sz="4" w:space="0"/>
              <w:right w:val="single" w:color="000000" w:sz="4" w:space="0"/>
            </w:tcBorders>
            <w:vAlign w:val="center"/>
          </w:tcPr>
          <w:p w14:paraId="6E37DBB7">
            <w:pPr>
              <w:spacing w:line="240" w:lineRule="exact"/>
              <w:jc w:val="center"/>
              <w:rPr>
                <w:rFonts w:eastAsia="黑体"/>
                <w:bCs/>
                <w:color w:val="000000"/>
                <w:szCs w:val="21"/>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14:paraId="494F6A31">
            <w:pPr>
              <w:spacing w:line="240" w:lineRule="exact"/>
              <w:jc w:val="center"/>
              <w:rPr>
                <w:rFonts w:eastAsia="黑体"/>
                <w:bCs/>
                <w:color w:val="000000"/>
                <w:szCs w:val="21"/>
              </w:rPr>
            </w:pP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14:paraId="4B0D892C">
            <w:pPr>
              <w:spacing w:line="240" w:lineRule="exact"/>
              <w:jc w:val="center"/>
              <w:rPr>
                <w:rFonts w:eastAsia="黑体"/>
                <w:bCs/>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14:paraId="74615DF1">
            <w:pPr>
              <w:spacing w:line="240" w:lineRule="exact"/>
              <w:jc w:val="center"/>
              <w:rPr>
                <w:rFonts w:eastAsia="黑体"/>
                <w:bCs/>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68F39439">
            <w:pPr>
              <w:spacing w:line="240" w:lineRule="exact"/>
              <w:jc w:val="center"/>
              <w:rPr>
                <w:rFonts w:eastAsia="黑体"/>
                <w:bCs/>
                <w:color w:val="000000"/>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14:paraId="5F581C59">
            <w:pPr>
              <w:spacing w:line="240" w:lineRule="exact"/>
              <w:jc w:val="center"/>
              <w:rPr>
                <w:rFonts w:eastAsia="黑体"/>
                <w:bCs/>
                <w:color w:val="000000"/>
                <w:szCs w:val="21"/>
              </w:rPr>
            </w:pPr>
          </w:p>
        </w:tc>
        <w:tc>
          <w:tcPr>
            <w:tcW w:w="1092" w:type="dxa"/>
            <w:vMerge w:val="continue"/>
            <w:tcBorders>
              <w:top w:val="single" w:color="000000" w:sz="4" w:space="0"/>
              <w:left w:val="single" w:color="000000" w:sz="4" w:space="0"/>
              <w:bottom w:val="single" w:color="000000" w:sz="4" w:space="0"/>
              <w:right w:val="single" w:color="000000" w:sz="4" w:space="0"/>
            </w:tcBorders>
            <w:vAlign w:val="center"/>
          </w:tcPr>
          <w:p w14:paraId="01F7DB43">
            <w:pPr>
              <w:spacing w:line="240" w:lineRule="exact"/>
              <w:jc w:val="center"/>
              <w:rPr>
                <w:rFonts w:eastAsia="黑体"/>
                <w:bCs/>
                <w:color w:val="000000"/>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14:paraId="60DD4F97">
            <w:pPr>
              <w:spacing w:line="240" w:lineRule="exact"/>
              <w:jc w:val="center"/>
              <w:rPr>
                <w:rFonts w:eastAsia="黑体"/>
                <w:bCs/>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14:paraId="6CD7DCA3">
            <w:pPr>
              <w:spacing w:line="240" w:lineRule="exact"/>
              <w:jc w:val="center"/>
              <w:rPr>
                <w:rFonts w:eastAsia="黑体"/>
                <w:bCs/>
                <w:color w:val="000000"/>
                <w:szCs w:val="21"/>
              </w:rPr>
            </w:pPr>
          </w:p>
        </w:tc>
      </w:tr>
      <w:tr w14:paraId="3786CE9C">
        <w:tblPrEx>
          <w:tblCellMar>
            <w:top w:w="0" w:type="dxa"/>
            <w:left w:w="108" w:type="dxa"/>
            <w:bottom w:w="0" w:type="dxa"/>
            <w:right w:w="108" w:type="dxa"/>
          </w:tblCellMar>
        </w:tblPrEx>
        <w:trPr>
          <w:trHeight w:val="276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37A91197">
            <w:pPr>
              <w:widowControl/>
              <w:spacing w:line="240" w:lineRule="exact"/>
              <w:jc w:val="center"/>
              <w:textAlignment w:val="center"/>
              <w:rPr>
                <w:bCs/>
                <w:color w:val="000000"/>
                <w:szCs w:val="21"/>
              </w:rPr>
            </w:pPr>
            <w:r>
              <w:rPr>
                <w:bCs/>
                <w:color w:val="000000"/>
                <w:kern w:val="0"/>
                <w:szCs w:val="21"/>
                <w:lang w:bidi="ar"/>
              </w:rPr>
              <w:t>1</w:t>
            </w:r>
          </w:p>
        </w:tc>
        <w:tc>
          <w:tcPr>
            <w:tcW w:w="865" w:type="dxa"/>
            <w:tcBorders>
              <w:top w:val="single" w:color="000000" w:sz="4" w:space="0"/>
              <w:left w:val="single" w:color="000000" w:sz="4" w:space="0"/>
              <w:bottom w:val="nil"/>
              <w:right w:val="single" w:color="000000" w:sz="4" w:space="0"/>
            </w:tcBorders>
            <w:vAlign w:val="center"/>
          </w:tcPr>
          <w:p w14:paraId="08877E6C">
            <w:pPr>
              <w:widowControl/>
              <w:spacing w:line="240" w:lineRule="exact"/>
              <w:jc w:val="center"/>
              <w:textAlignment w:val="center"/>
              <w:rPr>
                <w:bCs/>
                <w:color w:val="000000"/>
                <w:szCs w:val="21"/>
              </w:rPr>
            </w:pPr>
            <w:r>
              <w:rPr>
                <w:bCs/>
                <w:color w:val="000000"/>
                <w:kern w:val="0"/>
                <w:szCs w:val="21"/>
                <w:lang w:bidi="ar"/>
              </w:rPr>
              <w:t>02-无源手术器械</w:t>
            </w:r>
          </w:p>
        </w:tc>
        <w:tc>
          <w:tcPr>
            <w:tcW w:w="919" w:type="dxa"/>
            <w:tcBorders>
              <w:top w:val="single" w:color="000000" w:sz="4" w:space="0"/>
              <w:left w:val="single" w:color="000000" w:sz="4" w:space="0"/>
              <w:bottom w:val="nil"/>
              <w:right w:val="single" w:color="000000" w:sz="4" w:space="0"/>
            </w:tcBorders>
            <w:vAlign w:val="center"/>
          </w:tcPr>
          <w:p w14:paraId="720D3A16">
            <w:pPr>
              <w:widowControl/>
              <w:spacing w:line="240" w:lineRule="exact"/>
              <w:jc w:val="center"/>
              <w:textAlignment w:val="center"/>
              <w:rPr>
                <w:bCs/>
                <w:color w:val="000000"/>
                <w:szCs w:val="21"/>
              </w:rPr>
            </w:pPr>
            <w:r>
              <w:rPr>
                <w:bCs/>
                <w:color w:val="000000"/>
                <w:kern w:val="0"/>
                <w:szCs w:val="21"/>
                <w:lang w:bidi="ar"/>
              </w:rPr>
              <w:t>15-手术器械-其他器械</w:t>
            </w:r>
          </w:p>
        </w:tc>
        <w:tc>
          <w:tcPr>
            <w:tcW w:w="813" w:type="dxa"/>
            <w:tcBorders>
              <w:top w:val="single" w:color="000000" w:sz="4" w:space="0"/>
              <w:left w:val="single" w:color="000000" w:sz="4" w:space="0"/>
              <w:bottom w:val="nil"/>
              <w:right w:val="single" w:color="000000" w:sz="4" w:space="0"/>
            </w:tcBorders>
            <w:vAlign w:val="center"/>
          </w:tcPr>
          <w:p w14:paraId="7A45DD7E">
            <w:pPr>
              <w:widowControl/>
              <w:spacing w:line="240" w:lineRule="exact"/>
              <w:jc w:val="center"/>
              <w:textAlignment w:val="center"/>
              <w:rPr>
                <w:bCs/>
                <w:color w:val="000000"/>
                <w:szCs w:val="21"/>
              </w:rPr>
            </w:pPr>
            <w:r>
              <w:rPr>
                <w:bCs/>
                <w:color w:val="000000"/>
                <w:kern w:val="0"/>
                <w:szCs w:val="21"/>
                <w:lang w:bidi="ar"/>
              </w:rPr>
              <w:t>14-夹子装置</w:t>
            </w:r>
          </w:p>
        </w:tc>
        <w:tc>
          <w:tcPr>
            <w:tcW w:w="1899" w:type="dxa"/>
            <w:tcBorders>
              <w:top w:val="single" w:color="000000" w:sz="4" w:space="0"/>
              <w:left w:val="single" w:color="000000" w:sz="4" w:space="0"/>
              <w:bottom w:val="nil"/>
              <w:right w:val="single" w:color="000000" w:sz="4" w:space="0"/>
            </w:tcBorders>
            <w:vAlign w:val="center"/>
          </w:tcPr>
          <w:p w14:paraId="02780ACA">
            <w:pPr>
              <w:widowControl/>
              <w:spacing w:line="240" w:lineRule="exact"/>
              <w:jc w:val="center"/>
              <w:textAlignment w:val="center"/>
              <w:rPr>
                <w:bCs/>
                <w:color w:val="000000"/>
                <w:szCs w:val="21"/>
              </w:rPr>
            </w:pPr>
            <w:r>
              <w:rPr>
                <w:bCs/>
                <w:color w:val="000000"/>
                <w:kern w:val="0"/>
                <w:szCs w:val="21"/>
                <w:lang w:bidi="ar"/>
              </w:rPr>
              <w:t>通常由外鞘管、旋转鞘管、夹子组成。夹子一般采用不锈钢材料制成，在体内滞留时间大于等于30天。无菌提供。</w:t>
            </w:r>
          </w:p>
        </w:tc>
        <w:tc>
          <w:tcPr>
            <w:tcW w:w="1351" w:type="dxa"/>
            <w:tcBorders>
              <w:top w:val="single" w:color="000000" w:sz="4" w:space="0"/>
              <w:left w:val="single" w:color="000000" w:sz="4" w:space="0"/>
              <w:bottom w:val="nil"/>
              <w:right w:val="single" w:color="000000" w:sz="4" w:space="0"/>
            </w:tcBorders>
            <w:vAlign w:val="center"/>
          </w:tcPr>
          <w:p w14:paraId="53328A0F">
            <w:pPr>
              <w:widowControl/>
              <w:spacing w:line="240" w:lineRule="exact"/>
              <w:jc w:val="center"/>
              <w:textAlignment w:val="center"/>
              <w:rPr>
                <w:bCs/>
                <w:color w:val="000000"/>
                <w:szCs w:val="21"/>
              </w:rPr>
            </w:pPr>
            <w:r>
              <w:rPr>
                <w:bCs/>
                <w:color w:val="000000"/>
                <w:kern w:val="0"/>
                <w:szCs w:val="21"/>
                <w:lang w:bidi="ar"/>
              </w:rPr>
              <w:t>与内窥镜配套使用，用于在消化道内放置夹子。夹子用于内窥镜下的标记、消化道组织的止血。</w:t>
            </w:r>
          </w:p>
        </w:tc>
        <w:tc>
          <w:tcPr>
            <w:tcW w:w="1074" w:type="dxa"/>
            <w:tcBorders>
              <w:top w:val="single" w:color="000000" w:sz="4" w:space="0"/>
              <w:left w:val="single" w:color="000000" w:sz="4" w:space="0"/>
              <w:bottom w:val="nil"/>
              <w:right w:val="single" w:color="000000" w:sz="4" w:space="0"/>
            </w:tcBorders>
            <w:vAlign w:val="center"/>
          </w:tcPr>
          <w:p w14:paraId="61C679E0">
            <w:pPr>
              <w:widowControl/>
              <w:spacing w:line="240" w:lineRule="exact"/>
              <w:jc w:val="center"/>
              <w:textAlignment w:val="center"/>
              <w:rPr>
                <w:bCs/>
                <w:color w:val="000000"/>
                <w:szCs w:val="21"/>
              </w:rPr>
            </w:pPr>
            <w:r>
              <w:rPr>
                <w:bCs/>
                <w:color w:val="000000"/>
                <w:kern w:val="0"/>
                <w:szCs w:val="21"/>
                <w:lang w:bidi="ar"/>
              </w:rPr>
              <w:t>夹子装置</w:t>
            </w:r>
          </w:p>
        </w:tc>
        <w:tc>
          <w:tcPr>
            <w:tcW w:w="740" w:type="dxa"/>
            <w:tcBorders>
              <w:top w:val="single" w:color="000000" w:sz="4" w:space="0"/>
              <w:left w:val="single" w:color="000000" w:sz="4" w:space="0"/>
              <w:bottom w:val="single" w:color="000000" w:sz="4" w:space="0"/>
              <w:right w:val="single" w:color="000000" w:sz="4" w:space="0"/>
            </w:tcBorders>
            <w:vAlign w:val="center"/>
          </w:tcPr>
          <w:p w14:paraId="66A1CD40">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345AA443">
            <w:pPr>
              <w:widowControl/>
              <w:spacing w:line="240" w:lineRule="exact"/>
              <w:jc w:val="center"/>
              <w:textAlignment w:val="center"/>
              <w:rPr>
                <w:bCs/>
                <w:color w:val="000000"/>
                <w:szCs w:val="21"/>
              </w:rPr>
            </w:pPr>
            <w:r>
              <w:rPr>
                <w:bCs/>
                <w:color w:val="000000"/>
                <w:kern w:val="0"/>
                <w:szCs w:val="21"/>
                <w:lang w:bidi="ar"/>
              </w:rPr>
              <w:t>02-无源手术器械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011C6332">
            <w:pPr>
              <w:widowControl/>
              <w:spacing w:line="240" w:lineRule="exact"/>
              <w:jc w:val="center"/>
              <w:textAlignment w:val="center"/>
              <w:rPr>
                <w:bCs/>
                <w:color w:val="000000"/>
                <w:szCs w:val="21"/>
              </w:rPr>
            </w:pPr>
            <w:r>
              <w:rPr>
                <w:bCs/>
                <w:color w:val="000000"/>
                <w:kern w:val="0"/>
                <w:szCs w:val="21"/>
                <w:lang w:bidi="ar"/>
              </w:rPr>
              <w:t>15-手术器械-其他器械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66608CAB">
            <w:pPr>
              <w:widowControl/>
              <w:spacing w:line="240" w:lineRule="exact"/>
              <w:jc w:val="center"/>
              <w:textAlignment w:val="center"/>
              <w:rPr>
                <w:bCs/>
                <w:color w:val="000000"/>
                <w:szCs w:val="21"/>
              </w:rPr>
            </w:pPr>
            <w:r>
              <w:rPr>
                <w:bCs/>
                <w:color w:val="000000"/>
                <w:kern w:val="0"/>
                <w:szCs w:val="21"/>
                <w:lang w:bidi="ar"/>
              </w:rPr>
              <w:t>14-夹子装置</w:t>
            </w:r>
          </w:p>
        </w:tc>
        <w:tc>
          <w:tcPr>
            <w:tcW w:w="1361" w:type="dxa"/>
            <w:tcBorders>
              <w:top w:val="single" w:color="000000" w:sz="4" w:space="0"/>
              <w:left w:val="single" w:color="000000" w:sz="4" w:space="0"/>
              <w:bottom w:val="single" w:color="000000" w:sz="4" w:space="0"/>
              <w:right w:val="single" w:color="000000" w:sz="4" w:space="0"/>
            </w:tcBorders>
            <w:vAlign w:val="center"/>
          </w:tcPr>
          <w:p w14:paraId="03AD0315">
            <w:pPr>
              <w:widowControl/>
              <w:spacing w:line="240" w:lineRule="exact"/>
              <w:jc w:val="center"/>
              <w:textAlignment w:val="center"/>
              <w:rPr>
                <w:bCs/>
                <w:color w:val="000000"/>
                <w:szCs w:val="21"/>
              </w:rPr>
            </w:pPr>
            <w:r>
              <w:rPr>
                <w:bCs/>
                <w:color w:val="000000"/>
                <w:kern w:val="0"/>
                <w:szCs w:val="21"/>
                <w:lang w:bidi="ar"/>
              </w:rPr>
              <w:t>通常由外鞘管、旋转鞘管、夹子组成。夹子一般采用不锈钢材料制成。无菌提供。</w:t>
            </w:r>
          </w:p>
        </w:tc>
        <w:tc>
          <w:tcPr>
            <w:tcW w:w="1092" w:type="dxa"/>
            <w:tcBorders>
              <w:top w:val="single" w:color="000000" w:sz="4" w:space="0"/>
              <w:left w:val="single" w:color="000000" w:sz="4" w:space="0"/>
              <w:bottom w:val="single" w:color="000000" w:sz="4" w:space="0"/>
              <w:right w:val="single" w:color="000000" w:sz="4" w:space="0"/>
            </w:tcBorders>
            <w:vAlign w:val="center"/>
          </w:tcPr>
          <w:p w14:paraId="2B82DE17">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23BA70F6">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0AA4BA82">
            <w:pPr>
              <w:widowControl/>
              <w:spacing w:line="240" w:lineRule="exact"/>
              <w:jc w:val="center"/>
              <w:textAlignment w:val="center"/>
              <w:rPr>
                <w:bCs/>
                <w:color w:val="000000"/>
                <w:szCs w:val="21"/>
              </w:rPr>
            </w:pPr>
            <w:r>
              <w:rPr>
                <w:bCs/>
                <w:color w:val="000000"/>
                <w:kern w:val="0"/>
                <w:szCs w:val="21"/>
                <w:lang w:bidi="ar"/>
              </w:rPr>
              <w:t>Ⅱ</w:t>
            </w:r>
          </w:p>
        </w:tc>
      </w:tr>
      <w:tr w14:paraId="352F61F7">
        <w:tblPrEx>
          <w:tblCellMar>
            <w:top w:w="0" w:type="dxa"/>
            <w:left w:w="108" w:type="dxa"/>
            <w:bottom w:w="0" w:type="dxa"/>
            <w:right w:w="108" w:type="dxa"/>
          </w:tblCellMar>
        </w:tblPrEx>
        <w:trPr>
          <w:trHeight w:val="338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7E85B106">
            <w:pPr>
              <w:widowControl/>
              <w:spacing w:line="240" w:lineRule="exact"/>
              <w:jc w:val="center"/>
              <w:textAlignment w:val="center"/>
              <w:rPr>
                <w:bCs/>
                <w:color w:val="000000"/>
                <w:szCs w:val="21"/>
              </w:rPr>
            </w:pPr>
            <w:r>
              <w:rPr>
                <w:bCs/>
                <w:color w:val="000000"/>
                <w:kern w:val="0"/>
                <w:szCs w:val="21"/>
                <w:lang w:bidi="ar"/>
              </w:rPr>
              <w:t>2</w:t>
            </w:r>
          </w:p>
        </w:tc>
        <w:tc>
          <w:tcPr>
            <w:tcW w:w="865" w:type="dxa"/>
            <w:tcBorders>
              <w:top w:val="single" w:color="000000" w:sz="4" w:space="0"/>
              <w:left w:val="single" w:color="000000" w:sz="4" w:space="0"/>
              <w:bottom w:val="single" w:color="000000" w:sz="4" w:space="0"/>
              <w:right w:val="single" w:color="000000" w:sz="4" w:space="0"/>
            </w:tcBorders>
            <w:vAlign w:val="center"/>
          </w:tcPr>
          <w:p w14:paraId="5EAF2FE3">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61AE2D8A">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14:paraId="6D9EF79A">
            <w:pPr>
              <w:widowControl/>
              <w:spacing w:line="240" w:lineRule="exact"/>
              <w:jc w:val="center"/>
              <w:textAlignment w:val="center"/>
              <w:rPr>
                <w:bCs/>
                <w:color w:val="000000"/>
                <w:szCs w:val="21"/>
              </w:rPr>
            </w:pPr>
            <w:r>
              <w:rPr>
                <w:bCs/>
                <w:color w:val="000000"/>
                <w:kern w:val="0"/>
                <w:szCs w:val="21"/>
                <w:lang w:bidi="ar"/>
              </w:rPr>
              <w:t>04导管消毒连接器</w:t>
            </w:r>
          </w:p>
        </w:tc>
        <w:tc>
          <w:tcPr>
            <w:tcW w:w="1899" w:type="dxa"/>
            <w:tcBorders>
              <w:top w:val="single" w:color="000000" w:sz="4" w:space="0"/>
              <w:left w:val="single" w:color="000000" w:sz="4" w:space="0"/>
              <w:bottom w:val="single" w:color="000000" w:sz="4" w:space="0"/>
              <w:right w:val="single" w:color="000000" w:sz="4" w:space="0"/>
            </w:tcBorders>
            <w:vAlign w:val="center"/>
          </w:tcPr>
          <w:p w14:paraId="6286C83A">
            <w:pPr>
              <w:widowControl/>
              <w:spacing w:line="240" w:lineRule="exact"/>
              <w:jc w:val="center"/>
              <w:textAlignment w:val="center"/>
              <w:rPr>
                <w:bCs/>
                <w:color w:val="000000"/>
                <w:szCs w:val="21"/>
              </w:rPr>
            </w:pPr>
            <w:r>
              <w:rPr>
                <w:bCs/>
                <w:color w:val="000000"/>
                <w:kern w:val="0"/>
                <w:szCs w:val="21"/>
                <w:lang w:bidi="ar"/>
              </w:rPr>
              <w:t>通常由外接头、内圆锥锁定接头、外接头海绵、内圆锥锁定接头海绵、支撑硅橡胶、连接管和70%异丙醇或乙醇水溶液组成。</w:t>
            </w:r>
          </w:p>
        </w:tc>
        <w:tc>
          <w:tcPr>
            <w:tcW w:w="1351" w:type="dxa"/>
            <w:tcBorders>
              <w:top w:val="single" w:color="000000" w:sz="4" w:space="0"/>
              <w:left w:val="single" w:color="000000" w:sz="4" w:space="0"/>
              <w:bottom w:val="single" w:color="000000" w:sz="4" w:space="0"/>
              <w:right w:val="single" w:color="000000" w:sz="4" w:space="0"/>
            </w:tcBorders>
            <w:vAlign w:val="center"/>
          </w:tcPr>
          <w:p w14:paraId="712F1762">
            <w:pPr>
              <w:widowControl/>
              <w:spacing w:line="240" w:lineRule="exact"/>
              <w:jc w:val="center"/>
              <w:textAlignment w:val="center"/>
              <w:rPr>
                <w:bCs/>
                <w:color w:val="000000"/>
                <w:szCs w:val="21"/>
              </w:rPr>
            </w:pPr>
            <w:r>
              <w:rPr>
                <w:bCs/>
                <w:color w:val="000000"/>
                <w:kern w:val="0"/>
                <w:szCs w:val="21"/>
                <w:lang w:bidi="ar"/>
              </w:rPr>
              <w:t>既用于物理屏障输液（注射）器具无针接头（包括外圆锥锁定接头及内圆锥锁定接头）；也用于对输液（注射）器具无针接头进行消毒。</w:t>
            </w:r>
          </w:p>
        </w:tc>
        <w:tc>
          <w:tcPr>
            <w:tcW w:w="1074" w:type="dxa"/>
            <w:tcBorders>
              <w:top w:val="single" w:color="000000" w:sz="4" w:space="0"/>
              <w:left w:val="single" w:color="000000" w:sz="4" w:space="0"/>
              <w:bottom w:val="single" w:color="000000" w:sz="4" w:space="0"/>
              <w:right w:val="single" w:color="000000" w:sz="4" w:space="0"/>
            </w:tcBorders>
            <w:vAlign w:val="center"/>
          </w:tcPr>
          <w:p w14:paraId="1C4191A3">
            <w:pPr>
              <w:widowControl/>
              <w:spacing w:line="240" w:lineRule="exact"/>
              <w:jc w:val="center"/>
              <w:textAlignment w:val="center"/>
              <w:rPr>
                <w:bCs/>
                <w:color w:val="000000"/>
                <w:szCs w:val="21"/>
              </w:rPr>
            </w:pPr>
            <w:r>
              <w:rPr>
                <w:bCs/>
                <w:color w:val="000000"/>
                <w:kern w:val="0"/>
                <w:szCs w:val="21"/>
                <w:lang w:bidi="ar"/>
              </w:rPr>
              <w:t>导管消毒连接器、输液接头消毒帽</w:t>
            </w:r>
          </w:p>
        </w:tc>
        <w:tc>
          <w:tcPr>
            <w:tcW w:w="740" w:type="dxa"/>
            <w:tcBorders>
              <w:top w:val="single" w:color="000000" w:sz="4" w:space="0"/>
              <w:left w:val="single" w:color="000000" w:sz="4" w:space="0"/>
              <w:bottom w:val="single" w:color="000000" w:sz="4" w:space="0"/>
              <w:right w:val="single" w:color="000000" w:sz="4" w:space="0"/>
            </w:tcBorders>
            <w:vAlign w:val="center"/>
          </w:tcPr>
          <w:p w14:paraId="258D59BF">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714245A0">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4B452F05">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6729DDA4">
            <w:pPr>
              <w:widowControl/>
              <w:spacing w:line="240" w:lineRule="exact"/>
              <w:jc w:val="center"/>
              <w:textAlignment w:val="center"/>
              <w:rPr>
                <w:bCs/>
                <w:color w:val="000000"/>
                <w:szCs w:val="21"/>
              </w:rPr>
            </w:pPr>
            <w:r>
              <w:rPr>
                <w:bCs/>
                <w:color w:val="000000"/>
                <w:kern w:val="0"/>
                <w:szCs w:val="21"/>
                <w:lang w:bidi="ar"/>
              </w:rPr>
              <w:t>04导管消毒连接器</w:t>
            </w:r>
          </w:p>
        </w:tc>
        <w:tc>
          <w:tcPr>
            <w:tcW w:w="1361" w:type="dxa"/>
            <w:tcBorders>
              <w:top w:val="single" w:color="000000" w:sz="4" w:space="0"/>
              <w:left w:val="single" w:color="000000" w:sz="4" w:space="0"/>
              <w:bottom w:val="single" w:color="000000" w:sz="4" w:space="0"/>
              <w:right w:val="single" w:color="000000" w:sz="4" w:space="0"/>
            </w:tcBorders>
            <w:vAlign w:val="center"/>
          </w:tcPr>
          <w:p w14:paraId="4ABD67D1">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0FE28A2C">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4DD5550F">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22CBF012">
            <w:pPr>
              <w:widowControl/>
              <w:spacing w:line="240" w:lineRule="exact"/>
              <w:jc w:val="center"/>
              <w:textAlignment w:val="center"/>
              <w:rPr>
                <w:bCs/>
                <w:color w:val="000000"/>
                <w:szCs w:val="21"/>
              </w:rPr>
            </w:pPr>
            <w:r>
              <w:rPr>
                <w:bCs/>
                <w:color w:val="000000"/>
                <w:kern w:val="0"/>
                <w:szCs w:val="21"/>
                <w:lang w:bidi="ar"/>
              </w:rPr>
              <w:t>Ⅱ</w:t>
            </w:r>
          </w:p>
        </w:tc>
      </w:tr>
      <w:tr w14:paraId="201324F2">
        <w:tblPrEx>
          <w:tblCellMar>
            <w:top w:w="0" w:type="dxa"/>
            <w:left w:w="108" w:type="dxa"/>
            <w:bottom w:w="0" w:type="dxa"/>
            <w:right w:w="108" w:type="dxa"/>
          </w:tblCellMar>
        </w:tblPrEx>
        <w:trPr>
          <w:trHeight w:val="1997"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3D5E1FCD">
            <w:pPr>
              <w:widowControl/>
              <w:spacing w:line="240" w:lineRule="exact"/>
              <w:jc w:val="center"/>
              <w:textAlignment w:val="center"/>
              <w:rPr>
                <w:bCs/>
                <w:color w:val="000000"/>
                <w:szCs w:val="21"/>
              </w:rPr>
            </w:pPr>
            <w:r>
              <w:rPr>
                <w:bCs/>
                <w:color w:val="000000"/>
                <w:kern w:val="0"/>
                <w:szCs w:val="21"/>
                <w:lang w:bidi="ar"/>
              </w:rPr>
              <w:t>3</w:t>
            </w:r>
          </w:p>
        </w:tc>
        <w:tc>
          <w:tcPr>
            <w:tcW w:w="865" w:type="dxa"/>
            <w:tcBorders>
              <w:top w:val="single" w:color="000000" w:sz="4" w:space="0"/>
              <w:left w:val="single" w:color="000000" w:sz="4" w:space="0"/>
              <w:bottom w:val="single" w:color="000000" w:sz="4" w:space="0"/>
              <w:right w:val="single" w:color="000000" w:sz="4" w:space="0"/>
            </w:tcBorders>
            <w:vAlign w:val="center"/>
          </w:tcPr>
          <w:p w14:paraId="0BDF576A">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306BD084">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14:paraId="6C8BCCC1">
            <w:pPr>
              <w:widowControl/>
              <w:spacing w:line="240" w:lineRule="exact"/>
              <w:jc w:val="center"/>
              <w:textAlignment w:val="center"/>
              <w:rPr>
                <w:bCs/>
                <w:color w:val="000000"/>
                <w:szCs w:val="21"/>
              </w:rPr>
            </w:pPr>
            <w:r>
              <w:rPr>
                <w:bCs/>
                <w:color w:val="000000"/>
                <w:kern w:val="0"/>
                <w:szCs w:val="21"/>
                <w:lang w:bidi="ar"/>
              </w:rPr>
              <w:t>12-穿刺针</w:t>
            </w:r>
          </w:p>
        </w:tc>
        <w:tc>
          <w:tcPr>
            <w:tcW w:w="1899" w:type="dxa"/>
            <w:tcBorders>
              <w:top w:val="single" w:color="000000" w:sz="4" w:space="0"/>
              <w:left w:val="single" w:color="000000" w:sz="4" w:space="0"/>
              <w:bottom w:val="single" w:color="000000" w:sz="4" w:space="0"/>
              <w:right w:val="single" w:color="000000" w:sz="4" w:space="0"/>
            </w:tcBorders>
            <w:vAlign w:val="center"/>
          </w:tcPr>
          <w:p w14:paraId="696FF723">
            <w:pPr>
              <w:widowControl/>
              <w:spacing w:line="240" w:lineRule="exact"/>
              <w:jc w:val="center"/>
              <w:textAlignment w:val="center"/>
              <w:rPr>
                <w:bCs/>
                <w:color w:val="000000"/>
                <w:szCs w:val="21"/>
              </w:rPr>
            </w:pPr>
            <w:r>
              <w:rPr>
                <w:bCs/>
                <w:color w:val="000000"/>
                <w:kern w:val="0"/>
                <w:szCs w:val="21"/>
                <w:lang w:bidi="ar"/>
              </w:rPr>
              <w:t>通常是尖部锋利的刚性管。</w:t>
            </w:r>
          </w:p>
        </w:tc>
        <w:tc>
          <w:tcPr>
            <w:tcW w:w="1351" w:type="dxa"/>
            <w:tcBorders>
              <w:top w:val="single" w:color="000000" w:sz="4" w:space="0"/>
              <w:left w:val="single" w:color="000000" w:sz="4" w:space="0"/>
              <w:bottom w:val="single" w:color="000000" w:sz="4" w:space="0"/>
              <w:right w:val="single" w:color="000000" w:sz="4" w:space="0"/>
            </w:tcBorders>
            <w:vAlign w:val="center"/>
          </w:tcPr>
          <w:p w14:paraId="5B9DB200">
            <w:pPr>
              <w:widowControl/>
              <w:spacing w:line="240" w:lineRule="exact"/>
              <w:jc w:val="center"/>
              <w:textAlignment w:val="center"/>
              <w:rPr>
                <w:bCs/>
                <w:color w:val="000000"/>
                <w:szCs w:val="21"/>
              </w:rPr>
            </w:pPr>
            <w:r>
              <w:rPr>
                <w:bCs/>
                <w:color w:val="000000"/>
                <w:kern w:val="0"/>
                <w:szCs w:val="21"/>
                <w:lang w:bidi="ar"/>
              </w:rPr>
              <w:t>用于将导丝或导管引入血管。</w:t>
            </w:r>
          </w:p>
        </w:tc>
        <w:tc>
          <w:tcPr>
            <w:tcW w:w="1074" w:type="dxa"/>
            <w:tcBorders>
              <w:top w:val="single" w:color="000000" w:sz="4" w:space="0"/>
              <w:left w:val="single" w:color="000000" w:sz="4" w:space="0"/>
              <w:bottom w:val="single" w:color="000000" w:sz="4" w:space="0"/>
              <w:right w:val="single" w:color="000000" w:sz="4" w:space="0"/>
            </w:tcBorders>
            <w:vAlign w:val="center"/>
          </w:tcPr>
          <w:p w14:paraId="1CB9BFF0">
            <w:pPr>
              <w:widowControl/>
              <w:spacing w:line="240" w:lineRule="exact"/>
              <w:jc w:val="center"/>
              <w:textAlignment w:val="center"/>
              <w:rPr>
                <w:bCs/>
                <w:color w:val="000000"/>
                <w:szCs w:val="21"/>
              </w:rPr>
            </w:pPr>
            <w:r>
              <w:rPr>
                <w:bCs/>
                <w:color w:val="000000"/>
                <w:kern w:val="0"/>
                <w:szCs w:val="21"/>
                <w:lang w:bidi="ar"/>
              </w:rPr>
              <w:t>血管穿刺针</w:t>
            </w:r>
          </w:p>
        </w:tc>
        <w:tc>
          <w:tcPr>
            <w:tcW w:w="740" w:type="dxa"/>
            <w:tcBorders>
              <w:top w:val="single" w:color="000000" w:sz="4" w:space="0"/>
              <w:left w:val="single" w:color="000000" w:sz="4" w:space="0"/>
              <w:bottom w:val="single" w:color="000000" w:sz="4" w:space="0"/>
              <w:right w:val="single" w:color="000000" w:sz="4" w:space="0"/>
            </w:tcBorders>
            <w:vAlign w:val="center"/>
          </w:tcPr>
          <w:p w14:paraId="249C0C6D">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1115A94D">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417BBE59">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35A6B8E1">
            <w:pPr>
              <w:widowControl/>
              <w:spacing w:line="240" w:lineRule="exact"/>
              <w:jc w:val="center"/>
              <w:textAlignment w:val="center"/>
              <w:rPr>
                <w:bCs/>
                <w:color w:val="000000"/>
                <w:szCs w:val="21"/>
              </w:rPr>
            </w:pPr>
            <w:r>
              <w:rPr>
                <w:bCs/>
                <w:color w:val="000000"/>
                <w:kern w:val="0"/>
                <w:szCs w:val="21"/>
                <w:lang w:bidi="ar"/>
              </w:rPr>
              <w:t>12-穿刺针</w:t>
            </w:r>
          </w:p>
        </w:tc>
        <w:tc>
          <w:tcPr>
            <w:tcW w:w="1361" w:type="dxa"/>
            <w:tcBorders>
              <w:top w:val="single" w:color="000000" w:sz="4" w:space="0"/>
              <w:left w:val="single" w:color="000000" w:sz="4" w:space="0"/>
              <w:bottom w:val="single" w:color="000000" w:sz="4" w:space="0"/>
              <w:right w:val="single" w:color="000000" w:sz="4" w:space="0"/>
            </w:tcBorders>
            <w:vAlign w:val="center"/>
          </w:tcPr>
          <w:p w14:paraId="4774BF18">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34A42199">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1199CAD7">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03EF6594">
            <w:pPr>
              <w:widowControl/>
              <w:spacing w:line="240" w:lineRule="exact"/>
              <w:jc w:val="center"/>
              <w:textAlignment w:val="center"/>
              <w:rPr>
                <w:bCs/>
                <w:color w:val="000000"/>
                <w:szCs w:val="21"/>
              </w:rPr>
            </w:pPr>
            <w:r>
              <w:rPr>
                <w:bCs/>
                <w:color w:val="000000"/>
                <w:kern w:val="0"/>
                <w:szCs w:val="21"/>
                <w:lang w:bidi="ar"/>
              </w:rPr>
              <w:t>Ⅱ</w:t>
            </w:r>
          </w:p>
        </w:tc>
      </w:tr>
      <w:tr w14:paraId="0479ECE1">
        <w:tblPrEx>
          <w:tblCellMar>
            <w:top w:w="0" w:type="dxa"/>
            <w:left w:w="108" w:type="dxa"/>
            <w:bottom w:w="0" w:type="dxa"/>
            <w:right w:w="108" w:type="dxa"/>
          </w:tblCellMar>
        </w:tblPrEx>
        <w:trPr>
          <w:trHeight w:val="2758"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vAlign w:val="center"/>
          </w:tcPr>
          <w:p w14:paraId="54B454B4">
            <w:pPr>
              <w:widowControl/>
              <w:spacing w:line="240" w:lineRule="exact"/>
              <w:jc w:val="center"/>
              <w:textAlignment w:val="center"/>
              <w:rPr>
                <w:bCs/>
                <w:color w:val="000000"/>
                <w:szCs w:val="21"/>
              </w:rPr>
            </w:pPr>
            <w:r>
              <w:rPr>
                <w:bCs/>
                <w:color w:val="000000"/>
                <w:kern w:val="0"/>
                <w:szCs w:val="21"/>
                <w:lang w:bidi="ar"/>
              </w:rPr>
              <w:t>4</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14:paraId="1214F2A0">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18AFE1B6">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14:paraId="675EE304">
            <w:pPr>
              <w:widowControl/>
              <w:spacing w:line="240" w:lineRule="exact"/>
              <w:jc w:val="center"/>
              <w:textAlignment w:val="center"/>
              <w:rPr>
                <w:bCs/>
                <w:color w:val="000000"/>
                <w:szCs w:val="21"/>
              </w:rPr>
            </w:pPr>
            <w:r>
              <w:rPr>
                <w:bCs/>
                <w:color w:val="000000"/>
                <w:kern w:val="0"/>
                <w:szCs w:val="21"/>
                <w:lang w:bidi="ar"/>
              </w:rPr>
              <w:t>14-导管鞘</w:t>
            </w:r>
          </w:p>
        </w:tc>
        <w:tc>
          <w:tcPr>
            <w:tcW w:w="1899" w:type="dxa"/>
            <w:vMerge w:val="restart"/>
            <w:tcBorders>
              <w:top w:val="single" w:color="000000" w:sz="4" w:space="0"/>
              <w:left w:val="single" w:color="000000" w:sz="4" w:space="0"/>
              <w:bottom w:val="single" w:color="000000" w:sz="4" w:space="0"/>
              <w:right w:val="single" w:color="000000" w:sz="4" w:space="0"/>
            </w:tcBorders>
            <w:vAlign w:val="center"/>
          </w:tcPr>
          <w:p w14:paraId="58A33E70">
            <w:pPr>
              <w:widowControl/>
              <w:spacing w:line="240" w:lineRule="exact"/>
              <w:jc w:val="center"/>
              <w:textAlignment w:val="center"/>
              <w:rPr>
                <w:bCs/>
                <w:color w:val="000000"/>
                <w:szCs w:val="21"/>
              </w:rPr>
            </w:pPr>
            <w:r>
              <w:rPr>
                <w:bCs/>
                <w:color w:val="000000"/>
                <w:kern w:val="0"/>
                <w:szCs w:val="21"/>
                <w:lang w:bidi="ar"/>
              </w:rPr>
              <w:t>通常由鞘管、接头组成，也可配备止血阀、侧管等结构，某些导管鞘设计为可撕开式。鞘管内腔一般较大。</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14:paraId="404E374E">
            <w:pPr>
              <w:widowControl/>
              <w:spacing w:line="240" w:lineRule="exact"/>
              <w:jc w:val="center"/>
              <w:textAlignment w:val="center"/>
              <w:rPr>
                <w:bCs/>
                <w:color w:val="000000"/>
                <w:szCs w:val="21"/>
              </w:rPr>
            </w:pPr>
            <w:r>
              <w:rPr>
                <w:bCs/>
                <w:color w:val="000000"/>
                <w:kern w:val="0"/>
                <w:szCs w:val="21"/>
                <w:lang w:bidi="ar"/>
              </w:rPr>
              <w:t>与扩张器配合使用，用于将导丝、导管等医疗器械插入血管。</w:t>
            </w:r>
          </w:p>
        </w:tc>
        <w:tc>
          <w:tcPr>
            <w:tcW w:w="1074" w:type="dxa"/>
            <w:vMerge w:val="restart"/>
            <w:tcBorders>
              <w:top w:val="single" w:color="000000" w:sz="4" w:space="0"/>
              <w:left w:val="single" w:color="000000" w:sz="4" w:space="0"/>
              <w:bottom w:val="single" w:color="000000" w:sz="4" w:space="0"/>
              <w:right w:val="single" w:color="000000" w:sz="4" w:space="0"/>
            </w:tcBorders>
            <w:vAlign w:val="center"/>
          </w:tcPr>
          <w:p w14:paraId="59961A99">
            <w:pPr>
              <w:widowControl/>
              <w:spacing w:line="240" w:lineRule="exact"/>
              <w:jc w:val="center"/>
              <w:textAlignment w:val="center"/>
              <w:rPr>
                <w:bCs/>
                <w:color w:val="000000"/>
                <w:szCs w:val="21"/>
              </w:rPr>
            </w:pPr>
            <w:r>
              <w:rPr>
                <w:bCs/>
                <w:color w:val="000000"/>
                <w:kern w:val="0"/>
                <w:szCs w:val="21"/>
                <w:lang w:bidi="ar"/>
              </w:rPr>
              <w:t>导管鞘、导引鞘、动脉鞘、静脉血管鞘、微穿刺血管鞘、撕开型血管鞘</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14:paraId="08A58B36">
            <w:pPr>
              <w:widowControl/>
              <w:spacing w:line="240" w:lineRule="exact"/>
              <w:jc w:val="center"/>
              <w:textAlignment w:val="center"/>
              <w:rPr>
                <w:bCs/>
                <w:color w:val="000000"/>
                <w:szCs w:val="21"/>
              </w:rPr>
            </w:pPr>
            <w:r>
              <w:rPr>
                <w:bCs/>
                <w:color w:val="000000"/>
                <w:kern w:val="0"/>
                <w:szCs w:val="21"/>
                <w:lang w:bidi="ar"/>
              </w:rPr>
              <w:t>Ⅲ</w:t>
            </w:r>
          </w:p>
        </w:tc>
        <w:tc>
          <w:tcPr>
            <w:tcW w:w="853" w:type="dxa"/>
            <w:vMerge w:val="restart"/>
            <w:tcBorders>
              <w:top w:val="single" w:color="000000" w:sz="4" w:space="0"/>
              <w:left w:val="single" w:color="000000" w:sz="4" w:space="0"/>
              <w:bottom w:val="single" w:color="000000" w:sz="4" w:space="0"/>
              <w:right w:val="single" w:color="000000" w:sz="4" w:space="0"/>
            </w:tcBorders>
            <w:vAlign w:val="center"/>
          </w:tcPr>
          <w:p w14:paraId="01F30104">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14:paraId="0907C5A1">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14:paraId="2A7189AD">
            <w:pPr>
              <w:widowControl/>
              <w:spacing w:line="240" w:lineRule="exact"/>
              <w:jc w:val="center"/>
              <w:textAlignment w:val="center"/>
              <w:rPr>
                <w:bCs/>
                <w:color w:val="000000"/>
                <w:szCs w:val="21"/>
              </w:rPr>
            </w:pPr>
            <w:r>
              <w:rPr>
                <w:bCs/>
                <w:color w:val="000000"/>
                <w:kern w:val="0"/>
                <w:szCs w:val="21"/>
                <w:lang w:bidi="ar"/>
              </w:rPr>
              <w:t>14-导管鞘</w:t>
            </w:r>
          </w:p>
        </w:tc>
        <w:tc>
          <w:tcPr>
            <w:tcW w:w="1361" w:type="dxa"/>
            <w:vMerge w:val="restart"/>
            <w:tcBorders>
              <w:top w:val="single" w:color="000000" w:sz="4" w:space="0"/>
              <w:left w:val="single" w:color="000000" w:sz="4" w:space="0"/>
              <w:bottom w:val="single" w:color="000000" w:sz="4" w:space="0"/>
              <w:right w:val="single" w:color="000000" w:sz="4" w:space="0"/>
            </w:tcBorders>
            <w:vAlign w:val="center"/>
          </w:tcPr>
          <w:p w14:paraId="050704AD">
            <w:pPr>
              <w:widowControl/>
              <w:spacing w:line="240" w:lineRule="exact"/>
              <w:jc w:val="center"/>
              <w:textAlignment w:val="center"/>
              <w:rPr>
                <w:bCs/>
                <w:color w:val="000000"/>
                <w:szCs w:val="21"/>
              </w:rPr>
            </w:pPr>
            <w:r>
              <w:rPr>
                <w:bCs/>
                <w:color w:val="000000"/>
                <w:kern w:val="0"/>
                <w:szCs w:val="21"/>
                <w:lang w:bidi="ar"/>
              </w:rPr>
              <w:t>无变化</w:t>
            </w:r>
          </w:p>
        </w:tc>
        <w:tc>
          <w:tcPr>
            <w:tcW w:w="1092" w:type="dxa"/>
            <w:vMerge w:val="restart"/>
            <w:tcBorders>
              <w:top w:val="single" w:color="000000" w:sz="4" w:space="0"/>
              <w:left w:val="single" w:color="000000" w:sz="4" w:space="0"/>
              <w:bottom w:val="single" w:color="000000" w:sz="4" w:space="0"/>
              <w:right w:val="single" w:color="000000" w:sz="4" w:space="0"/>
            </w:tcBorders>
            <w:vAlign w:val="center"/>
          </w:tcPr>
          <w:p w14:paraId="4715B53B">
            <w:pPr>
              <w:widowControl/>
              <w:spacing w:line="240" w:lineRule="exact"/>
              <w:jc w:val="center"/>
              <w:textAlignment w:val="center"/>
              <w:rPr>
                <w:bCs/>
                <w:color w:val="000000"/>
                <w:szCs w:val="21"/>
              </w:rPr>
            </w:pPr>
            <w:r>
              <w:rPr>
                <w:bCs/>
                <w:color w:val="000000"/>
                <w:kern w:val="0"/>
                <w:szCs w:val="21"/>
                <w:lang w:bidi="ar"/>
              </w:rPr>
              <w:t>无变化</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14:paraId="513E70F1">
            <w:pPr>
              <w:widowControl/>
              <w:spacing w:line="240" w:lineRule="exact"/>
              <w:jc w:val="center"/>
              <w:textAlignment w:val="center"/>
              <w:rPr>
                <w:bCs/>
                <w:color w:val="000000"/>
                <w:szCs w:val="21"/>
              </w:rPr>
            </w:pPr>
            <w:r>
              <w:rPr>
                <w:bCs/>
                <w:color w:val="000000"/>
                <w:kern w:val="0"/>
                <w:szCs w:val="21"/>
                <w:lang w:bidi="ar"/>
              </w:rPr>
              <w:t>无变化</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14:paraId="4711708A">
            <w:pPr>
              <w:widowControl/>
              <w:spacing w:line="240" w:lineRule="exact"/>
              <w:jc w:val="center"/>
              <w:textAlignment w:val="center"/>
              <w:rPr>
                <w:bCs/>
                <w:color w:val="000000"/>
                <w:szCs w:val="21"/>
              </w:rPr>
            </w:pPr>
            <w:r>
              <w:rPr>
                <w:bCs/>
                <w:color w:val="000000"/>
                <w:kern w:val="0"/>
                <w:szCs w:val="21"/>
                <w:lang w:bidi="ar"/>
              </w:rPr>
              <w:t>Ⅱ</w:t>
            </w:r>
          </w:p>
        </w:tc>
      </w:tr>
      <w:tr w14:paraId="5E06D7A9">
        <w:tblPrEx>
          <w:tblCellMar>
            <w:top w:w="0" w:type="dxa"/>
            <w:left w:w="108" w:type="dxa"/>
            <w:bottom w:w="0" w:type="dxa"/>
            <w:right w:w="108" w:type="dxa"/>
          </w:tblCellMar>
        </w:tblPrEx>
        <w:trPr>
          <w:trHeight w:val="2283"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5D1D7060">
            <w:pPr>
              <w:widowControl/>
              <w:spacing w:line="240" w:lineRule="exact"/>
              <w:jc w:val="center"/>
              <w:textAlignment w:val="center"/>
              <w:rPr>
                <w:bCs/>
                <w:color w:val="000000"/>
                <w:szCs w:val="21"/>
              </w:rPr>
            </w:pPr>
            <w:r>
              <w:rPr>
                <w:bCs/>
                <w:color w:val="000000"/>
                <w:kern w:val="0"/>
                <w:szCs w:val="21"/>
                <w:lang w:bidi="ar"/>
              </w:rPr>
              <w:t>5</w:t>
            </w:r>
          </w:p>
        </w:tc>
        <w:tc>
          <w:tcPr>
            <w:tcW w:w="865" w:type="dxa"/>
            <w:tcBorders>
              <w:top w:val="single" w:color="000000" w:sz="4" w:space="0"/>
              <w:left w:val="single" w:color="000000" w:sz="4" w:space="0"/>
              <w:bottom w:val="single" w:color="000000" w:sz="4" w:space="0"/>
              <w:right w:val="single" w:color="000000" w:sz="4" w:space="0"/>
            </w:tcBorders>
            <w:vAlign w:val="center"/>
          </w:tcPr>
          <w:p w14:paraId="1B9AA905">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79EB09CB">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14:paraId="7E1B1056">
            <w:pPr>
              <w:widowControl/>
              <w:spacing w:line="240" w:lineRule="exact"/>
              <w:jc w:val="center"/>
              <w:textAlignment w:val="center"/>
              <w:rPr>
                <w:bCs/>
                <w:color w:val="000000"/>
                <w:szCs w:val="21"/>
              </w:rPr>
            </w:pPr>
            <w:r>
              <w:rPr>
                <w:bCs/>
                <w:color w:val="000000"/>
                <w:kern w:val="0"/>
                <w:szCs w:val="21"/>
                <w:lang w:bidi="ar"/>
              </w:rPr>
              <w:t>15-扩张器</w:t>
            </w:r>
          </w:p>
        </w:tc>
        <w:tc>
          <w:tcPr>
            <w:tcW w:w="1899" w:type="dxa"/>
            <w:tcBorders>
              <w:top w:val="single" w:color="000000" w:sz="4" w:space="0"/>
              <w:left w:val="single" w:color="000000" w:sz="4" w:space="0"/>
              <w:bottom w:val="single" w:color="000000" w:sz="4" w:space="0"/>
              <w:right w:val="single" w:color="000000" w:sz="4" w:space="0"/>
            </w:tcBorders>
            <w:vAlign w:val="center"/>
          </w:tcPr>
          <w:p w14:paraId="7C6743DA">
            <w:pPr>
              <w:widowControl/>
              <w:spacing w:line="240" w:lineRule="exact"/>
              <w:jc w:val="center"/>
              <w:textAlignment w:val="center"/>
              <w:rPr>
                <w:bCs/>
                <w:color w:val="000000"/>
                <w:szCs w:val="21"/>
              </w:rPr>
            </w:pPr>
            <w:r>
              <w:rPr>
                <w:bCs/>
                <w:color w:val="000000"/>
                <w:kern w:val="0"/>
                <w:szCs w:val="21"/>
                <w:lang w:bidi="ar"/>
              </w:rPr>
              <w:t>通常由管身和接头组成。管身一般较厚，不易弯折。扩张器头端一般为锥形。无菌提供。</w:t>
            </w:r>
          </w:p>
        </w:tc>
        <w:tc>
          <w:tcPr>
            <w:tcW w:w="1351" w:type="dxa"/>
            <w:tcBorders>
              <w:top w:val="single" w:color="000000" w:sz="4" w:space="0"/>
              <w:left w:val="single" w:color="000000" w:sz="4" w:space="0"/>
              <w:bottom w:val="single" w:color="000000" w:sz="4" w:space="0"/>
              <w:right w:val="single" w:color="000000" w:sz="4" w:space="0"/>
            </w:tcBorders>
            <w:vAlign w:val="center"/>
          </w:tcPr>
          <w:p w14:paraId="31DA0E75">
            <w:pPr>
              <w:widowControl/>
              <w:spacing w:line="240" w:lineRule="exact"/>
              <w:jc w:val="center"/>
              <w:textAlignment w:val="center"/>
              <w:rPr>
                <w:bCs/>
                <w:color w:val="000000"/>
                <w:szCs w:val="21"/>
              </w:rPr>
            </w:pPr>
            <w:r>
              <w:rPr>
                <w:bCs/>
                <w:color w:val="000000"/>
                <w:kern w:val="0"/>
                <w:szCs w:val="21"/>
                <w:lang w:bidi="ar"/>
              </w:rPr>
              <w:t>用于对进入血管的经皮穿刺通道及血管通道进行扩张的柔性管状器械。</w:t>
            </w:r>
          </w:p>
        </w:tc>
        <w:tc>
          <w:tcPr>
            <w:tcW w:w="1074" w:type="dxa"/>
            <w:tcBorders>
              <w:top w:val="single" w:color="000000" w:sz="4" w:space="0"/>
              <w:left w:val="single" w:color="000000" w:sz="4" w:space="0"/>
              <w:bottom w:val="single" w:color="000000" w:sz="4" w:space="0"/>
              <w:right w:val="single" w:color="000000" w:sz="4" w:space="0"/>
            </w:tcBorders>
            <w:vAlign w:val="center"/>
          </w:tcPr>
          <w:p w14:paraId="59672E24">
            <w:pPr>
              <w:widowControl/>
              <w:spacing w:line="240" w:lineRule="exact"/>
              <w:jc w:val="center"/>
              <w:textAlignment w:val="center"/>
              <w:rPr>
                <w:bCs/>
                <w:color w:val="000000"/>
                <w:szCs w:val="21"/>
              </w:rPr>
            </w:pPr>
            <w:r>
              <w:rPr>
                <w:bCs/>
                <w:color w:val="000000"/>
                <w:kern w:val="0"/>
                <w:szCs w:val="21"/>
                <w:lang w:bidi="ar"/>
              </w:rPr>
              <w:t>扩张器</w:t>
            </w:r>
          </w:p>
        </w:tc>
        <w:tc>
          <w:tcPr>
            <w:tcW w:w="740" w:type="dxa"/>
            <w:tcBorders>
              <w:top w:val="single" w:color="000000" w:sz="4" w:space="0"/>
              <w:left w:val="single" w:color="000000" w:sz="4" w:space="0"/>
              <w:bottom w:val="single" w:color="000000" w:sz="4" w:space="0"/>
              <w:right w:val="single" w:color="000000" w:sz="4" w:space="0"/>
            </w:tcBorders>
            <w:vAlign w:val="center"/>
          </w:tcPr>
          <w:p w14:paraId="12211C83">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19D5FCB8">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5F6F1F16">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440D50B1">
            <w:pPr>
              <w:widowControl/>
              <w:spacing w:line="240" w:lineRule="exact"/>
              <w:jc w:val="center"/>
              <w:textAlignment w:val="center"/>
              <w:rPr>
                <w:bCs/>
                <w:color w:val="000000"/>
                <w:szCs w:val="21"/>
              </w:rPr>
            </w:pPr>
            <w:r>
              <w:rPr>
                <w:bCs/>
                <w:color w:val="000000"/>
                <w:kern w:val="0"/>
                <w:szCs w:val="21"/>
                <w:lang w:bidi="ar"/>
              </w:rPr>
              <w:t>15-扩张器</w:t>
            </w:r>
          </w:p>
        </w:tc>
        <w:tc>
          <w:tcPr>
            <w:tcW w:w="1361" w:type="dxa"/>
            <w:tcBorders>
              <w:top w:val="single" w:color="000000" w:sz="4" w:space="0"/>
              <w:left w:val="single" w:color="000000" w:sz="4" w:space="0"/>
              <w:bottom w:val="single" w:color="000000" w:sz="4" w:space="0"/>
              <w:right w:val="single" w:color="000000" w:sz="4" w:space="0"/>
            </w:tcBorders>
            <w:vAlign w:val="center"/>
          </w:tcPr>
          <w:p w14:paraId="3B92E962">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204599C0">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0CCCE962">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39714FBC">
            <w:pPr>
              <w:widowControl/>
              <w:spacing w:line="240" w:lineRule="exact"/>
              <w:jc w:val="center"/>
              <w:textAlignment w:val="center"/>
              <w:rPr>
                <w:bCs/>
                <w:color w:val="000000"/>
                <w:szCs w:val="21"/>
              </w:rPr>
            </w:pPr>
            <w:r>
              <w:rPr>
                <w:bCs/>
                <w:color w:val="000000"/>
                <w:kern w:val="0"/>
                <w:szCs w:val="21"/>
                <w:lang w:bidi="ar"/>
              </w:rPr>
              <w:t>Ⅱ</w:t>
            </w:r>
          </w:p>
        </w:tc>
      </w:tr>
      <w:tr w14:paraId="114597CC">
        <w:tblPrEx>
          <w:tblCellMar>
            <w:top w:w="0" w:type="dxa"/>
            <w:left w:w="108" w:type="dxa"/>
            <w:bottom w:w="0" w:type="dxa"/>
            <w:right w:w="108" w:type="dxa"/>
          </w:tblCellMar>
        </w:tblPrEx>
        <w:trPr>
          <w:trHeight w:val="2326"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11CB9034">
            <w:pPr>
              <w:widowControl/>
              <w:spacing w:line="240" w:lineRule="exact"/>
              <w:jc w:val="center"/>
              <w:textAlignment w:val="center"/>
              <w:rPr>
                <w:bCs/>
                <w:color w:val="000000"/>
                <w:szCs w:val="21"/>
              </w:rPr>
            </w:pPr>
            <w:r>
              <w:rPr>
                <w:bCs/>
                <w:color w:val="000000"/>
                <w:kern w:val="0"/>
                <w:szCs w:val="21"/>
                <w:lang w:bidi="ar"/>
              </w:rPr>
              <w:t>6</w:t>
            </w:r>
          </w:p>
        </w:tc>
        <w:tc>
          <w:tcPr>
            <w:tcW w:w="865" w:type="dxa"/>
            <w:tcBorders>
              <w:top w:val="single" w:color="000000" w:sz="4" w:space="0"/>
              <w:left w:val="single" w:color="000000" w:sz="4" w:space="0"/>
              <w:bottom w:val="single" w:color="000000" w:sz="4" w:space="0"/>
              <w:right w:val="single" w:color="000000" w:sz="4" w:space="0"/>
            </w:tcBorders>
            <w:vAlign w:val="center"/>
          </w:tcPr>
          <w:p w14:paraId="2FA93003">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7FB3B001">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14:paraId="2E390E3A">
            <w:pPr>
              <w:widowControl/>
              <w:spacing w:line="240" w:lineRule="exact"/>
              <w:jc w:val="center"/>
              <w:textAlignment w:val="center"/>
              <w:rPr>
                <w:bCs/>
                <w:color w:val="000000"/>
                <w:szCs w:val="21"/>
              </w:rPr>
            </w:pPr>
            <w:r>
              <w:rPr>
                <w:bCs/>
                <w:color w:val="000000"/>
                <w:kern w:val="0"/>
                <w:szCs w:val="21"/>
                <w:lang w:bidi="ar"/>
              </w:rPr>
              <w:t>18-连接阀</w:t>
            </w:r>
          </w:p>
        </w:tc>
        <w:tc>
          <w:tcPr>
            <w:tcW w:w="1899" w:type="dxa"/>
            <w:tcBorders>
              <w:top w:val="single" w:color="000000" w:sz="4" w:space="0"/>
              <w:left w:val="single" w:color="000000" w:sz="4" w:space="0"/>
              <w:bottom w:val="single" w:color="000000" w:sz="4" w:space="0"/>
              <w:right w:val="single" w:color="000000" w:sz="4" w:space="0"/>
            </w:tcBorders>
            <w:vAlign w:val="center"/>
          </w:tcPr>
          <w:p w14:paraId="0E1E7440">
            <w:pPr>
              <w:widowControl/>
              <w:spacing w:line="240" w:lineRule="exact"/>
              <w:jc w:val="center"/>
              <w:textAlignment w:val="center"/>
              <w:rPr>
                <w:bCs/>
                <w:color w:val="000000"/>
                <w:szCs w:val="21"/>
              </w:rPr>
            </w:pPr>
            <w:r>
              <w:rPr>
                <w:bCs/>
                <w:color w:val="000000"/>
                <w:kern w:val="0"/>
                <w:szCs w:val="21"/>
                <w:lang w:bidi="ar"/>
              </w:rPr>
              <w:t>通常有两个或多个接口，可连接进入血管的导管或其他器械。</w:t>
            </w:r>
          </w:p>
        </w:tc>
        <w:tc>
          <w:tcPr>
            <w:tcW w:w="1351" w:type="dxa"/>
            <w:tcBorders>
              <w:top w:val="single" w:color="000000" w:sz="4" w:space="0"/>
              <w:left w:val="single" w:color="000000" w:sz="4" w:space="0"/>
              <w:bottom w:val="single" w:color="000000" w:sz="4" w:space="0"/>
              <w:right w:val="single" w:color="000000" w:sz="4" w:space="0"/>
            </w:tcBorders>
            <w:vAlign w:val="center"/>
          </w:tcPr>
          <w:p w14:paraId="387F0F2A">
            <w:pPr>
              <w:widowControl/>
              <w:spacing w:line="240" w:lineRule="exact"/>
              <w:jc w:val="center"/>
              <w:textAlignment w:val="center"/>
              <w:rPr>
                <w:bCs/>
                <w:color w:val="000000"/>
                <w:szCs w:val="21"/>
              </w:rPr>
            </w:pPr>
            <w:r>
              <w:rPr>
                <w:bCs/>
                <w:color w:val="000000"/>
                <w:kern w:val="0"/>
                <w:szCs w:val="21"/>
                <w:lang w:bidi="ar"/>
              </w:rPr>
              <w:t>用于连接管路，建立通道辅助器械进入人体，同时可减少血液流出。</w:t>
            </w:r>
          </w:p>
        </w:tc>
        <w:tc>
          <w:tcPr>
            <w:tcW w:w="1074" w:type="dxa"/>
            <w:tcBorders>
              <w:top w:val="single" w:color="000000" w:sz="4" w:space="0"/>
              <w:left w:val="single" w:color="000000" w:sz="4" w:space="0"/>
              <w:bottom w:val="single" w:color="000000" w:sz="4" w:space="0"/>
              <w:right w:val="single" w:color="000000" w:sz="4" w:space="0"/>
            </w:tcBorders>
            <w:vAlign w:val="center"/>
          </w:tcPr>
          <w:p w14:paraId="5AE37A2D">
            <w:pPr>
              <w:widowControl/>
              <w:spacing w:line="240" w:lineRule="exact"/>
              <w:jc w:val="center"/>
              <w:textAlignment w:val="center"/>
              <w:rPr>
                <w:bCs/>
                <w:color w:val="000000"/>
                <w:szCs w:val="21"/>
              </w:rPr>
            </w:pPr>
            <w:r>
              <w:rPr>
                <w:bCs/>
                <w:color w:val="000000"/>
                <w:kern w:val="0"/>
                <w:szCs w:val="21"/>
                <w:lang w:bidi="ar"/>
              </w:rPr>
              <w:t>Y型连接阀</w:t>
            </w:r>
          </w:p>
        </w:tc>
        <w:tc>
          <w:tcPr>
            <w:tcW w:w="740" w:type="dxa"/>
            <w:tcBorders>
              <w:top w:val="single" w:color="000000" w:sz="4" w:space="0"/>
              <w:left w:val="single" w:color="000000" w:sz="4" w:space="0"/>
              <w:bottom w:val="single" w:color="000000" w:sz="4" w:space="0"/>
              <w:right w:val="single" w:color="000000" w:sz="4" w:space="0"/>
            </w:tcBorders>
            <w:vAlign w:val="center"/>
          </w:tcPr>
          <w:p w14:paraId="75E38A17">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2FE50D72">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66318008">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4AF656C0">
            <w:pPr>
              <w:widowControl/>
              <w:spacing w:line="240" w:lineRule="exact"/>
              <w:jc w:val="center"/>
              <w:textAlignment w:val="center"/>
              <w:rPr>
                <w:bCs/>
                <w:color w:val="000000"/>
                <w:szCs w:val="21"/>
              </w:rPr>
            </w:pPr>
            <w:r>
              <w:rPr>
                <w:bCs/>
                <w:color w:val="000000"/>
                <w:kern w:val="0"/>
                <w:szCs w:val="21"/>
                <w:lang w:bidi="ar"/>
              </w:rPr>
              <w:t>18-连接阀</w:t>
            </w:r>
          </w:p>
        </w:tc>
        <w:tc>
          <w:tcPr>
            <w:tcW w:w="1361" w:type="dxa"/>
            <w:tcBorders>
              <w:top w:val="single" w:color="000000" w:sz="4" w:space="0"/>
              <w:left w:val="single" w:color="000000" w:sz="4" w:space="0"/>
              <w:bottom w:val="single" w:color="000000" w:sz="4" w:space="0"/>
              <w:right w:val="single" w:color="000000" w:sz="4" w:space="0"/>
            </w:tcBorders>
            <w:vAlign w:val="center"/>
          </w:tcPr>
          <w:p w14:paraId="041E251A">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4B93867E">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4CF4C954">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134411DB">
            <w:pPr>
              <w:widowControl/>
              <w:spacing w:line="240" w:lineRule="exact"/>
              <w:jc w:val="center"/>
              <w:textAlignment w:val="center"/>
              <w:rPr>
                <w:bCs/>
                <w:color w:val="000000"/>
                <w:szCs w:val="21"/>
              </w:rPr>
            </w:pPr>
            <w:r>
              <w:rPr>
                <w:bCs/>
                <w:color w:val="000000"/>
                <w:kern w:val="0"/>
                <w:szCs w:val="21"/>
                <w:lang w:bidi="ar"/>
              </w:rPr>
              <w:t>Ⅱ</w:t>
            </w:r>
          </w:p>
        </w:tc>
      </w:tr>
      <w:tr w14:paraId="7BE96448">
        <w:tblPrEx>
          <w:tblCellMar>
            <w:top w:w="0" w:type="dxa"/>
            <w:left w:w="108" w:type="dxa"/>
            <w:bottom w:w="0" w:type="dxa"/>
            <w:right w:w="108" w:type="dxa"/>
          </w:tblCellMar>
        </w:tblPrEx>
        <w:trPr>
          <w:trHeight w:val="1949"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41B24693">
            <w:pPr>
              <w:widowControl/>
              <w:spacing w:line="240" w:lineRule="exact"/>
              <w:jc w:val="center"/>
              <w:textAlignment w:val="center"/>
              <w:rPr>
                <w:bCs/>
                <w:color w:val="000000"/>
                <w:szCs w:val="21"/>
              </w:rPr>
            </w:pPr>
            <w:r>
              <w:rPr>
                <w:bCs/>
                <w:color w:val="000000"/>
                <w:kern w:val="0"/>
                <w:szCs w:val="21"/>
                <w:lang w:bidi="ar"/>
              </w:rPr>
              <w:t>7</w:t>
            </w:r>
          </w:p>
        </w:tc>
        <w:tc>
          <w:tcPr>
            <w:tcW w:w="865" w:type="dxa"/>
            <w:tcBorders>
              <w:top w:val="single" w:color="000000" w:sz="4" w:space="0"/>
              <w:left w:val="single" w:color="000000" w:sz="4" w:space="0"/>
              <w:bottom w:val="single" w:color="000000" w:sz="4" w:space="0"/>
              <w:right w:val="single" w:color="000000" w:sz="4" w:space="0"/>
            </w:tcBorders>
            <w:vAlign w:val="center"/>
          </w:tcPr>
          <w:p w14:paraId="55703B81">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280C7366">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813" w:type="dxa"/>
            <w:tcBorders>
              <w:top w:val="single" w:color="000000" w:sz="4" w:space="0"/>
              <w:left w:val="single" w:color="000000" w:sz="4" w:space="0"/>
              <w:bottom w:val="single" w:color="000000" w:sz="4" w:space="0"/>
              <w:right w:val="single" w:color="000000" w:sz="4" w:space="0"/>
            </w:tcBorders>
            <w:vAlign w:val="center"/>
          </w:tcPr>
          <w:p w14:paraId="44885DD5">
            <w:pPr>
              <w:widowControl/>
              <w:spacing w:line="240" w:lineRule="exact"/>
              <w:jc w:val="center"/>
              <w:textAlignment w:val="center"/>
              <w:rPr>
                <w:bCs/>
                <w:color w:val="000000"/>
                <w:szCs w:val="21"/>
              </w:rPr>
            </w:pPr>
            <w:r>
              <w:rPr>
                <w:bCs/>
                <w:color w:val="000000"/>
                <w:kern w:val="0"/>
                <w:szCs w:val="21"/>
                <w:lang w:bidi="ar"/>
              </w:rPr>
              <w:t>25-延长管</w:t>
            </w:r>
          </w:p>
        </w:tc>
        <w:tc>
          <w:tcPr>
            <w:tcW w:w="1899" w:type="dxa"/>
            <w:tcBorders>
              <w:top w:val="single" w:color="000000" w:sz="4" w:space="0"/>
              <w:left w:val="single" w:color="000000" w:sz="4" w:space="0"/>
              <w:bottom w:val="single" w:color="000000" w:sz="4" w:space="0"/>
              <w:right w:val="single" w:color="000000" w:sz="4" w:space="0"/>
            </w:tcBorders>
            <w:vAlign w:val="center"/>
          </w:tcPr>
          <w:p w14:paraId="47A67DE5">
            <w:pPr>
              <w:widowControl/>
              <w:spacing w:line="240" w:lineRule="exact"/>
              <w:jc w:val="center"/>
              <w:textAlignment w:val="center"/>
              <w:rPr>
                <w:bCs/>
                <w:color w:val="000000"/>
                <w:szCs w:val="21"/>
              </w:rPr>
            </w:pPr>
            <w:r>
              <w:rPr>
                <w:bCs/>
                <w:color w:val="000000"/>
                <w:kern w:val="0"/>
                <w:szCs w:val="21"/>
                <w:lang w:bidi="ar"/>
              </w:rPr>
              <w:t>通常由导管、接头、O型圈组成。</w:t>
            </w:r>
          </w:p>
        </w:tc>
        <w:tc>
          <w:tcPr>
            <w:tcW w:w="1351" w:type="dxa"/>
            <w:tcBorders>
              <w:top w:val="single" w:color="000000" w:sz="4" w:space="0"/>
              <w:left w:val="single" w:color="000000" w:sz="4" w:space="0"/>
              <w:bottom w:val="single" w:color="000000" w:sz="4" w:space="0"/>
              <w:right w:val="single" w:color="000000" w:sz="4" w:space="0"/>
            </w:tcBorders>
            <w:vAlign w:val="center"/>
          </w:tcPr>
          <w:p w14:paraId="3DC36AF6">
            <w:pPr>
              <w:widowControl/>
              <w:spacing w:line="240" w:lineRule="exact"/>
              <w:jc w:val="center"/>
              <w:textAlignment w:val="center"/>
              <w:rPr>
                <w:bCs/>
                <w:color w:val="000000"/>
                <w:szCs w:val="21"/>
              </w:rPr>
            </w:pPr>
            <w:r>
              <w:rPr>
                <w:bCs/>
                <w:color w:val="000000"/>
                <w:kern w:val="0"/>
                <w:szCs w:val="21"/>
                <w:lang w:bidi="ar"/>
              </w:rPr>
              <w:t>用于介入手术中管路加长、药物输注和快速输液等。</w:t>
            </w:r>
          </w:p>
        </w:tc>
        <w:tc>
          <w:tcPr>
            <w:tcW w:w="1074" w:type="dxa"/>
            <w:tcBorders>
              <w:top w:val="single" w:color="000000" w:sz="4" w:space="0"/>
              <w:left w:val="single" w:color="000000" w:sz="4" w:space="0"/>
              <w:bottom w:val="single" w:color="000000" w:sz="4" w:space="0"/>
              <w:right w:val="single" w:color="000000" w:sz="4" w:space="0"/>
            </w:tcBorders>
            <w:vAlign w:val="center"/>
          </w:tcPr>
          <w:p w14:paraId="1F4B58FC">
            <w:pPr>
              <w:widowControl/>
              <w:spacing w:line="240" w:lineRule="exact"/>
              <w:jc w:val="center"/>
              <w:textAlignment w:val="center"/>
              <w:rPr>
                <w:bCs/>
                <w:color w:val="000000"/>
                <w:szCs w:val="21"/>
              </w:rPr>
            </w:pPr>
            <w:r>
              <w:rPr>
                <w:bCs/>
                <w:color w:val="000000"/>
                <w:kern w:val="0"/>
                <w:szCs w:val="21"/>
                <w:lang w:bidi="ar"/>
              </w:rPr>
              <w:t>高压造影注射延长管</w:t>
            </w:r>
          </w:p>
        </w:tc>
        <w:tc>
          <w:tcPr>
            <w:tcW w:w="740" w:type="dxa"/>
            <w:tcBorders>
              <w:top w:val="single" w:color="000000" w:sz="4" w:space="0"/>
              <w:left w:val="single" w:color="000000" w:sz="4" w:space="0"/>
              <w:bottom w:val="single" w:color="000000" w:sz="4" w:space="0"/>
              <w:right w:val="single" w:color="000000" w:sz="4" w:space="0"/>
            </w:tcBorders>
            <w:vAlign w:val="center"/>
          </w:tcPr>
          <w:p w14:paraId="3FD98669">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11F2E21D">
            <w:pPr>
              <w:widowControl/>
              <w:spacing w:line="240" w:lineRule="exact"/>
              <w:jc w:val="center"/>
              <w:textAlignment w:val="center"/>
              <w:rPr>
                <w:bCs/>
                <w:color w:val="000000"/>
                <w:szCs w:val="21"/>
              </w:rPr>
            </w:pPr>
            <w:r>
              <w:rPr>
                <w:bCs/>
                <w:color w:val="000000"/>
                <w:kern w:val="0"/>
                <w:szCs w:val="21"/>
                <w:lang w:bidi="ar"/>
              </w:rPr>
              <w:t>03-神经和心血管手术器械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6624EB46">
            <w:pPr>
              <w:widowControl/>
              <w:spacing w:line="240" w:lineRule="exact"/>
              <w:jc w:val="center"/>
              <w:textAlignment w:val="center"/>
              <w:rPr>
                <w:bCs/>
                <w:color w:val="000000"/>
                <w:szCs w:val="21"/>
              </w:rPr>
            </w:pPr>
            <w:r>
              <w:rPr>
                <w:bCs/>
                <w:color w:val="000000"/>
                <w:kern w:val="0"/>
                <w:szCs w:val="21"/>
                <w:lang w:bidi="ar"/>
              </w:rPr>
              <w:t>13-神经和心血管手术器械-心血管介入器械</w:t>
            </w:r>
          </w:p>
        </w:tc>
        <w:tc>
          <w:tcPr>
            <w:tcW w:w="759" w:type="dxa"/>
            <w:tcBorders>
              <w:top w:val="single" w:color="000000" w:sz="4" w:space="0"/>
              <w:left w:val="single" w:color="000000" w:sz="4" w:space="0"/>
              <w:bottom w:val="single" w:color="000000" w:sz="4" w:space="0"/>
              <w:right w:val="single" w:color="000000" w:sz="4" w:space="0"/>
            </w:tcBorders>
            <w:vAlign w:val="center"/>
          </w:tcPr>
          <w:p w14:paraId="411AFF75">
            <w:pPr>
              <w:widowControl/>
              <w:spacing w:line="240" w:lineRule="exact"/>
              <w:jc w:val="center"/>
              <w:textAlignment w:val="center"/>
              <w:rPr>
                <w:bCs/>
                <w:color w:val="000000"/>
                <w:szCs w:val="21"/>
              </w:rPr>
            </w:pPr>
            <w:r>
              <w:rPr>
                <w:bCs/>
                <w:color w:val="000000"/>
                <w:kern w:val="0"/>
                <w:szCs w:val="21"/>
                <w:lang w:bidi="ar"/>
              </w:rPr>
              <w:t>25-延长管</w:t>
            </w:r>
          </w:p>
        </w:tc>
        <w:tc>
          <w:tcPr>
            <w:tcW w:w="1361" w:type="dxa"/>
            <w:tcBorders>
              <w:top w:val="single" w:color="000000" w:sz="4" w:space="0"/>
              <w:left w:val="single" w:color="000000" w:sz="4" w:space="0"/>
              <w:bottom w:val="single" w:color="000000" w:sz="4" w:space="0"/>
              <w:right w:val="single" w:color="000000" w:sz="4" w:space="0"/>
            </w:tcBorders>
            <w:vAlign w:val="center"/>
          </w:tcPr>
          <w:p w14:paraId="0976225F">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21DE718E">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5CDF4304">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6DDB6E7A">
            <w:pPr>
              <w:widowControl/>
              <w:spacing w:line="240" w:lineRule="exact"/>
              <w:jc w:val="center"/>
              <w:textAlignment w:val="center"/>
              <w:rPr>
                <w:bCs/>
                <w:color w:val="000000"/>
                <w:szCs w:val="21"/>
              </w:rPr>
            </w:pPr>
            <w:r>
              <w:rPr>
                <w:bCs/>
                <w:color w:val="000000"/>
                <w:kern w:val="0"/>
                <w:szCs w:val="21"/>
                <w:lang w:bidi="ar"/>
              </w:rPr>
              <w:t>Ⅱ</w:t>
            </w:r>
          </w:p>
        </w:tc>
      </w:tr>
      <w:tr w14:paraId="013FB6E8">
        <w:tblPrEx>
          <w:tblCellMar>
            <w:top w:w="0" w:type="dxa"/>
            <w:left w:w="108" w:type="dxa"/>
            <w:bottom w:w="0" w:type="dxa"/>
            <w:right w:w="108" w:type="dxa"/>
          </w:tblCellMar>
        </w:tblPrEx>
        <w:trPr>
          <w:trHeight w:val="234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585F6D96">
            <w:pPr>
              <w:widowControl/>
              <w:spacing w:line="240" w:lineRule="exact"/>
              <w:jc w:val="center"/>
              <w:textAlignment w:val="center"/>
              <w:rPr>
                <w:bCs/>
                <w:color w:val="000000"/>
                <w:szCs w:val="21"/>
              </w:rPr>
            </w:pPr>
            <w:r>
              <w:rPr>
                <w:bCs/>
                <w:color w:val="000000"/>
                <w:kern w:val="0"/>
                <w:szCs w:val="21"/>
                <w:lang w:bidi="ar"/>
              </w:rPr>
              <w:t>8</w:t>
            </w:r>
          </w:p>
        </w:tc>
        <w:tc>
          <w:tcPr>
            <w:tcW w:w="865" w:type="dxa"/>
            <w:tcBorders>
              <w:top w:val="single" w:color="000000" w:sz="4" w:space="0"/>
              <w:left w:val="single" w:color="000000" w:sz="4" w:space="0"/>
              <w:bottom w:val="single" w:color="000000" w:sz="4" w:space="0"/>
              <w:right w:val="single" w:color="000000" w:sz="4" w:space="0"/>
            </w:tcBorders>
            <w:vAlign w:val="center"/>
          </w:tcPr>
          <w:p w14:paraId="7A9FCBB9">
            <w:pPr>
              <w:widowControl/>
              <w:spacing w:line="240" w:lineRule="exact"/>
              <w:jc w:val="center"/>
              <w:textAlignment w:val="center"/>
              <w:rPr>
                <w:bCs/>
                <w:color w:val="000000"/>
                <w:szCs w:val="21"/>
              </w:rPr>
            </w:pPr>
            <w:r>
              <w:rPr>
                <w:bCs/>
                <w:color w:val="000000"/>
                <w:kern w:val="0"/>
                <w:szCs w:val="21"/>
                <w:lang w:bidi="ar"/>
              </w:rPr>
              <w:t>13-无源植入器械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3CE1210B">
            <w:pPr>
              <w:widowControl/>
              <w:spacing w:line="240" w:lineRule="exact"/>
              <w:jc w:val="center"/>
              <w:textAlignment w:val="center"/>
              <w:rPr>
                <w:bCs/>
                <w:color w:val="000000"/>
                <w:szCs w:val="21"/>
              </w:rPr>
            </w:pPr>
            <w:r>
              <w:rPr>
                <w:bCs/>
                <w:color w:val="000000"/>
                <w:kern w:val="0"/>
                <w:szCs w:val="21"/>
                <w:lang w:bidi="ar"/>
              </w:rPr>
              <w:t>01-骨接合植入物</w:t>
            </w:r>
          </w:p>
        </w:tc>
        <w:tc>
          <w:tcPr>
            <w:tcW w:w="813" w:type="dxa"/>
            <w:tcBorders>
              <w:top w:val="single" w:color="000000" w:sz="4" w:space="0"/>
              <w:left w:val="single" w:color="000000" w:sz="4" w:space="0"/>
              <w:bottom w:val="single" w:color="000000" w:sz="4" w:space="0"/>
              <w:right w:val="single" w:color="000000" w:sz="4" w:space="0"/>
            </w:tcBorders>
            <w:vAlign w:val="center"/>
          </w:tcPr>
          <w:p w14:paraId="2DFD7C9C">
            <w:pPr>
              <w:widowControl/>
              <w:spacing w:line="240" w:lineRule="exact"/>
              <w:jc w:val="center"/>
              <w:textAlignment w:val="center"/>
              <w:rPr>
                <w:bCs/>
                <w:color w:val="000000"/>
                <w:szCs w:val="21"/>
              </w:rPr>
            </w:pPr>
            <w:r>
              <w:rPr>
                <w:bCs/>
                <w:color w:val="000000"/>
                <w:kern w:val="0"/>
                <w:szCs w:val="21"/>
                <w:lang w:bidi="ar"/>
              </w:rPr>
              <w:t>05-</w:t>
            </w:r>
            <w:r>
              <w:rPr>
                <w:rStyle w:val="11"/>
                <w:rFonts w:hint="default" w:ascii="Times New Roman" w:hAnsi="Times New Roman" w:cs="Times New Roman"/>
                <w:b w:val="0"/>
                <w:bCs/>
                <w:sz w:val="21"/>
                <w:szCs w:val="21"/>
                <w:lang w:bidi="ar"/>
              </w:rPr>
              <w:t>金属固定环扎装置</w:t>
            </w:r>
          </w:p>
        </w:tc>
        <w:tc>
          <w:tcPr>
            <w:tcW w:w="1899" w:type="dxa"/>
            <w:tcBorders>
              <w:top w:val="single" w:color="000000" w:sz="4" w:space="0"/>
              <w:left w:val="single" w:color="000000" w:sz="4" w:space="0"/>
              <w:bottom w:val="single" w:color="000000" w:sz="4" w:space="0"/>
              <w:right w:val="single" w:color="000000" w:sz="4" w:space="0"/>
            </w:tcBorders>
            <w:vAlign w:val="center"/>
          </w:tcPr>
          <w:p w14:paraId="149BB491">
            <w:pPr>
              <w:widowControl/>
              <w:spacing w:line="240" w:lineRule="exact"/>
              <w:jc w:val="center"/>
              <w:textAlignment w:val="center"/>
              <w:rPr>
                <w:bCs/>
                <w:color w:val="000000"/>
                <w:szCs w:val="21"/>
              </w:rPr>
            </w:pPr>
            <w:r>
              <w:rPr>
                <w:bCs/>
                <w:color w:val="000000"/>
                <w:kern w:val="0"/>
                <w:szCs w:val="21"/>
                <w:lang w:bidi="ar"/>
              </w:rPr>
              <w:t>通常由金属带、金属扁平条或单股或多股金属丝组成，还可包含其他附件。一般采用纯钛及钛合金、不锈钢、钴铬钼等材料制成。</w:t>
            </w:r>
          </w:p>
        </w:tc>
        <w:tc>
          <w:tcPr>
            <w:tcW w:w="1351" w:type="dxa"/>
            <w:tcBorders>
              <w:top w:val="single" w:color="000000" w:sz="4" w:space="0"/>
              <w:left w:val="single" w:color="000000" w:sz="4" w:space="0"/>
              <w:bottom w:val="single" w:color="000000" w:sz="4" w:space="0"/>
              <w:right w:val="single" w:color="000000" w:sz="4" w:space="0"/>
            </w:tcBorders>
            <w:vAlign w:val="center"/>
          </w:tcPr>
          <w:p w14:paraId="4584C0E8">
            <w:pPr>
              <w:widowControl/>
              <w:spacing w:line="240" w:lineRule="exact"/>
              <w:jc w:val="center"/>
              <w:textAlignment w:val="center"/>
              <w:rPr>
                <w:bCs/>
                <w:color w:val="000000"/>
                <w:szCs w:val="21"/>
              </w:rPr>
            </w:pPr>
            <w:r>
              <w:rPr>
                <w:bCs/>
                <w:color w:val="000000"/>
                <w:kern w:val="0"/>
                <w:szCs w:val="21"/>
                <w:lang w:bidi="ar"/>
              </w:rPr>
              <w:t>围绕着长骨，通过丝或螺钉锚定在该长骨上，用于骨折固定。</w:t>
            </w:r>
          </w:p>
        </w:tc>
        <w:tc>
          <w:tcPr>
            <w:tcW w:w="1074" w:type="dxa"/>
            <w:tcBorders>
              <w:top w:val="single" w:color="000000" w:sz="4" w:space="0"/>
              <w:left w:val="single" w:color="000000" w:sz="4" w:space="0"/>
              <w:bottom w:val="single" w:color="000000" w:sz="4" w:space="0"/>
              <w:right w:val="single" w:color="000000" w:sz="4" w:space="0"/>
            </w:tcBorders>
            <w:vAlign w:val="center"/>
          </w:tcPr>
          <w:p w14:paraId="19A8E9F9">
            <w:pPr>
              <w:widowControl/>
              <w:spacing w:line="240" w:lineRule="exact"/>
              <w:jc w:val="center"/>
              <w:textAlignment w:val="center"/>
              <w:rPr>
                <w:bCs/>
                <w:color w:val="000000"/>
                <w:szCs w:val="21"/>
              </w:rPr>
            </w:pPr>
            <w:r>
              <w:rPr>
                <w:bCs/>
                <w:color w:val="000000"/>
                <w:kern w:val="0"/>
                <w:szCs w:val="21"/>
                <w:lang w:bidi="ar"/>
              </w:rPr>
              <w:t>金属缆线</w:t>
            </w:r>
            <w:r>
              <w:rPr>
                <w:rStyle w:val="12"/>
                <w:b w:val="0"/>
                <w:bCs/>
                <w:sz w:val="21"/>
                <w:szCs w:val="21"/>
                <w:lang w:bidi="ar"/>
              </w:rPr>
              <w:t>/</w:t>
            </w:r>
            <w:r>
              <w:rPr>
                <w:rStyle w:val="11"/>
                <w:rFonts w:hint="default" w:ascii="Times New Roman" w:hAnsi="Times New Roman" w:cs="Times New Roman"/>
                <w:b w:val="0"/>
                <w:bCs/>
                <w:sz w:val="21"/>
                <w:szCs w:val="21"/>
                <w:lang w:bidi="ar"/>
              </w:rPr>
              <w:t>缆索、柔性金属丝、金属缆线</w:t>
            </w:r>
            <w:r>
              <w:rPr>
                <w:rStyle w:val="12"/>
                <w:b w:val="0"/>
                <w:bCs/>
                <w:sz w:val="21"/>
                <w:szCs w:val="21"/>
                <w:lang w:bidi="ar"/>
              </w:rPr>
              <w:t>/</w:t>
            </w:r>
            <w:r>
              <w:rPr>
                <w:rStyle w:val="11"/>
                <w:rFonts w:hint="default" w:ascii="Times New Roman" w:hAnsi="Times New Roman" w:cs="Times New Roman"/>
                <w:b w:val="0"/>
                <w:bCs/>
                <w:sz w:val="21"/>
                <w:szCs w:val="21"/>
                <w:lang w:bidi="ar"/>
              </w:rPr>
              <w:t>缆索系统</w:t>
            </w:r>
          </w:p>
        </w:tc>
        <w:tc>
          <w:tcPr>
            <w:tcW w:w="740" w:type="dxa"/>
            <w:tcBorders>
              <w:top w:val="single" w:color="000000" w:sz="4" w:space="0"/>
              <w:left w:val="single" w:color="000000" w:sz="4" w:space="0"/>
              <w:bottom w:val="single" w:color="000000" w:sz="4" w:space="0"/>
              <w:right w:val="single" w:color="000000" w:sz="4" w:space="0"/>
            </w:tcBorders>
            <w:vAlign w:val="center"/>
          </w:tcPr>
          <w:p w14:paraId="36B2432E">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5679D093">
            <w:pPr>
              <w:widowControl/>
              <w:spacing w:line="240" w:lineRule="exact"/>
              <w:jc w:val="center"/>
              <w:textAlignment w:val="center"/>
              <w:rPr>
                <w:bCs/>
                <w:color w:val="000000"/>
                <w:szCs w:val="21"/>
              </w:rPr>
            </w:pPr>
            <w:r>
              <w:rPr>
                <w:bCs/>
                <w:color w:val="000000"/>
                <w:kern w:val="0"/>
                <w:szCs w:val="21"/>
                <w:lang w:bidi="ar"/>
              </w:rPr>
              <w:t>13-无源植入器械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0DEEC7B0">
            <w:pPr>
              <w:widowControl/>
              <w:spacing w:line="240" w:lineRule="exact"/>
              <w:jc w:val="center"/>
              <w:textAlignment w:val="center"/>
              <w:rPr>
                <w:bCs/>
                <w:color w:val="000000"/>
                <w:szCs w:val="21"/>
              </w:rPr>
            </w:pPr>
            <w:r>
              <w:rPr>
                <w:bCs/>
                <w:color w:val="000000"/>
                <w:kern w:val="0"/>
                <w:szCs w:val="21"/>
                <w:lang w:bidi="ar"/>
              </w:rPr>
              <w:t>01-骨接合植入物</w:t>
            </w:r>
          </w:p>
        </w:tc>
        <w:tc>
          <w:tcPr>
            <w:tcW w:w="759" w:type="dxa"/>
            <w:tcBorders>
              <w:top w:val="single" w:color="000000" w:sz="4" w:space="0"/>
              <w:left w:val="single" w:color="000000" w:sz="4" w:space="0"/>
              <w:bottom w:val="single" w:color="000000" w:sz="4" w:space="0"/>
              <w:right w:val="single" w:color="000000" w:sz="4" w:space="0"/>
            </w:tcBorders>
            <w:vAlign w:val="center"/>
          </w:tcPr>
          <w:p w14:paraId="7D325F5A">
            <w:pPr>
              <w:widowControl/>
              <w:spacing w:line="240" w:lineRule="exact"/>
              <w:jc w:val="center"/>
              <w:textAlignment w:val="center"/>
              <w:rPr>
                <w:bCs/>
                <w:color w:val="000000"/>
                <w:szCs w:val="21"/>
              </w:rPr>
            </w:pPr>
            <w:r>
              <w:rPr>
                <w:bCs/>
                <w:color w:val="000000"/>
                <w:kern w:val="0"/>
                <w:szCs w:val="21"/>
                <w:lang w:bidi="ar"/>
              </w:rPr>
              <w:t>05-</w:t>
            </w:r>
            <w:r>
              <w:rPr>
                <w:rStyle w:val="11"/>
                <w:rFonts w:hint="default" w:ascii="Times New Roman" w:hAnsi="Times New Roman" w:cs="Times New Roman"/>
                <w:b w:val="0"/>
                <w:bCs/>
                <w:sz w:val="21"/>
                <w:szCs w:val="21"/>
                <w:lang w:bidi="ar"/>
              </w:rPr>
              <w:t>金属固定环扎装置</w:t>
            </w:r>
          </w:p>
        </w:tc>
        <w:tc>
          <w:tcPr>
            <w:tcW w:w="1361" w:type="dxa"/>
            <w:tcBorders>
              <w:top w:val="single" w:color="000000" w:sz="4" w:space="0"/>
              <w:left w:val="single" w:color="000000" w:sz="4" w:space="0"/>
              <w:bottom w:val="single" w:color="000000" w:sz="4" w:space="0"/>
              <w:right w:val="single" w:color="000000" w:sz="4" w:space="0"/>
            </w:tcBorders>
            <w:vAlign w:val="center"/>
          </w:tcPr>
          <w:p w14:paraId="71A3558C">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785DC197">
            <w:pPr>
              <w:widowControl/>
              <w:spacing w:line="240" w:lineRule="exact"/>
              <w:jc w:val="center"/>
              <w:textAlignment w:val="center"/>
              <w:rPr>
                <w:bCs/>
                <w:color w:val="000000"/>
                <w:szCs w:val="21"/>
              </w:rPr>
            </w:pPr>
            <w:r>
              <w:rPr>
                <w:bCs/>
                <w:color w:val="000000"/>
                <w:kern w:val="0"/>
                <w:szCs w:val="21"/>
                <w:lang w:bidi="ar"/>
              </w:rPr>
              <w:t>通过丝或螺钉锚定在骨上，用于骨固定或骨接合。</w:t>
            </w:r>
          </w:p>
        </w:tc>
        <w:tc>
          <w:tcPr>
            <w:tcW w:w="1046" w:type="dxa"/>
            <w:tcBorders>
              <w:top w:val="single" w:color="000000" w:sz="4" w:space="0"/>
              <w:left w:val="single" w:color="000000" w:sz="4" w:space="0"/>
              <w:bottom w:val="single" w:color="000000" w:sz="4" w:space="0"/>
              <w:right w:val="single" w:color="000000" w:sz="4" w:space="0"/>
            </w:tcBorders>
            <w:vAlign w:val="center"/>
          </w:tcPr>
          <w:p w14:paraId="5EBA1722">
            <w:pPr>
              <w:widowControl/>
              <w:spacing w:line="240" w:lineRule="exact"/>
              <w:jc w:val="center"/>
              <w:textAlignment w:val="center"/>
              <w:rPr>
                <w:bCs/>
                <w:color w:val="000000"/>
                <w:szCs w:val="21"/>
              </w:rPr>
            </w:pPr>
            <w:r>
              <w:rPr>
                <w:bCs/>
                <w:color w:val="000000"/>
                <w:kern w:val="0"/>
                <w:szCs w:val="21"/>
                <w:lang w:bidi="ar"/>
              </w:rPr>
              <w:t>无变化</w:t>
            </w:r>
          </w:p>
        </w:tc>
        <w:tc>
          <w:tcPr>
            <w:tcW w:w="704" w:type="dxa"/>
            <w:tcBorders>
              <w:top w:val="single" w:color="000000" w:sz="4" w:space="0"/>
              <w:left w:val="single" w:color="000000" w:sz="4" w:space="0"/>
              <w:bottom w:val="single" w:color="000000" w:sz="4" w:space="0"/>
              <w:right w:val="single" w:color="000000" w:sz="4" w:space="0"/>
            </w:tcBorders>
            <w:vAlign w:val="center"/>
          </w:tcPr>
          <w:p w14:paraId="5F23E992">
            <w:pPr>
              <w:widowControl/>
              <w:spacing w:line="240" w:lineRule="exact"/>
              <w:jc w:val="center"/>
              <w:textAlignment w:val="center"/>
              <w:rPr>
                <w:bCs/>
                <w:color w:val="000000"/>
                <w:szCs w:val="21"/>
              </w:rPr>
            </w:pPr>
            <w:r>
              <w:rPr>
                <w:bCs/>
                <w:color w:val="000000"/>
                <w:kern w:val="0"/>
                <w:szCs w:val="21"/>
                <w:lang w:bidi="ar"/>
              </w:rPr>
              <w:t>无变化</w:t>
            </w:r>
          </w:p>
        </w:tc>
      </w:tr>
      <w:tr w14:paraId="766E7E4C">
        <w:tblPrEx>
          <w:tblCellMar>
            <w:top w:w="0" w:type="dxa"/>
            <w:left w:w="108" w:type="dxa"/>
            <w:bottom w:w="0" w:type="dxa"/>
            <w:right w:w="108" w:type="dxa"/>
          </w:tblCellMar>
        </w:tblPrEx>
        <w:trPr>
          <w:trHeight w:val="5068"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14:paraId="5CC66AED">
            <w:pPr>
              <w:widowControl/>
              <w:spacing w:line="240" w:lineRule="exact"/>
              <w:jc w:val="center"/>
              <w:textAlignment w:val="center"/>
              <w:rPr>
                <w:bCs/>
                <w:color w:val="000000"/>
                <w:szCs w:val="21"/>
              </w:rPr>
            </w:pPr>
            <w:r>
              <w:rPr>
                <w:bCs/>
                <w:color w:val="000000"/>
                <w:kern w:val="0"/>
                <w:szCs w:val="21"/>
                <w:lang w:bidi="ar"/>
              </w:rPr>
              <w:t>9</w:t>
            </w:r>
          </w:p>
        </w:tc>
        <w:tc>
          <w:tcPr>
            <w:tcW w:w="865" w:type="dxa"/>
            <w:tcBorders>
              <w:top w:val="single" w:color="000000" w:sz="4" w:space="0"/>
              <w:left w:val="single" w:color="000000" w:sz="4" w:space="0"/>
              <w:bottom w:val="single" w:color="000000" w:sz="4" w:space="0"/>
              <w:right w:val="single" w:color="000000" w:sz="4" w:space="0"/>
            </w:tcBorders>
            <w:vAlign w:val="center"/>
          </w:tcPr>
          <w:p w14:paraId="581B8CD9">
            <w:pPr>
              <w:widowControl/>
              <w:spacing w:line="240" w:lineRule="exact"/>
              <w:jc w:val="center"/>
              <w:textAlignment w:val="center"/>
              <w:rPr>
                <w:bCs/>
                <w:color w:val="000000"/>
                <w:szCs w:val="21"/>
              </w:rPr>
            </w:pPr>
            <w:r>
              <w:rPr>
                <w:bCs/>
                <w:color w:val="000000"/>
                <w:kern w:val="0"/>
                <w:szCs w:val="21"/>
                <w:lang w:bidi="ar"/>
              </w:rPr>
              <w:t>13-无源植入器械</w:t>
            </w:r>
          </w:p>
        </w:tc>
        <w:tc>
          <w:tcPr>
            <w:tcW w:w="919" w:type="dxa"/>
            <w:tcBorders>
              <w:top w:val="single" w:color="000000" w:sz="4" w:space="0"/>
              <w:left w:val="single" w:color="000000" w:sz="4" w:space="0"/>
              <w:bottom w:val="single" w:color="000000" w:sz="4" w:space="0"/>
              <w:right w:val="single" w:color="000000" w:sz="4" w:space="0"/>
            </w:tcBorders>
            <w:vAlign w:val="center"/>
          </w:tcPr>
          <w:p w14:paraId="7980BB9A">
            <w:pPr>
              <w:widowControl/>
              <w:spacing w:line="240" w:lineRule="exact"/>
              <w:jc w:val="center"/>
              <w:textAlignment w:val="center"/>
              <w:rPr>
                <w:bCs/>
                <w:color w:val="000000"/>
                <w:szCs w:val="21"/>
              </w:rPr>
            </w:pPr>
            <w:r>
              <w:rPr>
                <w:bCs/>
                <w:color w:val="000000"/>
                <w:kern w:val="0"/>
                <w:szCs w:val="21"/>
                <w:lang w:bidi="ar"/>
              </w:rPr>
              <w:t>09-整形及普通外科植入物</w:t>
            </w:r>
          </w:p>
        </w:tc>
        <w:tc>
          <w:tcPr>
            <w:tcW w:w="813" w:type="dxa"/>
            <w:tcBorders>
              <w:top w:val="single" w:color="000000" w:sz="4" w:space="0"/>
              <w:left w:val="single" w:color="000000" w:sz="4" w:space="0"/>
              <w:bottom w:val="single" w:color="000000" w:sz="4" w:space="0"/>
              <w:right w:val="single" w:color="000000" w:sz="4" w:space="0"/>
            </w:tcBorders>
            <w:vAlign w:val="center"/>
          </w:tcPr>
          <w:p w14:paraId="6A7F57B8">
            <w:pPr>
              <w:widowControl/>
              <w:spacing w:line="240" w:lineRule="exact"/>
              <w:jc w:val="center"/>
              <w:textAlignment w:val="center"/>
              <w:rPr>
                <w:bCs/>
                <w:color w:val="000000"/>
                <w:szCs w:val="21"/>
              </w:rPr>
            </w:pPr>
            <w:r>
              <w:rPr>
                <w:bCs/>
                <w:color w:val="000000"/>
                <w:kern w:val="0"/>
                <w:szCs w:val="21"/>
                <w:lang w:bidi="ar"/>
              </w:rPr>
              <w:t>02</w:t>
            </w:r>
            <w:r>
              <w:rPr>
                <w:rStyle w:val="11"/>
                <w:rFonts w:hint="default" w:ascii="Times New Roman" w:hAnsi="Times New Roman" w:cs="Times New Roman"/>
                <w:b w:val="0"/>
                <w:bCs/>
                <w:sz w:val="21"/>
                <w:szCs w:val="21"/>
                <w:lang w:bidi="ar"/>
              </w:rPr>
              <w:t>整形用注射填充物</w:t>
            </w:r>
          </w:p>
        </w:tc>
        <w:tc>
          <w:tcPr>
            <w:tcW w:w="1899" w:type="dxa"/>
            <w:tcBorders>
              <w:top w:val="single" w:color="000000" w:sz="4" w:space="0"/>
              <w:left w:val="single" w:color="000000" w:sz="4" w:space="0"/>
              <w:bottom w:val="single" w:color="000000" w:sz="4" w:space="0"/>
              <w:right w:val="single" w:color="000000" w:sz="4" w:space="0"/>
            </w:tcBorders>
            <w:vAlign w:val="center"/>
          </w:tcPr>
          <w:p w14:paraId="53D43706">
            <w:pPr>
              <w:widowControl/>
              <w:spacing w:line="240" w:lineRule="exact"/>
              <w:jc w:val="center"/>
              <w:textAlignment w:val="center"/>
              <w:rPr>
                <w:bCs/>
                <w:color w:val="000000"/>
                <w:szCs w:val="21"/>
              </w:rPr>
            </w:pPr>
            <w:r>
              <w:rPr>
                <w:bCs/>
                <w:color w:val="000000"/>
                <w:kern w:val="0"/>
                <w:szCs w:val="21"/>
                <w:lang w:bidi="ar"/>
              </w:rPr>
              <w:t>通常由注射器以及预装在注射器中的填充材料组成。</w:t>
            </w:r>
          </w:p>
        </w:tc>
        <w:tc>
          <w:tcPr>
            <w:tcW w:w="1351" w:type="dxa"/>
            <w:tcBorders>
              <w:top w:val="single" w:color="000000" w:sz="4" w:space="0"/>
              <w:left w:val="single" w:color="000000" w:sz="4" w:space="0"/>
              <w:bottom w:val="single" w:color="000000" w:sz="4" w:space="0"/>
              <w:right w:val="single" w:color="000000" w:sz="4" w:space="0"/>
            </w:tcBorders>
            <w:vAlign w:val="center"/>
          </w:tcPr>
          <w:p w14:paraId="61F85B98">
            <w:pPr>
              <w:widowControl/>
              <w:spacing w:line="240" w:lineRule="exact"/>
              <w:jc w:val="center"/>
              <w:textAlignment w:val="center"/>
              <w:rPr>
                <w:bCs/>
                <w:color w:val="000000"/>
                <w:szCs w:val="21"/>
              </w:rPr>
            </w:pPr>
            <w:r>
              <w:rPr>
                <w:bCs/>
                <w:color w:val="000000"/>
                <w:kern w:val="0"/>
                <w:szCs w:val="21"/>
                <w:lang w:bidi="ar"/>
              </w:rPr>
              <w:t>用于注射到真皮层和</w:t>
            </w:r>
            <w:r>
              <w:rPr>
                <w:rStyle w:val="12"/>
                <w:b w:val="0"/>
                <w:bCs/>
                <w:sz w:val="21"/>
                <w:szCs w:val="21"/>
                <w:lang w:bidi="ar"/>
              </w:rPr>
              <w:t>/</w:t>
            </w:r>
            <w:r>
              <w:rPr>
                <w:rStyle w:val="11"/>
                <w:rFonts w:hint="default" w:ascii="Times New Roman" w:hAnsi="Times New Roman" w:cs="Times New Roman"/>
                <w:b w:val="0"/>
                <w:bCs/>
                <w:sz w:val="21"/>
                <w:szCs w:val="21"/>
                <w:lang w:bidi="ar"/>
              </w:rPr>
              <w:t>或皮下组织，以填充增加组织容积。</w:t>
            </w:r>
          </w:p>
        </w:tc>
        <w:tc>
          <w:tcPr>
            <w:tcW w:w="1074" w:type="dxa"/>
            <w:tcBorders>
              <w:top w:val="single" w:color="000000" w:sz="4" w:space="0"/>
              <w:left w:val="single" w:color="000000" w:sz="4" w:space="0"/>
              <w:bottom w:val="single" w:color="000000" w:sz="4" w:space="0"/>
              <w:right w:val="single" w:color="000000" w:sz="4" w:space="0"/>
            </w:tcBorders>
            <w:vAlign w:val="center"/>
          </w:tcPr>
          <w:p w14:paraId="0F9BB9F9">
            <w:pPr>
              <w:widowControl/>
              <w:spacing w:line="240" w:lineRule="exact"/>
              <w:jc w:val="center"/>
              <w:textAlignment w:val="center"/>
              <w:rPr>
                <w:bCs/>
                <w:color w:val="000000"/>
                <w:szCs w:val="21"/>
              </w:rPr>
            </w:pPr>
            <w:r>
              <w:rPr>
                <w:bCs/>
                <w:color w:val="000000"/>
                <w:kern w:val="0"/>
                <w:szCs w:val="21"/>
                <w:lang w:bidi="ar"/>
              </w:rPr>
              <w:t>注射用交联透明质酸钠凝胶、注射用透明质酸钠凝胶、胶原蛋白植入剂、注射用聚左旋乳酸填充剂</w:t>
            </w:r>
          </w:p>
        </w:tc>
        <w:tc>
          <w:tcPr>
            <w:tcW w:w="740" w:type="dxa"/>
            <w:tcBorders>
              <w:top w:val="single" w:color="000000" w:sz="4" w:space="0"/>
              <w:left w:val="single" w:color="000000" w:sz="4" w:space="0"/>
              <w:bottom w:val="single" w:color="000000" w:sz="4" w:space="0"/>
              <w:right w:val="single" w:color="000000" w:sz="4" w:space="0"/>
            </w:tcBorders>
            <w:vAlign w:val="center"/>
          </w:tcPr>
          <w:p w14:paraId="1B9BFB14">
            <w:pPr>
              <w:widowControl/>
              <w:spacing w:line="240" w:lineRule="exact"/>
              <w:jc w:val="center"/>
              <w:textAlignment w:val="center"/>
              <w:rPr>
                <w:bCs/>
                <w:color w:val="000000"/>
                <w:szCs w:val="21"/>
              </w:rPr>
            </w:pPr>
            <w:r>
              <w:rPr>
                <w:bCs/>
                <w:color w:val="000000"/>
                <w:kern w:val="0"/>
                <w:szCs w:val="21"/>
                <w:lang w:bidi="ar"/>
              </w:rPr>
              <w:t>Ⅲ</w:t>
            </w:r>
          </w:p>
        </w:tc>
        <w:tc>
          <w:tcPr>
            <w:tcW w:w="853" w:type="dxa"/>
            <w:tcBorders>
              <w:top w:val="single" w:color="000000" w:sz="4" w:space="0"/>
              <w:left w:val="single" w:color="000000" w:sz="4" w:space="0"/>
              <w:bottom w:val="single" w:color="000000" w:sz="4" w:space="0"/>
              <w:right w:val="single" w:color="000000" w:sz="4" w:space="0"/>
            </w:tcBorders>
            <w:vAlign w:val="center"/>
          </w:tcPr>
          <w:p w14:paraId="256E278F">
            <w:pPr>
              <w:widowControl/>
              <w:spacing w:line="240" w:lineRule="exact"/>
              <w:jc w:val="center"/>
              <w:textAlignment w:val="center"/>
              <w:rPr>
                <w:bCs/>
                <w:color w:val="000000"/>
                <w:szCs w:val="21"/>
              </w:rPr>
            </w:pPr>
            <w:r>
              <w:rPr>
                <w:bCs/>
                <w:color w:val="000000"/>
                <w:kern w:val="0"/>
                <w:szCs w:val="21"/>
                <w:lang w:bidi="ar"/>
              </w:rPr>
              <w:t>13-无源植入器械</w:t>
            </w:r>
          </w:p>
        </w:tc>
        <w:tc>
          <w:tcPr>
            <w:tcW w:w="1042" w:type="dxa"/>
            <w:tcBorders>
              <w:top w:val="single" w:color="000000" w:sz="4" w:space="0"/>
              <w:left w:val="single" w:color="000000" w:sz="4" w:space="0"/>
              <w:bottom w:val="single" w:color="000000" w:sz="4" w:space="0"/>
              <w:right w:val="single" w:color="000000" w:sz="4" w:space="0"/>
            </w:tcBorders>
            <w:vAlign w:val="center"/>
          </w:tcPr>
          <w:p w14:paraId="18C32DEC">
            <w:pPr>
              <w:widowControl/>
              <w:spacing w:line="240" w:lineRule="exact"/>
              <w:jc w:val="center"/>
              <w:textAlignment w:val="center"/>
              <w:rPr>
                <w:bCs/>
                <w:color w:val="000000"/>
                <w:szCs w:val="21"/>
              </w:rPr>
            </w:pPr>
            <w:r>
              <w:rPr>
                <w:bCs/>
                <w:color w:val="000000"/>
                <w:kern w:val="0"/>
                <w:szCs w:val="21"/>
                <w:lang w:bidi="ar"/>
              </w:rPr>
              <w:t>09-整形及普通外科植入物</w:t>
            </w:r>
          </w:p>
        </w:tc>
        <w:tc>
          <w:tcPr>
            <w:tcW w:w="759" w:type="dxa"/>
            <w:tcBorders>
              <w:top w:val="single" w:color="000000" w:sz="4" w:space="0"/>
              <w:left w:val="single" w:color="000000" w:sz="4" w:space="0"/>
              <w:bottom w:val="single" w:color="000000" w:sz="4" w:space="0"/>
              <w:right w:val="single" w:color="000000" w:sz="4" w:space="0"/>
            </w:tcBorders>
            <w:vAlign w:val="center"/>
          </w:tcPr>
          <w:p w14:paraId="241157AB">
            <w:pPr>
              <w:widowControl/>
              <w:spacing w:line="240" w:lineRule="exact"/>
              <w:jc w:val="center"/>
              <w:textAlignment w:val="center"/>
              <w:rPr>
                <w:bCs/>
                <w:color w:val="000000"/>
                <w:szCs w:val="21"/>
              </w:rPr>
            </w:pPr>
            <w:r>
              <w:rPr>
                <w:bCs/>
                <w:color w:val="000000"/>
                <w:kern w:val="0"/>
                <w:szCs w:val="21"/>
                <w:lang w:bidi="ar"/>
              </w:rPr>
              <w:t>02</w:t>
            </w:r>
            <w:r>
              <w:rPr>
                <w:rStyle w:val="11"/>
                <w:rFonts w:hint="default" w:ascii="Times New Roman" w:hAnsi="Times New Roman" w:cs="Times New Roman"/>
                <w:b w:val="0"/>
                <w:bCs/>
                <w:sz w:val="21"/>
                <w:szCs w:val="21"/>
                <w:lang w:bidi="ar"/>
              </w:rPr>
              <w:t>整形用注射填充物</w:t>
            </w:r>
          </w:p>
        </w:tc>
        <w:tc>
          <w:tcPr>
            <w:tcW w:w="1361" w:type="dxa"/>
            <w:tcBorders>
              <w:top w:val="single" w:color="000000" w:sz="4" w:space="0"/>
              <w:left w:val="single" w:color="000000" w:sz="4" w:space="0"/>
              <w:bottom w:val="single" w:color="000000" w:sz="4" w:space="0"/>
              <w:right w:val="single" w:color="000000" w:sz="4" w:space="0"/>
            </w:tcBorders>
            <w:vAlign w:val="center"/>
          </w:tcPr>
          <w:p w14:paraId="2CF891CF">
            <w:pPr>
              <w:widowControl/>
              <w:spacing w:line="240" w:lineRule="exact"/>
              <w:jc w:val="center"/>
              <w:textAlignment w:val="center"/>
              <w:rPr>
                <w:bCs/>
                <w:color w:val="000000"/>
                <w:szCs w:val="21"/>
              </w:rPr>
            </w:pPr>
            <w:r>
              <w:rPr>
                <w:bCs/>
                <w:color w:val="000000"/>
                <w:kern w:val="0"/>
                <w:szCs w:val="21"/>
                <w:lang w:bidi="ar"/>
              </w:rPr>
              <w:t>无变化</w:t>
            </w:r>
          </w:p>
        </w:tc>
        <w:tc>
          <w:tcPr>
            <w:tcW w:w="1092" w:type="dxa"/>
            <w:tcBorders>
              <w:top w:val="single" w:color="000000" w:sz="4" w:space="0"/>
              <w:left w:val="single" w:color="000000" w:sz="4" w:space="0"/>
              <w:bottom w:val="single" w:color="000000" w:sz="4" w:space="0"/>
              <w:right w:val="single" w:color="000000" w:sz="4" w:space="0"/>
            </w:tcBorders>
            <w:vAlign w:val="center"/>
          </w:tcPr>
          <w:p w14:paraId="000A8019">
            <w:pPr>
              <w:widowControl/>
              <w:spacing w:line="240" w:lineRule="exact"/>
              <w:jc w:val="center"/>
              <w:textAlignment w:val="center"/>
              <w:rPr>
                <w:bCs/>
                <w:color w:val="000000"/>
                <w:szCs w:val="21"/>
              </w:rPr>
            </w:pPr>
            <w:r>
              <w:rPr>
                <w:bCs/>
                <w:color w:val="000000"/>
                <w:kern w:val="0"/>
                <w:szCs w:val="21"/>
                <w:lang w:bidi="ar"/>
              </w:rPr>
              <w:t>无变化</w:t>
            </w:r>
          </w:p>
        </w:tc>
        <w:tc>
          <w:tcPr>
            <w:tcW w:w="1046" w:type="dxa"/>
            <w:tcBorders>
              <w:top w:val="single" w:color="000000" w:sz="4" w:space="0"/>
              <w:left w:val="single" w:color="000000" w:sz="4" w:space="0"/>
              <w:bottom w:val="single" w:color="000000" w:sz="4" w:space="0"/>
              <w:right w:val="single" w:color="000000" w:sz="4" w:space="0"/>
            </w:tcBorders>
            <w:vAlign w:val="center"/>
          </w:tcPr>
          <w:p w14:paraId="297AB50A">
            <w:pPr>
              <w:widowControl/>
              <w:spacing w:line="240" w:lineRule="exact"/>
              <w:jc w:val="center"/>
              <w:textAlignment w:val="center"/>
              <w:rPr>
                <w:bCs/>
                <w:color w:val="000000"/>
                <w:szCs w:val="21"/>
              </w:rPr>
            </w:pPr>
            <w:r>
              <w:rPr>
                <w:bCs/>
                <w:color w:val="000000"/>
                <w:kern w:val="0"/>
                <w:szCs w:val="21"/>
                <w:lang w:bidi="ar"/>
              </w:rPr>
              <w:t>注射用交联透明质酸钠凝胶、注射用透明质酸钠凝胶、胶原蛋白植入剂、注射用聚左旋乳酸填充剂、重组Ⅲ型人源化胶原蛋白冻干纤维</w:t>
            </w:r>
          </w:p>
        </w:tc>
        <w:tc>
          <w:tcPr>
            <w:tcW w:w="704" w:type="dxa"/>
            <w:tcBorders>
              <w:top w:val="single" w:color="000000" w:sz="4" w:space="0"/>
              <w:left w:val="single" w:color="000000" w:sz="4" w:space="0"/>
              <w:bottom w:val="single" w:color="000000" w:sz="4" w:space="0"/>
              <w:right w:val="single" w:color="000000" w:sz="4" w:space="0"/>
            </w:tcBorders>
            <w:vAlign w:val="center"/>
          </w:tcPr>
          <w:p w14:paraId="355CB5C5">
            <w:pPr>
              <w:widowControl/>
              <w:spacing w:line="240" w:lineRule="exact"/>
              <w:jc w:val="center"/>
              <w:textAlignment w:val="center"/>
              <w:rPr>
                <w:bCs/>
                <w:color w:val="000000"/>
                <w:szCs w:val="21"/>
              </w:rPr>
            </w:pPr>
            <w:r>
              <w:rPr>
                <w:bCs/>
                <w:color w:val="000000"/>
                <w:kern w:val="0"/>
                <w:szCs w:val="21"/>
                <w:lang w:bidi="ar"/>
              </w:rPr>
              <w:t>无变化</w:t>
            </w:r>
          </w:p>
        </w:tc>
      </w:tr>
      <w:tr w14:paraId="156F08BF">
        <w:tblPrEx>
          <w:tblCellMar>
            <w:top w:w="0" w:type="dxa"/>
            <w:left w:w="108" w:type="dxa"/>
            <w:bottom w:w="0" w:type="dxa"/>
            <w:right w:w="108" w:type="dxa"/>
          </w:tblCellMar>
        </w:tblPrEx>
        <w:trPr>
          <w:trHeight w:val="2520" w:hRule="atLeast"/>
          <w:jc w:val="center"/>
        </w:trPr>
        <w:tc>
          <w:tcPr>
            <w:tcW w:w="458" w:type="dxa"/>
            <w:vMerge w:val="restart"/>
            <w:tcBorders>
              <w:top w:val="nil"/>
              <w:left w:val="single" w:color="000000" w:sz="4" w:space="0"/>
              <w:bottom w:val="single" w:color="000000" w:sz="4" w:space="0"/>
              <w:right w:val="single" w:color="000000" w:sz="4" w:space="0"/>
            </w:tcBorders>
            <w:vAlign w:val="center"/>
          </w:tcPr>
          <w:p w14:paraId="55AC86E3">
            <w:pPr>
              <w:widowControl/>
              <w:spacing w:line="240" w:lineRule="exact"/>
              <w:jc w:val="center"/>
              <w:textAlignment w:val="center"/>
              <w:rPr>
                <w:bCs/>
                <w:color w:val="000000"/>
                <w:szCs w:val="21"/>
              </w:rPr>
            </w:pPr>
            <w:r>
              <w:rPr>
                <w:bCs/>
                <w:color w:val="000000"/>
                <w:kern w:val="0"/>
                <w:szCs w:val="21"/>
                <w:lang w:bidi="ar"/>
              </w:rPr>
              <w:t>10</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14:paraId="25115297">
            <w:pPr>
              <w:widowControl/>
              <w:spacing w:line="240" w:lineRule="exact"/>
              <w:jc w:val="center"/>
              <w:textAlignment w:val="center"/>
              <w:rPr>
                <w:bCs/>
                <w:color w:val="000000"/>
                <w:szCs w:val="21"/>
              </w:rPr>
            </w:pPr>
            <w:r>
              <w:rPr>
                <w:bCs/>
                <w:color w:val="000000"/>
                <w:kern w:val="0"/>
                <w:szCs w:val="21"/>
                <w:lang w:bidi="ar"/>
              </w:rPr>
              <w:t>14-注输、护理和防护器械</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14:paraId="13B6ECDF">
            <w:pPr>
              <w:widowControl/>
              <w:spacing w:line="240" w:lineRule="exact"/>
              <w:jc w:val="center"/>
              <w:textAlignment w:val="center"/>
              <w:rPr>
                <w:bCs/>
                <w:color w:val="000000"/>
                <w:szCs w:val="21"/>
              </w:rPr>
            </w:pPr>
            <w:r>
              <w:rPr>
                <w:bCs/>
                <w:color w:val="000000"/>
                <w:kern w:val="0"/>
                <w:szCs w:val="21"/>
                <w:lang w:bidi="ar"/>
              </w:rPr>
              <w:t>10-创面敷料</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14:paraId="797F3123">
            <w:pPr>
              <w:widowControl/>
              <w:spacing w:line="240" w:lineRule="exact"/>
              <w:jc w:val="center"/>
              <w:textAlignment w:val="center"/>
              <w:rPr>
                <w:bCs/>
                <w:color w:val="000000"/>
                <w:szCs w:val="21"/>
              </w:rPr>
            </w:pPr>
            <w:r>
              <w:rPr>
                <w:bCs/>
                <w:color w:val="000000"/>
                <w:kern w:val="0"/>
                <w:szCs w:val="21"/>
                <w:lang w:bidi="ar"/>
              </w:rPr>
              <w:t>08-</w:t>
            </w:r>
            <w:r>
              <w:rPr>
                <w:rStyle w:val="11"/>
                <w:rFonts w:hint="default" w:ascii="Times New Roman" w:hAnsi="Times New Roman" w:cs="Times New Roman"/>
                <w:b w:val="0"/>
                <w:bCs/>
                <w:sz w:val="21"/>
                <w:szCs w:val="21"/>
                <w:lang w:bidi="ar"/>
              </w:rPr>
              <w:t>液体、膏状敷料</w:t>
            </w:r>
          </w:p>
        </w:tc>
        <w:tc>
          <w:tcPr>
            <w:tcW w:w="1899" w:type="dxa"/>
            <w:tcBorders>
              <w:top w:val="single" w:color="000000" w:sz="4" w:space="0"/>
              <w:left w:val="single" w:color="000000" w:sz="4" w:space="0"/>
              <w:bottom w:val="single" w:color="000000" w:sz="4" w:space="0"/>
              <w:right w:val="single" w:color="000000" w:sz="4" w:space="0"/>
            </w:tcBorders>
            <w:vAlign w:val="center"/>
          </w:tcPr>
          <w:p w14:paraId="340C2F4E">
            <w:pPr>
              <w:widowControl/>
              <w:spacing w:line="240" w:lineRule="exact"/>
              <w:jc w:val="center"/>
              <w:textAlignment w:val="center"/>
              <w:rPr>
                <w:bCs/>
                <w:color w:val="000000"/>
                <w:szCs w:val="21"/>
              </w:rPr>
            </w:pPr>
            <w:r>
              <w:rPr>
                <w:bCs/>
                <w:color w:val="000000"/>
                <w:kern w:val="0"/>
                <w:szCs w:val="21"/>
                <w:lang w:bidi="ar"/>
              </w:rPr>
              <w:t>通常为溶液或软膏（不包括凝胶）。所含成分不具有药理学作用。所含成分不可被人体吸收。无菌提供。</w:t>
            </w:r>
          </w:p>
        </w:tc>
        <w:tc>
          <w:tcPr>
            <w:tcW w:w="1351" w:type="dxa"/>
            <w:tcBorders>
              <w:top w:val="single" w:color="000000" w:sz="4" w:space="0"/>
              <w:left w:val="single" w:color="000000" w:sz="4" w:space="0"/>
              <w:bottom w:val="single" w:color="000000" w:sz="4" w:space="0"/>
              <w:right w:val="single" w:color="000000" w:sz="4" w:space="0"/>
            </w:tcBorders>
            <w:vAlign w:val="center"/>
          </w:tcPr>
          <w:p w14:paraId="722ADCFB">
            <w:pPr>
              <w:widowControl/>
              <w:spacing w:line="240" w:lineRule="exact"/>
              <w:jc w:val="center"/>
              <w:textAlignment w:val="center"/>
              <w:rPr>
                <w:bCs/>
                <w:color w:val="000000"/>
                <w:szCs w:val="21"/>
              </w:rPr>
            </w:pPr>
            <w:r>
              <w:rPr>
                <w:bCs/>
                <w:color w:val="000000"/>
                <w:kern w:val="0"/>
                <w:szCs w:val="21"/>
                <w:lang w:bidi="ar"/>
              </w:rPr>
              <w:t>通过在创面表面形成保护层，起物理屏障作用。用于小创口、擦伤、切割伤等非慢性创面及周围皮肤的护理。</w:t>
            </w:r>
          </w:p>
        </w:tc>
        <w:tc>
          <w:tcPr>
            <w:tcW w:w="1074" w:type="dxa"/>
            <w:tcBorders>
              <w:top w:val="single" w:color="000000" w:sz="4" w:space="0"/>
              <w:left w:val="single" w:color="000000" w:sz="4" w:space="0"/>
              <w:bottom w:val="single" w:color="000000" w:sz="4" w:space="0"/>
              <w:right w:val="single" w:color="000000" w:sz="4" w:space="0"/>
            </w:tcBorders>
            <w:vAlign w:val="center"/>
          </w:tcPr>
          <w:p w14:paraId="07969A39">
            <w:pPr>
              <w:widowControl/>
              <w:spacing w:line="240" w:lineRule="exact"/>
              <w:jc w:val="center"/>
              <w:textAlignment w:val="center"/>
              <w:rPr>
                <w:bCs/>
                <w:color w:val="000000"/>
                <w:szCs w:val="21"/>
              </w:rPr>
            </w:pPr>
            <w:r>
              <w:rPr>
                <w:bCs/>
                <w:color w:val="000000"/>
                <w:kern w:val="0"/>
                <w:szCs w:val="21"/>
                <w:lang w:bidi="ar"/>
              </w:rPr>
              <w:t>无菌液体敷料、无菌喷剂敷料、无菌伤口护理软膏、无菌液体伤口敷料</w:t>
            </w:r>
          </w:p>
        </w:tc>
        <w:tc>
          <w:tcPr>
            <w:tcW w:w="740" w:type="dxa"/>
            <w:tcBorders>
              <w:top w:val="single" w:color="000000" w:sz="4" w:space="0"/>
              <w:left w:val="single" w:color="000000" w:sz="4" w:space="0"/>
              <w:bottom w:val="single" w:color="000000" w:sz="4" w:space="0"/>
              <w:right w:val="single" w:color="000000" w:sz="4" w:space="0"/>
            </w:tcBorders>
            <w:vAlign w:val="center"/>
          </w:tcPr>
          <w:p w14:paraId="1F6FDA4A">
            <w:pPr>
              <w:widowControl/>
              <w:spacing w:line="240" w:lineRule="exact"/>
              <w:jc w:val="center"/>
              <w:textAlignment w:val="center"/>
              <w:rPr>
                <w:bCs/>
                <w:color w:val="000000"/>
                <w:szCs w:val="21"/>
              </w:rPr>
            </w:pPr>
            <w:r>
              <w:rPr>
                <w:bCs/>
                <w:color w:val="000000"/>
                <w:kern w:val="0"/>
                <w:szCs w:val="21"/>
                <w:lang w:bidi="ar"/>
              </w:rPr>
              <w:t>Ⅱ</w:t>
            </w:r>
          </w:p>
        </w:tc>
        <w:tc>
          <w:tcPr>
            <w:tcW w:w="853" w:type="dxa"/>
            <w:vMerge w:val="restart"/>
            <w:tcBorders>
              <w:top w:val="single" w:color="000000" w:sz="4" w:space="0"/>
              <w:left w:val="single" w:color="000000" w:sz="4" w:space="0"/>
              <w:bottom w:val="single" w:color="000000" w:sz="4" w:space="0"/>
              <w:right w:val="single" w:color="000000" w:sz="4" w:space="0"/>
            </w:tcBorders>
            <w:vAlign w:val="center"/>
          </w:tcPr>
          <w:p w14:paraId="60593A86">
            <w:pPr>
              <w:widowControl/>
              <w:spacing w:line="240" w:lineRule="exact"/>
              <w:jc w:val="center"/>
              <w:textAlignment w:val="center"/>
              <w:rPr>
                <w:bCs/>
                <w:color w:val="000000"/>
                <w:szCs w:val="21"/>
              </w:rPr>
            </w:pPr>
            <w:r>
              <w:rPr>
                <w:bCs/>
                <w:color w:val="000000"/>
                <w:kern w:val="0"/>
                <w:szCs w:val="21"/>
                <w:lang w:bidi="ar"/>
              </w:rPr>
              <w:t>14-注输、护理和防护器械</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14:paraId="029EE39A">
            <w:pPr>
              <w:widowControl/>
              <w:spacing w:line="240" w:lineRule="exact"/>
              <w:jc w:val="center"/>
              <w:textAlignment w:val="center"/>
              <w:rPr>
                <w:bCs/>
                <w:color w:val="000000"/>
                <w:szCs w:val="21"/>
              </w:rPr>
            </w:pPr>
            <w:r>
              <w:rPr>
                <w:bCs/>
                <w:color w:val="000000"/>
                <w:kern w:val="0"/>
                <w:szCs w:val="21"/>
                <w:lang w:bidi="ar"/>
              </w:rPr>
              <w:t>10-创面敷料</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14:paraId="0176DF1A">
            <w:pPr>
              <w:widowControl/>
              <w:spacing w:line="240" w:lineRule="exact"/>
              <w:jc w:val="center"/>
              <w:textAlignment w:val="center"/>
              <w:rPr>
                <w:bCs/>
                <w:color w:val="000000"/>
                <w:szCs w:val="21"/>
              </w:rPr>
            </w:pPr>
            <w:r>
              <w:rPr>
                <w:bCs/>
                <w:color w:val="000000"/>
                <w:kern w:val="0"/>
                <w:szCs w:val="21"/>
                <w:lang w:bidi="ar"/>
              </w:rPr>
              <w:t>08-</w:t>
            </w:r>
            <w:r>
              <w:rPr>
                <w:rStyle w:val="11"/>
                <w:rFonts w:hint="default" w:ascii="Times New Roman" w:hAnsi="Times New Roman" w:cs="Times New Roman"/>
                <w:b w:val="0"/>
                <w:bCs/>
                <w:sz w:val="21"/>
                <w:szCs w:val="21"/>
                <w:lang w:bidi="ar"/>
              </w:rPr>
              <w:t>液体、膏状敷料</w:t>
            </w:r>
          </w:p>
        </w:tc>
        <w:tc>
          <w:tcPr>
            <w:tcW w:w="1361" w:type="dxa"/>
            <w:vMerge w:val="restart"/>
            <w:tcBorders>
              <w:top w:val="single" w:color="000000" w:sz="4" w:space="0"/>
              <w:left w:val="single" w:color="000000" w:sz="4" w:space="0"/>
              <w:bottom w:val="single" w:color="000000" w:sz="4" w:space="0"/>
              <w:right w:val="single" w:color="000000" w:sz="4" w:space="0"/>
            </w:tcBorders>
            <w:vAlign w:val="center"/>
          </w:tcPr>
          <w:p w14:paraId="1AB61361">
            <w:pPr>
              <w:widowControl/>
              <w:spacing w:line="240" w:lineRule="exact"/>
              <w:jc w:val="center"/>
              <w:textAlignment w:val="center"/>
              <w:rPr>
                <w:bCs/>
                <w:color w:val="000000"/>
                <w:szCs w:val="21"/>
              </w:rPr>
            </w:pPr>
            <w:r>
              <w:rPr>
                <w:bCs/>
                <w:color w:val="000000"/>
                <w:kern w:val="0"/>
                <w:szCs w:val="21"/>
                <w:lang w:bidi="ar"/>
              </w:rPr>
              <w:t>通常为溶液或软膏（不包括凝胶）。所含成分不具有药理学作用。所含成分不可被人体吸收。</w:t>
            </w:r>
          </w:p>
        </w:tc>
        <w:tc>
          <w:tcPr>
            <w:tcW w:w="1092" w:type="dxa"/>
            <w:vMerge w:val="restart"/>
            <w:tcBorders>
              <w:top w:val="single" w:color="000000" w:sz="4" w:space="0"/>
              <w:left w:val="single" w:color="000000" w:sz="4" w:space="0"/>
              <w:bottom w:val="single" w:color="000000" w:sz="4" w:space="0"/>
              <w:right w:val="single" w:color="000000" w:sz="4" w:space="0"/>
            </w:tcBorders>
            <w:vAlign w:val="center"/>
          </w:tcPr>
          <w:p w14:paraId="631C0D45">
            <w:pPr>
              <w:widowControl/>
              <w:spacing w:line="240" w:lineRule="exact"/>
              <w:jc w:val="center"/>
              <w:textAlignment w:val="center"/>
              <w:rPr>
                <w:bCs/>
                <w:color w:val="000000"/>
                <w:szCs w:val="21"/>
              </w:rPr>
            </w:pPr>
            <w:r>
              <w:rPr>
                <w:bCs/>
                <w:color w:val="000000"/>
                <w:kern w:val="0"/>
                <w:szCs w:val="21"/>
                <w:lang w:bidi="ar"/>
              </w:rPr>
              <w:t>通过在创面表面形成保护层，起物理屏障作用。用于小创口、擦伤、切割伤等非慢性创面及周围皮肤的护理。</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14:paraId="35AAF5F5">
            <w:pPr>
              <w:widowControl/>
              <w:spacing w:line="240" w:lineRule="exact"/>
              <w:jc w:val="center"/>
              <w:textAlignment w:val="center"/>
              <w:rPr>
                <w:bCs/>
                <w:color w:val="000000"/>
                <w:szCs w:val="21"/>
              </w:rPr>
            </w:pPr>
            <w:r>
              <w:rPr>
                <w:bCs/>
                <w:color w:val="000000"/>
                <w:kern w:val="0"/>
                <w:szCs w:val="21"/>
                <w:lang w:bidi="ar"/>
              </w:rPr>
              <w:t>无菌液体敷料、无菌喷剂敷料、无菌伤口护理软膏、无菌液体伤口敷料、液体敷料、喷剂敷料、伤口护理软膏、液体伤口敷料</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14:paraId="2D169C95">
            <w:pPr>
              <w:widowControl/>
              <w:spacing w:line="240" w:lineRule="exact"/>
              <w:jc w:val="center"/>
              <w:textAlignment w:val="center"/>
              <w:rPr>
                <w:bCs/>
                <w:color w:val="000000"/>
                <w:szCs w:val="21"/>
              </w:rPr>
            </w:pPr>
            <w:r>
              <w:rPr>
                <w:bCs/>
                <w:color w:val="000000"/>
                <w:kern w:val="0"/>
                <w:szCs w:val="21"/>
                <w:lang w:bidi="ar"/>
              </w:rPr>
              <w:t>Ⅱ</w:t>
            </w:r>
          </w:p>
        </w:tc>
      </w:tr>
      <w:tr w14:paraId="76622AC6">
        <w:tblPrEx>
          <w:tblCellMar>
            <w:top w:w="0" w:type="dxa"/>
            <w:left w:w="108" w:type="dxa"/>
            <w:bottom w:w="0" w:type="dxa"/>
            <w:right w:w="108" w:type="dxa"/>
          </w:tblCellMar>
        </w:tblPrEx>
        <w:trPr>
          <w:trHeight w:val="2320" w:hRule="atLeast"/>
          <w:jc w:val="center"/>
        </w:trPr>
        <w:tc>
          <w:tcPr>
            <w:tcW w:w="458" w:type="dxa"/>
            <w:vMerge w:val="continue"/>
            <w:tcBorders>
              <w:top w:val="nil"/>
              <w:left w:val="single" w:color="000000" w:sz="4" w:space="0"/>
              <w:bottom w:val="single" w:color="000000" w:sz="4" w:space="0"/>
              <w:right w:val="single" w:color="000000" w:sz="4" w:space="0"/>
            </w:tcBorders>
            <w:vAlign w:val="center"/>
          </w:tcPr>
          <w:p w14:paraId="658DAFE2">
            <w:pPr>
              <w:spacing w:line="240" w:lineRule="exact"/>
              <w:jc w:val="center"/>
              <w:rPr>
                <w:bCs/>
                <w:color w:val="000000"/>
                <w:szCs w:val="21"/>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14:paraId="00589B20">
            <w:pPr>
              <w:spacing w:line="240" w:lineRule="exact"/>
              <w:jc w:val="center"/>
              <w:rPr>
                <w:bCs/>
                <w:color w:val="000000"/>
                <w:szCs w:val="21"/>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14:paraId="08914A45">
            <w:pPr>
              <w:spacing w:line="240" w:lineRule="exact"/>
              <w:jc w:val="center"/>
              <w:rPr>
                <w:bCs/>
                <w:color w:val="000000"/>
                <w:szCs w:val="21"/>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14:paraId="326A1FA0">
            <w:pPr>
              <w:spacing w:line="240" w:lineRule="exact"/>
              <w:jc w:val="center"/>
              <w:rPr>
                <w:bCs/>
                <w:color w:val="000000"/>
                <w:szCs w:val="21"/>
              </w:rPr>
            </w:pPr>
          </w:p>
        </w:tc>
        <w:tc>
          <w:tcPr>
            <w:tcW w:w="1899" w:type="dxa"/>
            <w:tcBorders>
              <w:top w:val="single" w:color="000000" w:sz="4" w:space="0"/>
              <w:left w:val="single" w:color="000000" w:sz="4" w:space="0"/>
              <w:bottom w:val="single" w:color="000000" w:sz="4" w:space="0"/>
              <w:right w:val="single" w:color="000000" w:sz="4" w:space="0"/>
            </w:tcBorders>
            <w:vAlign w:val="center"/>
          </w:tcPr>
          <w:p w14:paraId="1F7753EE">
            <w:pPr>
              <w:widowControl/>
              <w:spacing w:line="240" w:lineRule="exact"/>
              <w:jc w:val="center"/>
              <w:textAlignment w:val="center"/>
              <w:rPr>
                <w:bCs/>
                <w:color w:val="000000"/>
                <w:szCs w:val="21"/>
              </w:rPr>
            </w:pPr>
            <w:r>
              <w:rPr>
                <w:bCs/>
                <w:color w:val="000000"/>
                <w:kern w:val="0"/>
                <w:szCs w:val="21"/>
                <w:lang w:bidi="ar"/>
              </w:rPr>
              <w:t>通常为溶液或软膏（不包括凝胶）。所含成分不具有药理学作用。所含成分不可被人体吸收。非无菌提供。</w:t>
            </w:r>
          </w:p>
        </w:tc>
        <w:tc>
          <w:tcPr>
            <w:tcW w:w="1351" w:type="dxa"/>
            <w:tcBorders>
              <w:top w:val="single" w:color="000000" w:sz="4" w:space="0"/>
              <w:left w:val="single" w:color="000000" w:sz="4" w:space="0"/>
              <w:bottom w:val="single" w:color="000000" w:sz="4" w:space="0"/>
              <w:right w:val="single" w:color="000000" w:sz="4" w:space="0"/>
            </w:tcBorders>
            <w:vAlign w:val="center"/>
          </w:tcPr>
          <w:p w14:paraId="5B920C8F">
            <w:pPr>
              <w:widowControl/>
              <w:spacing w:line="240" w:lineRule="exact"/>
              <w:jc w:val="center"/>
              <w:textAlignment w:val="center"/>
              <w:rPr>
                <w:bCs/>
                <w:color w:val="000000"/>
                <w:szCs w:val="21"/>
              </w:rPr>
            </w:pPr>
            <w:r>
              <w:rPr>
                <w:bCs/>
                <w:color w:val="000000"/>
                <w:kern w:val="0"/>
                <w:szCs w:val="21"/>
                <w:lang w:bidi="ar"/>
              </w:rPr>
              <w:t>通过在创面表面形成保护层，起物理屏障作用。用于小创口、擦伤、切割伤等浅表性创面及周围皮肤的护理。</w:t>
            </w:r>
          </w:p>
        </w:tc>
        <w:tc>
          <w:tcPr>
            <w:tcW w:w="1074" w:type="dxa"/>
            <w:tcBorders>
              <w:top w:val="single" w:color="000000" w:sz="4" w:space="0"/>
              <w:left w:val="single" w:color="000000" w:sz="4" w:space="0"/>
              <w:bottom w:val="single" w:color="000000" w:sz="4" w:space="0"/>
              <w:right w:val="single" w:color="000000" w:sz="4" w:space="0"/>
            </w:tcBorders>
            <w:vAlign w:val="center"/>
          </w:tcPr>
          <w:p w14:paraId="129E1895">
            <w:pPr>
              <w:widowControl/>
              <w:spacing w:line="240" w:lineRule="exact"/>
              <w:jc w:val="center"/>
              <w:textAlignment w:val="center"/>
              <w:rPr>
                <w:bCs/>
                <w:color w:val="000000"/>
                <w:szCs w:val="21"/>
              </w:rPr>
            </w:pPr>
            <w:r>
              <w:rPr>
                <w:bCs/>
                <w:color w:val="000000"/>
                <w:kern w:val="0"/>
                <w:szCs w:val="21"/>
                <w:lang w:bidi="ar"/>
              </w:rPr>
              <w:t>液体敷料、喷剂敷料、伤口护理软膏、液体伤口敷料</w:t>
            </w:r>
          </w:p>
        </w:tc>
        <w:tc>
          <w:tcPr>
            <w:tcW w:w="740" w:type="dxa"/>
            <w:tcBorders>
              <w:top w:val="single" w:color="000000" w:sz="4" w:space="0"/>
              <w:left w:val="single" w:color="000000" w:sz="4" w:space="0"/>
              <w:bottom w:val="single" w:color="000000" w:sz="4" w:space="0"/>
              <w:right w:val="single" w:color="000000" w:sz="4" w:space="0"/>
            </w:tcBorders>
            <w:vAlign w:val="center"/>
          </w:tcPr>
          <w:p w14:paraId="4900C5C4">
            <w:pPr>
              <w:widowControl/>
              <w:spacing w:line="240" w:lineRule="exact"/>
              <w:jc w:val="center"/>
              <w:textAlignment w:val="center"/>
              <w:rPr>
                <w:bCs/>
                <w:color w:val="000000"/>
                <w:szCs w:val="21"/>
              </w:rPr>
            </w:pPr>
            <w:r>
              <w:rPr>
                <w:bCs/>
                <w:color w:val="000000"/>
                <w:kern w:val="0"/>
                <w:szCs w:val="21"/>
                <w:lang w:bidi="ar"/>
              </w:rPr>
              <w:t>Ⅰ</w:t>
            </w: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14:paraId="0B44FEE5">
            <w:pPr>
              <w:spacing w:line="240" w:lineRule="exact"/>
              <w:jc w:val="center"/>
              <w:rPr>
                <w:bCs/>
                <w:color w:val="000000"/>
                <w:szCs w:val="21"/>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14:paraId="183C021D">
            <w:pPr>
              <w:spacing w:line="240" w:lineRule="exact"/>
              <w:jc w:val="center"/>
              <w:rPr>
                <w:bCs/>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14:paraId="1C82A73A">
            <w:pPr>
              <w:spacing w:line="240" w:lineRule="exact"/>
              <w:jc w:val="center"/>
              <w:rPr>
                <w:bCs/>
                <w:color w:val="000000"/>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14:paraId="5689AE9F">
            <w:pPr>
              <w:spacing w:line="240" w:lineRule="exact"/>
              <w:jc w:val="center"/>
              <w:rPr>
                <w:bCs/>
                <w:color w:val="000000"/>
                <w:szCs w:val="21"/>
              </w:rPr>
            </w:pPr>
          </w:p>
        </w:tc>
        <w:tc>
          <w:tcPr>
            <w:tcW w:w="1092" w:type="dxa"/>
            <w:vMerge w:val="continue"/>
            <w:tcBorders>
              <w:top w:val="single" w:color="000000" w:sz="4" w:space="0"/>
              <w:left w:val="single" w:color="000000" w:sz="4" w:space="0"/>
              <w:bottom w:val="single" w:color="000000" w:sz="4" w:space="0"/>
              <w:right w:val="single" w:color="000000" w:sz="4" w:space="0"/>
            </w:tcBorders>
            <w:vAlign w:val="center"/>
          </w:tcPr>
          <w:p w14:paraId="3261057E">
            <w:pPr>
              <w:spacing w:line="240" w:lineRule="exact"/>
              <w:jc w:val="center"/>
              <w:rPr>
                <w:bCs/>
                <w:color w:val="000000"/>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14:paraId="619A37DF">
            <w:pPr>
              <w:spacing w:line="240" w:lineRule="exact"/>
              <w:jc w:val="center"/>
              <w:rPr>
                <w:bCs/>
                <w:color w:val="000000"/>
                <w:szCs w:val="21"/>
              </w:rPr>
            </w:pP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14:paraId="43849764">
            <w:pPr>
              <w:spacing w:line="240" w:lineRule="exact"/>
              <w:jc w:val="center"/>
              <w:rPr>
                <w:bCs/>
                <w:color w:val="000000"/>
                <w:szCs w:val="21"/>
              </w:rPr>
            </w:pPr>
          </w:p>
        </w:tc>
      </w:tr>
    </w:tbl>
    <w:p w14:paraId="6B7DC576">
      <w:pPr>
        <w:rPr>
          <w:rFonts w:hint="eastAsia" w:eastAsia="仿宋_GB2312"/>
          <w:sz w:val="28"/>
          <w:szCs w:val="28"/>
        </w:rPr>
      </w:pPr>
    </w:p>
    <w:p w14:paraId="20AEF2D1">
      <w:pPr>
        <w:tabs>
          <w:tab w:val="left" w:pos="7200"/>
          <w:tab w:val="left" w:pos="7380"/>
          <w:tab w:val="left" w:pos="7560"/>
        </w:tabs>
        <w:spacing w:line="500" w:lineRule="exact"/>
        <w:rPr>
          <w:rFonts w:hint="eastAsia" w:eastAsia="宋体"/>
          <w:lang w:eastAsia="zh-CN"/>
        </w:rPr>
      </w:pPr>
    </w:p>
    <w:p w14:paraId="3ADD2253">
      <w:pPr>
        <w:tabs>
          <w:tab w:val="left" w:pos="7200"/>
          <w:tab w:val="left" w:pos="7380"/>
          <w:tab w:val="left" w:pos="7560"/>
        </w:tabs>
        <w:spacing w:line="500" w:lineRule="exact"/>
        <w:jc w:val="center"/>
        <w:rPr>
          <w:rFonts w:hint="eastAsia" w:eastAsia="宋体"/>
          <w:lang w:eastAsia="zh-CN"/>
        </w:rPr>
      </w:pPr>
    </w:p>
    <w:p w14:paraId="1F35115C">
      <w:pPr>
        <w:tabs>
          <w:tab w:val="left" w:pos="7200"/>
          <w:tab w:val="left" w:pos="7380"/>
          <w:tab w:val="left" w:pos="7560"/>
        </w:tabs>
        <w:spacing w:line="50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6838" w:h="11906" w:orient="landscape"/>
      <w:pgMar w:top="1134" w:right="1134" w:bottom="1134" w:left="1134" w:header="851" w:footer="737" w:gutter="0"/>
      <w:cols w:space="72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767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67959BC4">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14:paraId="67959BC4">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C1840">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7C22A68">
                          <w:pPr>
                            <w:pStyle w:val="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47C22A6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20F5"/>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4F7E2A"/>
    <w:rsid w:val="0050179C"/>
    <w:rsid w:val="005410CE"/>
    <w:rsid w:val="005455A8"/>
    <w:rsid w:val="0056324D"/>
    <w:rsid w:val="00564625"/>
    <w:rsid w:val="0056661D"/>
    <w:rsid w:val="00581B3E"/>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730E8"/>
    <w:rsid w:val="00F8685B"/>
    <w:rsid w:val="00FA60C8"/>
    <w:rsid w:val="00FD22E5"/>
    <w:rsid w:val="00FD443E"/>
    <w:rsid w:val="00FD754D"/>
    <w:rsid w:val="0BEC7EA0"/>
    <w:rsid w:val="0F9E0E77"/>
    <w:rsid w:val="143E6E43"/>
    <w:rsid w:val="17B7B641"/>
    <w:rsid w:val="273F0DA7"/>
    <w:rsid w:val="29EDB553"/>
    <w:rsid w:val="2A8D465A"/>
    <w:rsid w:val="2ADFE5D7"/>
    <w:rsid w:val="2EFFAC97"/>
    <w:rsid w:val="35BF7539"/>
    <w:rsid w:val="3A85C5CC"/>
    <w:rsid w:val="43E2636A"/>
    <w:rsid w:val="46FFA7E5"/>
    <w:rsid w:val="4BFF57EB"/>
    <w:rsid w:val="4C1A048F"/>
    <w:rsid w:val="591D3208"/>
    <w:rsid w:val="5ADFC6F5"/>
    <w:rsid w:val="5F297A5F"/>
    <w:rsid w:val="63E446CD"/>
    <w:rsid w:val="63EDFE96"/>
    <w:rsid w:val="687FBB2A"/>
    <w:rsid w:val="6BCBFA0D"/>
    <w:rsid w:val="6BFFD120"/>
    <w:rsid w:val="6FEFACE7"/>
    <w:rsid w:val="75FBBAB6"/>
    <w:rsid w:val="76F51E30"/>
    <w:rsid w:val="7D3F58E3"/>
    <w:rsid w:val="7D59CDAE"/>
    <w:rsid w:val="7DF7BFE5"/>
    <w:rsid w:val="7ED62E8A"/>
    <w:rsid w:val="7F2BA17C"/>
    <w:rsid w:val="7F6C7EE4"/>
    <w:rsid w:val="7FDF1D24"/>
    <w:rsid w:val="B5E614D2"/>
    <w:rsid w:val="B7BB9FBE"/>
    <w:rsid w:val="B7FB575F"/>
    <w:rsid w:val="B9FF258E"/>
    <w:rsid w:val="BDAF2565"/>
    <w:rsid w:val="BE7FD8ED"/>
    <w:rsid w:val="CC1E686C"/>
    <w:rsid w:val="D3F7B903"/>
    <w:rsid w:val="DE7C2AC9"/>
    <w:rsid w:val="DFF54689"/>
    <w:rsid w:val="DFFD1973"/>
    <w:rsid w:val="EB7D6BB1"/>
    <w:rsid w:val="EEFEB0A0"/>
    <w:rsid w:val="EF794445"/>
    <w:rsid w:val="EFEF1B44"/>
    <w:rsid w:val="F6EF92BD"/>
    <w:rsid w:val="F77E5CB9"/>
    <w:rsid w:val="FB77452B"/>
    <w:rsid w:val="FDCF8965"/>
    <w:rsid w:val="FF3787D0"/>
    <w:rsid w:val="FF72B227"/>
    <w:rsid w:val="FFBD01B8"/>
    <w:rsid w:val="FFBFB8A9"/>
    <w:rsid w:val="FFEF52B6"/>
    <w:rsid w:val="FFFFF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 w:type="character" w:customStyle="1" w:styleId="10">
    <w:name w:val="页眉 Char"/>
    <w:link w:val="5"/>
    <w:uiPriority w:val="99"/>
    <w:rPr>
      <w:kern w:val="2"/>
      <w:sz w:val="18"/>
      <w:szCs w:val="18"/>
    </w:rPr>
  </w:style>
  <w:style w:type="character" w:customStyle="1" w:styleId="11">
    <w:name w:val="font11"/>
    <w:basedOn w:val="7"/>
    <w:qFormat/>
    <w:uiPriority w:val="0"/>
    <w:rPr>
      <w:rFonts w:hint="eastAsia" w:ascii="宋体" w:hAnsi="宋体" w:eastAsia="宋体" w:cs="宋体"/>
      <w:b/>
      <w:color w:val="000000"/>
      <w:sz w:val="24"/>
      <w:szCs w:val="24"/>
      <w:u w:val="none"/>
    </w:rPr>
  </w:style>
  <w:style w:type="character" w:customStyle="1" w:styleId="12">
    <w:name w:val="font01"/>
    <w:basedOn w:val="7"/>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4</Pages>
  <Words>2070</Words>
  <Characters>2190</Characters>
  <Lines>17</Lines>
  <Paragraphs>4</Paragraphs>
  <TotalTime>0</TotalTime>
  <ScaleCrop>false</ScaleCrop>
  <LinksUpToDate>false</LinksUpToDate>
  <CharactersWithSpaces>2190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2022-03-24T07:42:00Z</dcterms:created>
  <dc:creator>Xtzj.User</dc:creator>
  <cp:lastModifiedBy>太极箫客</cp:lastModifiedBy>
  <cp:lastPrinted>2022-03-24T17:28:00Z</cp:lastPrinted>
  <dcterms:modified xsi:type="dcterms:W3CDTF">2025-08-14T06:25:51Z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E58ABE70244448FA8F4105159A3DBC4A_12</vt:lpwstr>
  </property>
</Properties>
</file>