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70" w:rsidRPr="00AB5FC8" w:rsidRDefault="00FE0870" w:rsidP="00EC3DB5">
      <w:pPr>
        <w:pBdr>
          <w:bottom w:val="single" w:sz="4" w:space="1" w:color="auto"/>
        </w:pBdr>
        <w:kinsoku w:val="0"/>
        <w:overflowPunct w:val="0"/>
        <w:snapToGrid w:val="0"/>
        <w:spacing w:line="360" w:lineRule="auto"/>
        <w:jc w:val="center"/>
        <w:rPr>
          <w:sz w:val="36"/>
          <w:szCs w:val="36"/>
        </w:rPr>
      </w:pPr>
      <w:r w:rsidRPr="00AB5FC8">
        <w:rPr>
          <w:b/>
          <w:sz w:val="36"/>
          <w:szCs w:val="36"/>
        </w:rPr>
        <w:t>II</w:t>
      </w:r>
      <w:r w:rsidRPr="00AB5FC8">
        <w:rPr>
          <w:rFonts w:hAnsi="宋体" w:hint="eastAsia"/>
          <w:b/>
          <w:sz w:val="36"/>
          <w:szCs w:val="36"/>
        </w:rPr>
        <w:t>类</w:t>
      </w:r>
      <w:r w:rsidR="007F3D1B">
        <w:rPr>
          <w:rFonts w:hAnsi="宋体" w:hint="eastAsia"/>
          <w:b/>
          <w:sz w:val="36"/>
          <w:szCs w:val="36"/>
        </w:rPr>
        <w:t>特殊控制</w:t>
      </w:r>
      <w:r w:rsidRPr="00AB5FC8">
        <w:rPr>
          <w:rFonts w:hAnsi="宋体" w:hint="eastAsia"/>
          <w:b/>
          <w:sz w:val="36"/>
          <w:szCs w:val="36"/>
        </w:rPr>
        <w:t>指南：</w:t>
      </w:r>
      <w:r w:rsidR="005F2B08">
        <w:rPr>
          <w:rFonts w:hAnsi="宋体" w:hint="eastAsia"/>
          <w:b/>
          <w:bCs/>
          <w:sz w:val="36"/>
          <w:szCs w:val="36"/>
        </w:rPr>
        <w:t>JC</w:t>
      </w:r>
      <w:r w:rsidRPr="00AB5FC8">
        <w:rPr>
          <w:rFonts w:hAnsi="宋体" w:hint="eastAsia"/>
          <w:b/>
          <w:bCs/>
          <w:sz w:val="36"/>
          <w:szCs w:val="36"/>
        </w:rPr>
        <w:t>病毒血清试剂</w:t>
      </w:r>
    </w:p>
    <w:p w:rsidR="00FE0870" w:rsidRPr="00AB5FC8" w:rsidRDefault="00FE0870" w:rsidP="00EC3DB5">
      <w:pPr>
        <w:kinsoku w:val="0"/>
        <w:overflowPunct w:val="0"/>
        <w:snapToGrid w:val="0"/>
        <w:spacing w:line="360" w:lineRule="auto"/>
        <w:jc w:val="center"/>
        <w:rPr>
          <w:b/>
          <w:bCs/>
          <w:sz w:val="36"/>
          <w:szCs w:val="36"/>
        </w:rPr>
      </w:pPr>
      <w:r w:rsidRPr="00AB5FC8">
        <w:rPr>
          <w:rFonts w:hAnsi="宋体" w:hint="eastAsia"/>
          <w:b/>
          <w:bCs/>
          <w:sz w:val="36"/>
          <w:szCs w:val="36"/>
        </w:rPr>
        <w:t>行业</w:t>
      </w:r>
      <w:r w:rsidR="00043E17" w:rsidRPr="00043E17">
        <w:rPr>
          <w:rFonts w:hAnsi="宋体" w:hint="eastAsia"/>
          <w:b/>
          <w:bCs/>
          <w:sz w:val="36"/>
          <w:szCs w:val="36"/>
        </w:rPr>
        <w:t>及</w:t>
      </w:r>
      <w:r w:rsidR="00F71A6B">
        <w:rPr>
          <w:rFonts w:hAnsi="宋体" w:hint="eastAsia"/>
          <w:b/>
          <w:bCs/>
          <w:sz w:val="36"/>
          <w:szCs w:val="36"/>
        </w:rPr>
        <w:t>美国</w:t>
      </w:r>
      <w:r w:rsidR="00430131">
        <w:rPr>
          <w:rFonts w:hAnsi="宋体" w:hint="eastAsia"/>
          <w:b/>
          <w:bCs/>
          <w:sz w:val="36"/>
          <w:szCs w:val="36"/>
        </w:rPr>
        <w:t>食品药品管理局</w:t>
      </w:r>
      <w:r w:rsidRPr="00AB5FC8">
        <w:rPr>
          <w:rFonts w:hAnsi="宋体" w:hint="eastAsia"/>
          <w:b/>
          <w:bCs/>
          <w:sz w:val="36"/>
          <w:szCs w:val="36"/>
        </w:rPr>
        <w:t>工作人员指南</w:t>
      </w:r>
    </w:p>
    <w:p w:rsidR="00FE0870" w:rsidRPr="00EC3DB5" w:rsidRDefault="00FE0870" w:rsidP="00D20CDC">
      <w:pPr>
        <w:snapToGrid w:val="0"/>
        <w:spacing w:beforeLines="100" w:line="360" w:lineRule="auto"/>
        <w:jc w:val="center"/>
        <w:rPr>
          <w:b/>
          <w:bCs/>
          <w:sz w:val="21"/>
          <w:szCs w:val="21"/>
        </w:rPr>
      </w:pPr>
      <w:r w:rsidRPr="00EC3DB5">
        <w:rPr>
          <w:rFonts w:hAnsi="宋体" w:hint="eastAsia"/>
          <w:b/>
          <w:bCs/>
          <w:sz w:val="21"/>
          <w:szCs w:val="21"/>
        </w:rPr>
        <w:t>文件发布日期：</w:t>
      </w:r>
      <w:r w:rsidRPr="00EC3DB5">
        <w:rPr>
          <w:b/>
          <w:bCs/>
          <w:sz w:val="21"/>
          <w:szCs w:val="21"/>
        </w:rPr>
        <w:t>2014</w:t>
      </w:r>
      <w:r w:rsidRPr="00EC3DB5">
        <w:rPr>
          <w:rFonts w:hAnsi="宋体" w:hint="eastAsia"/>
          <w:b/>
          <w:bCs/>
          <w:sz w:val="21"/>
          <w:szCs w:val="21"/>
        </w:rPr>
        <w:t>年</w:t>
      </w:r>
      <w:r w:rsidRPr="00EC3DB5">
        <w:rPr>
          <w:b/>
          <w:bCs/>
          <w:sz w:val="21"/>
          <w:szCs w:val="21"/>
        </w:rPr>
        <w:t>1</w:t>
      </w:r>
      <w:r w:rsidRPr="00EC3DB5">
        <w:rPr>
          <w:rFonts w:hAnsi="宋体" w:hint="eastAsia"/>
          <w:b/>
          <w:bCs/>
          <w:sz w:val="21"/>
          <w:szCs w:val="21"/>
        </w:rPr>
        <w:t>月</w:t>
      </w:r>
      <w:r w:rsidRPr="00EC3DB5">
        <w:rPr>
          <w:b/>
          <w:bCs/>
          <w:sz w:val="21"/>
          <w:szCs w:val="21"/>
        </w:rPr>
        <w:t>23</w:t>
      </w:r>
      <w:r w:rsidRPr="00EC3DB5">
        <w:rPr>
          <w:rFonts w:hAnsi="宋体" w:hint="eastAsia"/>
          <w:b/>
          <w:bCs/>
          <w:sz w:val="21"/>
          <w:szCs w:val="21"/>
        </w:rPr>
        <w:t>日</w:t>
      </w:r>
    </w:p>
    <w:p w:rsidR="00FE0870" w:rsidRDefault="00FE0870" w:rsidP="00EC3DB5">
      <w:pPr>
        <w:pStyle w:val="a3"/>
        <w:kinsoku w:val="0"/>
        <w:overflowPunct w:val="0"/>
        <w:snapToGrid w:val="0"/>
        <w:spacing w:line="360" w:lineRule="auto"/>
        <w:ind w:left="0"/>
        <w:jc w:val="both"/>
        <w:rPr>
          <w:sz w:val="21"/>
          <w:szCs w:val="21"/>
        </w:rPr>
      </w:pPr>
    </w:p>
    <w:p w:rsidR="00FE0870" w:rsidRPr="00EC3DB5" w:rsidRDefault="00FE0870" w:rsidP="00EC3DB5">
      <w:pPr>
        <w:pStyle w:val="a3"/>
        <w:kinsoku w:val="0"/>
        <w:overflowPunct w:val="0"/>
        <w:snapToGrid w:val="0"/>
        <w:spacing w:line="360" w:lineRule="auto"/>
        <w:ind w:left="0"/>
        <w:jc w:val="both"/>
        <w:rPr>
          <w:sz w:val="21"/>
          <w:szCs w:val="21"/>
        </w:rPr>
      </w:pPr>
    </w:p>
    <w:p w:rsidR="00FE0870" w:rsidRPr="00EC3DB5" w:rsidRDefault="00FE0870" w:rsidP="00EC3DB5">
      <w:pPr>
        <w:pStyle w:val="a3"/>
        <w:kinsoku w:val="0"/>
        <w:overflowPunct w:val="0"/>
        <w:snapToGrid w:val="0"/>
        <w:spacing w:line="360" w:lineRule="auto"/>
        <w:ind w:left="0"/>
        <w:jc w:val="both"/>
        <w:rPr>
          <w:sz w:val="21"/>
          <w:szCs w:val="21"/>
        </w:rPr>
      </w:pPr>
      <w:r w:rsidRPr="00EC3DB5">
        <w:rPr>
          <w:rFonts w:hAnsi="宋体" w:hint="eastAsia"/>
          <w:sz w:val="21"/>
          <w:szCs w:val="21"/>
        </w:rPr>
        <w:t>如有与本文相关的问题，请联系微生物学器械部的</w:t>
      </w:r>
      <w:r w:rsidRPr="00EC3DB5">
        <w:rPr>
          <w:sz w:val="21"/>
          <w:szCs w:val="21"/>
        </w:rPr>
        <w:t>Haja Sittana El Mubarak</w:t>
      </w:r>
      <w:r w:rsidRPr="00EC3DB5">
        <w:rPr>
          <w:rFonts w:hAnsi="宋体" w:hint="eastAsia"/>
          <w:sz w:val="21"/>
          <w:szCs w:val="21"/>
        </w:rPr>
        <w:t>（电话：</w:t>
      </w:r>
      <w:r w:rsidRPr="00EC3DB5">
        <w:rPr>
          <w:sz w:val="21"/>
          <w:szCs w:val="21"/>
        </w:rPr>
        <w:t>301-796-6193</w:t>
      </w:r>
      <w:r w:rsidRPr="00EC3DB5">
        <w:rPr>
          <w:rFonts w:hAnsi="宋体" w:hint="eastAsia"/>
          <w:sz w:val="21"/>
          <w:szCs w:val="21"/>
        </w:rPr>
        <w:t>；邮件：</w:t>
      </w:r>
      <w:r w:rsidRPr="00EC3DB5">
        <w:rPr>
          <w:sz w:val="21"/>
          <w:szCs w:val="21"/>
          <w:u w:val="single"/>
        </w:rPr>
        <w:t>HajaSittana.ElMubarak@fda.hhs.gov</w:t>
      </w:r>
      <w:r w:rsidRPr="00EC3DB5">
        <w:rPr>
          <w:rFonts w:hAnsi="宋体" w:hint="eastAsia"/>
          <w:sz w:val="21"/>
          <w:szCs w:val="21"/>
        </w:rPr>
        <w:t>）或</w:t>
      </w:r>
      <w:r w:rsidRPr="00EC3DB5">
        <w:rPr>
          <w:sz w:val="21"/>
          <w:szCs w:val="21"/>
        </w:rPr>
        <w:t>Marina Kondratovich</w:t>
      </w:r>
      <w:r w:rsidRPr="00EC3DB5">
        <w:rPr>
          <w:rFonts w:hAnsi="宋体" w:hint="eastAsia"/>
          <w:sz w:val="21"/>
          <w:szCs w:val="21"/>
        </w:rPr>
        <w:t>（电话：</w:t>
      </w:r>
      <w:r w:rsidRPr="00EC3DB5">
        <w:rPr>
          <w:sz w:val="21"/>
          <w:szCs w:val="21"/>
        </w:rPr>
        <w:t>301-796-6036</w:t>
      </w:r>
      <w:r w:rsidRPr="00EC3DB5">
        <w:rPr>
          <w:rFonts w:hAnsi="宋体" w:hint="eastAsia"/>
          <w:sz w:val="21"/>
          <w:szCs w:val="21"/>
        </w:rPr>
        <w:t>；邮件：</w:t>
      </w:r>
      <w:hyperlink r:id="rId7" w:history="1">
        <w:r w:rsidRPr="00EC3DB5">
          <w:rPr>
            <w:rStyle w:val="ac"/>
            <w:color w:val="auto"/>
            <w:sz w:val="21"/>
            <w:szCs w:val="21"/>
          </w:rPr>
          <w:t>Marina.Kondratovich@fda.hhs.gov</w:t>
        </w:r>
      </w:hyperlink>
      <w:r w:rsidRPr="00EC3DB5">
        <w:rPr>
          <w:rFonts w:hAnsi="宋体" w:hint="eastAsia"/>
          <w:sz w:val="21"/>
          <w:szCs w:val="21"/>
        </w:rPr>
        <w:t>）。</w:t>
      </w:r>
    </w:p>
    <w:p w:rsidR="00FE0870" w:rsidRDefault="00FE0870" w:rsidP="00EC3DB5">
      <w:pPr>
        <w:pStyle w:val="2"/>
        <w:kinsoku w:val="0"/>
        <w:overflowPunct w:val="0"/>
        <w:snapToGrid w:val="0"/>
        <w:spacing w:line="360" w:lineRule="auto"/>
        <w:ind w:left="0" w:firstLine="0"/>
        <w:jc w:val="both"/>
        <w:rPr>
          <w:b w:val="0"/>
          <w:sz w:val="21"/>
          <w:szCs w:val="21"/>
        </w:rPr>
      </w:pPr>
    </w:p>
    <w:p w:rsidR="00FE0870" w:rsidRDefault="00FE0870" w:rsidP="00EC3DB5">
      <w:pPr>
        <w:pStyle w:val="2"/>
        <w:kinsoku w:val="0"/>
        <w:overflowPunct w:val="0"/>
        <w:snapToGrid w:val="0"/>
        <w:spacing w:line="360" w:lineRule="auto"/>
        <w:ind w:left="0" w:firstLine="0"/>
        <w:jc w:val="both"/>
        <w:rPr>
          <w:b w:val="0"/>
          <w:sz w:val="21"/>
          <w:szCs w:val="21"/>
        </w:rPr>
      </w:pPr>
    </w:p>
    <w:p w:rsidR="00FE0870" w:rsidRPr="00EC3DB5" w:rsidRDefault="00FE0870" w:rsidP="00EC3DB5">
      <w:pPr>
        <w:pStyle w:val="2"/>
        <w:kinsoku w:val="0"/>
        <w:overflowPunct w:val="0"/>
        <w:snapToGrid w:val="0"/>
        <w:spacing w:line="360" w:lineRule="auto"/>
        <w:ind w:left="0" w:firstLine="0"/>
        <w:jc w:val="both"/>
        <w:rPr>
          <w:b w:val="0"/>
          <w:sz w:val="21"/>
          <w:szCs w:val="21"/>
        </w:rPr>
      </w:pPr>
    </w:p>
    <w:tbl>
      <w:tblPr>
        <w:tblW w:w="0" w:type="auto"/>
        <w:tblLook w:val="00A0"/>
      </w:tblPr>
      <w:tblGrid>
        <w:gridCol w:w="2093"/>
        <w:gridCol w:w="6436"/>
      </w:tblGrid>
      <w:tr w:rsidR="00FE0870" w:rsidRPr="00EC3DB5" w:rsidTr="008A67A4">
        <w:tc>
          <w:tcPr>
            <w:tcW w:w="2093" w:type="dxa"/>
          </w:tcPr>
          <w:p w:rsidR="00FE0870" w:rsidRPr="00EC3DB5" w:rsidRDefault="00CA4A24" w:rsidP="00EC3DB5">
            <w:pPr>
              <w:kinsoku w:val="0"/>
              <w:overflowPunct w:val="0"/>
              <w:snapToGrid w:val="0"/>
              <w:spacing w:line="360" w:lineRule="auto"/>
              <w:jc w:val="both"/>
              <w:rPr>
                <w:sz w:val="21"/>
                <w:szCs w:val="21"/>
                <w:vertAlign w:val="superscript"/>
              </w:rPr>
            </w:pPr>
            <w:r>
              <w:rPr>
                <w:noProof/>
                <w:sz w:val="21"/>
                <w:szCs w:val="21"/>
              </w:rPr>
              <w:drawing>
                <wp:inline distT="0" distB="0" distL="0" distR="0">
                  <wp:extent cx="828040" cy="9055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040" cy="905510"/>
                          </a:xfrm>
                          <a:prstGeom prst="rect">
                            <a:avLst/>
                          </a:prstGeom>
                          <a:noFill/>
                          <a:ln>
                            <a:noFill/>
                          </a:ln>
                        </pic:spPr>
                      </pic:pic>
                    </a:graphicData>
                  </a:graphic>
                </wp:inline>
              </w:drawing>
            </w:r>
          </w:p>
        </w:tc>
        <w:tc>
          <w:tcPr>
            <w:tcW w:w="6436" w:type="dxa"/>
          </w:tcPr>
          <w:p w:rsidR="00FE0870" w:rsidRPr="00AB5FC8" w:rsidRDefault="00FE0870" w:rsidP="00EC3DB5">
            <w:pPr>
              <w:kinsoku w:val="0"/>
              <w:overflowPunct w:val="0"/>
              <w:snapToGrid w:val="0"/>
              <w:spacing w:line="360" w:lineRule="auto"/>
              <w:jc w:val="right"/>
              <w:rPr>
                <w:b/>
                <w:bCs/>
                <w:sz w:val="18"/>
                <w:szCs w:val="18"/>
              </w:rPr>
            </w:pPr>
            <w:r w:rsidRPr="00AB5FC8">
              <w:rPr>
                <w:rFonts w:hAnsi="宋体" w:hint="eastAsia"/>
                <w:b/>
                <w:bCs/>
                <w:sz w:val="18"/>
                <w:szCs w:val="18"/>
              </w:rPr>
              <w:t>美国卫生和人类服务部</w:t>
            </w:r>
          </w:p>
          <w:p w:rsidR="00FE0870" w:rsidRPr="00AB5FC8" w:rsidRDefault="00FE0870" w:rsidP="00EC3DB5">
            <w:pPr>
              <w:kinsoku w:val="0"/>
              <w:overflowPunct w:val="0"/>
              <w:snapToGrid w:val="0"/>
              <w:spacing w:line="360" w:lineRule="auto"/>
              <w:jc w:val="right"/>
              <w:rPr>
                <w:b/>
                <w:bCs/>
                <w:sz w:val="18"/>
                <w:szCs w:val="18"/>
              </w:rPr>
            </w:pPr>
            <w:r w:rsidRPr="00AB5FC8">
              <w:rPr>
                <w:rFonts w:hAnsi="宋体" w:hint="eastAsia"/>
                <w:b/>
                <w:bCs/>
                <w:sz w:val="18"/>
                <w:szCs w:val="18"/>
              </w:rPr>
              <w:t>美国</w:t>
            </w:r>
            <w:r w:rsidR="00430131">
              <w:rPr>
                <w:rFonts w:hAnsi="宋体" w:hint="eastAsia"/>
                <w:b/>
                <w:bCs/>
                <w:sz w:val="18"/>
                <w:szCs w:val="18"/>
              </w:rPr>
              <w:t>食品药品管理局</w:t>
            </w:r>
          </w:p>
          <w:p w:rsidR="00FE0870" w:rsidRPr="00AB5FC8" w:rsidRDefault="00FE0870" w:rsidP="00EC3DB5">
            <w:pPr>
              <w:kinsoku w:val="0"/>
              <w:overflowPunct w:val="0"/>
              <w:snapToGrid w:val="0"/>
              <w:spacing w:line="360" w:lineRule="auto"/>
              <w:jc w:val="right"/>
              <w:rPr>
                <w:b/>
                <w:bCs/>
                <w:sz w:val="18"/>
                <w:szCs w:val="18"/>
              </w:rPr>
            </w:pPr>
            <w:r w:rsidRPr="00AB5FC8">
              <w:rPr>
                <w:rFonts w:hAnsi="宋体" w:hint="eastAsia"/>
                <w:b/>
                <w:bCs/>
                <w:sz w:val="18"/>
                <w:szCs w:val="18"/>
              </w:rPr>
              <w:t>器械与放射卫生中心</w:t>
            </w:r>
          </w:p>
          <w:p w:rsidR="00FE0870" w:rsidRPr="00AB5FC8" w:rsidRDefault="00FE0870" w:rsidP="00EC3DB5">
            <w:pPr>
              <w:kinsoku w:val="0"/>
              <w:overflowPunct w:val="0"/>
              <w:snapToGrid w:val="0"/>
              <w:spacing w:line="360" w:lineRule="auto"/>
              <w:jc w:val="right"/>
              <w:rPr>
                <w:b/>
                <w:bCs/>
                <w:sz w:val="18"/>
                <w:szCs w:val="18"/>
              </w:rPr>
            </w:pPr>
            <w:r w:rsidRPr="00AB5FC8">
              <w:rPr>
                <w:rFonts w:hAnsi="宋体" w:hint="eastAsia"/>
                <w:b/>
                <w:bCs/>
                <w:sz w:val="18"/>
                <w:szCs w:val="18"/>
              </w:rPr>
              <w:t>体外诊断和放射健康办公室</w:t>
            </w:r>
          </w:p>
          <w:p w:rsidR="00FE0870" w:rsidRPr="00AB5FC8" w:rsidRDefault="00FE0870" w:rsidP="00EC3DB5">
            <w:pPr>
              <w:kinsoku w:val="0"/>
              <w:overflowPunct w:val="0"/>
              <w:snapToGrid w:val="0"/>
              <w:spacing w:line="360" w:lineRule="auto"/>
              <w:jc w:val="right"/>
              <w:rPr>
                <w:sz w:val="18"/>
                <w:szCs w:val="18"/>
              </w:rPr>
            </w:pPr>
            <w:r w:rsidRPr="00AB5FC8">
              <w:rPr>
                <w:rFonts w:hAnsi="宋体" w:hint="eastAsia"/>
                <w:b/>
                <w:bCs/>
                <w:sz w:val="18"/>
                <w:szCs w:val="18"/>
              </w:rPr>
              <w:t>微生物器械部</w:t>
            </w:r>
          </w:p>
        </w:tc>
      </w:tr>
    </w:tbl>
    <w:p w:rsidR="00FE0870" w:rsidRPr="00AB5FC8" w:rsidRDefault="00FE0870" w:rsidP="00AB5FC8">
      <w:pPr>
        <w:widowControl/>
        <w:autoSpaceDE/>
        <w:autoSpaceDN/>
        <w:snapToGrid w:val="0"/>
        <w:spacing w:line="360" w:lineRule="auto"/>
        <w:jc w:val="center"/>
        <w:rPr>
          <w:b/>
          <w:bCs/>
        </w:rPr>
      </w:pPr>
      <w:r w:rsidRPr="00EC3DB5">
        <w:rPr>
          <w:b/>
          <w:sz w:val="21"/>
          <w:szCs w:val="21"/>
        </w:rPr>
        <w:br w:type="page"/>
      </w:r>
      <w:bookmarkStart w:id="0" w:name="_Hlk495406895"/>
      <w:r w:rsidRPr="00AB5FC8">
        <w:rPr>
          <w:rFonts w:hAnsi="宋体" w:hint="eastAsia"/>
          <w:b/>
          <w:bCs/>
        </w:rPr>
        <w:lastRenderedPageBreak/>
        <w:t>前言</w:t>
      </w:r>
    </w:p>
    <w:p w:rsidR="00FE0870" w:rsidRPr="00AB5FC8" w:rsidRDefault="00FE0870" w:rsidP="00D20CDC">
      <w:pPr>
        <w:pStyle w:val="CM23"/>
        <w:snapToGrid w:val="0"/>
        <w:spacing w:beforeLines="50" w:after="0" w:line="360" w:lineRule="auto"/>
        <w:jc w:val="both"/>
      </w:pPr>
      <w:r w:rsidRPr="00AB5FC8">
        <w:rPr>
          <w:rFonts w:hAnsi="宋体" w:hint="eastAsia"/>
          <w:b/>
          <w:bCs/>
        </w:rPr>
        <w:t>公众意见</w:t>
      </w:r>
    </w:p>
    <w:p w:rsidR="00FE0870" w:rsidRPr="00EC3DB5" w:rsidRDefault="00FE0870" w:rsidP="00D20CDC">
      <w:pPr>
        <w:pStyle w:val="2"/>
        <w:kinsoku w:val="0"/>
        <w:overflowPunct w:val="0"/>
        <w:snapToGrid w:val="0"/>
        <w:spacing w:beforeLines="50" w:line="360" w:lineRule="auto"/>
        <w:ind w:left="0" w:firstLine="0"/>
        <w:jc w:val="both"/>
        <w:rPr>
          <w:b w:val="0"/>
          <w:sz w:val="21"/>
          <w:szCs w:val="21"/>
        </w:rPr>
      </w:pPr>
      <w:bookmarkStart w:id="1" w:name="_Toc496797903"/>
      <w:bookmarkEnd w:id="0"/>
      <w:r w:rsidRPr="00EC3DB5">
        <w:rPr>
          <w:rFonts w:hAnsi="宋体" w:hint="eastAsia"/>
          <w:b w:val="0"/>
          <w:sz w:val="21"/>
          <w:szCs w:val="21"/>
        </w:rPr>
        <w:t>您可以随时向</w:t>
      </w:r>
      <w:r w:rsidR="00F71A6B">
        <w:rPr>
          <w:rFonts w:hAnsi="宋体" w:hint="eastAsia"/>
          <w:b w:val="0"/>
          <w:sz w:val="21"/>
          <w:szCs w:val="21"/>
        </w:rPr>
        <w:t>美国</w:t>
      </w:r>
      <w:r w:rsidR="00430131">
        <w:rPr>
          <w:rFonts w:hAnsi="宋体" w:hint="eastAsia"/>
          <w:b w:val="0"/>
          <w:sz w:val="21"/>
          <w:szCs w:val="21"/>
        </w:rPr>
        <w:t>食品药品管理局</w:t>
      </w:r>
      <w:r w:rsidRPr="00EC3DB5">
        <w:rPr>
          <w:rFonts w:hAnsi="宋体" w:hint="eastAsia"/>
          <w:b w:val="0"/>
          <w:sz w:val="21"/>
          <w:szCs w:val="21"/>
        </w:rPr>
        <w:t>卷宗管理处提交书面的意见和建议供该机构审议，地址：马里兰州罗克维尔市</w:t>
      </w:r>
      <w:r w:rsidRPr="00EC3DB5">
        <w:rPr>
          <w:b w:val="0"/>
          <w:sz w:val="21"/>
          <w:szCs w:val="21"/>
        </w:rPr>
        <w:t>Fishers</w:t>
      </w:r>
      <w:r w:rsidRPr="00EC3DB5">
        <w:rPr>
          <w:rFonts w:hAnsi="宋体" w:hint="eastAsia"/>
          <w:b w:val="0"/>
          <w:sz w:val="21"/>
          <w:szCs w:val="21"/>
        </w:rPr>
        <w:t>大街</w:t>
      </w:r>
      <w:r w:rsidRPr="00EC3DB5">
        <w:rPr>
          <w:b w:val="0"/>
          <w:sz w:val="21"/>
          <w:szCs w:val="21"/>
        </w:rPr>
        <w:t>5630</w:t>
      </w:r>
      <w:r w:rsidRPr="00EC3DB5">
        <w:rPr>
          <w:rFonts w:hAnsi="宋体" w:hint="eastAsia"/>
          <w:b w:val="0"/>
          <w:sz w:val="21"/>
          <w:szCs w:val="21"/>
        </w:rPr>
        <w:t>号</w:t>
      </w:r>
      <w:r w:rsidRPr="00EC3DB5">
        <w:rPr>
          <w:b w:val="0"/>
          <w:sz w:val="21"/>
          <w:szCs w:val="21"/>
        </w:rPr>
        <w:t>1061</w:t>
      </w:r>
      <w:r w:rsidRPr="00EC3DB5">
        <w:rPr>
          <w:rFonts w:hAnsi="宋体" w:hint="eastAsia"/>
          <w:b w:val="0"/>
          <w:sz w:val="21"/>
          <w:szCs w:val="21"/>
        </w:rPr>
        <w:t>室（</w:t>
      </w:r>
      <w:r w:rsidRPr="00EC3DB5">
        <w:rPr>
          <w:b w:val="0"/>
          <w:sz w:val="21"/>
          <w:szCs w:val="21"/>
        </w:rPr>
        <w:t>HFA-305</w:t>
      </w:r>
      <w:r w:rsidRPr="00EC3DB5">
        <w:rPr>
          <w:rFonts w:hAnsi="宋体" w:hint="eastAsia"/>
          <w:b w:val="0"/>
          <w:sz w:val="21"/>
          <w:szCs w:val="21"/>
        </w:rPr>
        <w:t>），邮编</w:t>
      </w:r>
      <w:r w:rsidRPr="00EC3DB5">
        <w:rPr>
          <w:b w:val="0"/>
          <w:sz w:val="21"/>
          <w:szCs w:val="21"/>
        </w:rPr>
        <w:t>20852</w:t>
      </w:r>
      <w:r w:rsidRPr="00EC3DB5">
        <w:rPr>
          <w:rFonts w:hAnsi="宋体" w:hint="eastAsia"/>
          <w:b w:val="0"/>
          <w:sz w:val="21"/>
          <w:szCs w:val="21"/>
        </w:rPr>
        <w:t>。也可以提交电子版的意见到</w:t>
      </w:r>
      <w:hyperlink r:id="rId9" w:history="1">
        <w:r w:rsidRPr="00EC3DB5">
          <w:rPr>
            <w:rStyle w:val="ac"/>
            <w:b w:val="0"/>
            <w:color w:val="auto"/>
            <w:sz w:val="21"/>
            <w:szCs w:val="21"/>
          </w:rPr>
          <w:t>http://www.regulations.gov</w:t>
        </w:r>
      </w:hyperlink>
      <w:r w:rsidRPr="00EC3DB5">
        <w:rPr>
          <w:rFonts w:hAnsi="宋体" w:hint="eastAsia"/>
          <w:b w:val="0"/>
          <w:sz w:val="21"/>
          <w:szCs w:val="21"/>
        </w:rPr>
        <w:t>。请为所有文件标识按照联邦公报中发布的顺序列明的</w:t>
      </w:r>
      <w:r w:rsidR="00C2431C">
        <w:rPr>
          <w:rFonts w:hAnsi="宋体" w:hint="eastAsia"/>
          <w:b w:val="0"/>
          <w:sz w:val="21"/>
          <w:szCs w:val="21"/>
        </w:rPr>
        <w:t>文档</w:t>
      </w:r>
      <w:r w:rsidRPr="00EC3DB5">
        <w:rPr>
          <w:rFonts w:hAnsi="宋体" w:hint="eastAsia"/>
          <w:b w:val="0"/>
          <w:sz w:val="21"/>
          <w:szCs w:val="21"/>
        </w:rPr>
        <w:t>编号。</w:t>
      </w:r>
      <w:bookmarkStart w:id="2" w:name="_Hlk495399754"/>
      <w:r w:rsidRPr="00EC3DB5">
        <w:rPr>
          <w:rFonts w:hAnsi="宋体" w:hint="eastAsia"/>
          <w:b w:val="0"/>
          <w:sz w:val="21"/>
          <w:szCs w:val="21"/>
        </w:rPr>
        <w:t>在文件被下次修订或者更新之前，意见可能不被监管机构所采用。</w:t>
      </w:r>
      <w:bookmarkEnd w:id="1"/>
      <w:bookmarkEnd w:id="2"/>
    </w:p>
    <w:p w:rsidR="00FE0870" w:rsidRPr="00AB5FC8" w:rsidRDefault="00A41573" w:rsidP="00D20CDC">
      <w:pPr>
        <w:snapToGrid w:val="0"/>
        <w:spacing w:beforeLines="100" w:line="360" w:lineRule="auto"/>
        <w:jc w:val="both"/>
        <w:outlineLvl w:val="1"/>
        <w:rPr>
          <w:b/>
          <w:bCs/>
        </w:rPr>
      </w:pPr>
      <w:bookmarkStart w:id="3" w:name="_Toc496797904"/>
      <w:r>
        <w:rPr>
          <w:rFonts w:hAnsi="宋体" w:hint="eastAsia"/>
          <w:b/>
          <w:bCs/>
        </w:rPr>
        <w:t>额外</w:t>
      </w:r>
      <w:r w:rsidR="00FE0870" w:rsidRPr="00AB5FC8">
        <w:rPr>
          <w:rFonts w:hAnsi="宋体" w:hint="eastAsia"/>
          <w:b/>
          <w:bCs/>
        </w:rPr>
        <w:t>副本</w:t>
      </w:r>
      <w:bookmarkEnd w:id="3"/>
    </w:p>
    <w:p w:rsidR="00FE0870" w:rsidRPr="00EC3DB5" w:rsidRDefault="00A41573" w:rsidP="00D20CDC">
      <w:pPr>
        <w:snapToGrid w:val="0"/>
        <w:spacing w:beforeLines="50" w:line="360" w:lineRule="auto"/>
        <w:jc w:val="both"/>
        <w:rPr>
          <w:sz w:val="21"/>
          <w:szCs w:val="21"/>
        </w:rPr>
      </w:pPr>
      <w:bookmarkStart w:id="4" w:name="_Hlk495399819"/>
      <w:r>
        <w:rPr>
          <w:rFonts w:hAnsi="宋体" w:hint="eastAsia"/>
          <w:sz w:val="21"/>
          <w:szCs w:val="21"/>
        </w:rPr>
        <w:t>额外</w:t>
      </w:r>
      <w:r w:rsidR="00FE0870" w:rsidRPr="00EC3DB5">
        <w:rPr>
          <w:rFonts w:hAnsi="宋体" w:hint="eastAsia"/>
          <w:sz w:val="21"/>
          <w:szCs w:val="21"/>
        </w:rPr>
        <w:t>副本可以通过</w:t>
      </w:r>
      <w:r w:rsidR="007F3D1B">
        <w:rPr>
          <w:rFonts w:hint="eastAsia"/>
          <w:sz w:val="21"/>
          <w:szCs w:val="21"/>
        </w:rPr>
        <w:t>互联网</w:t>
      </w:r>
      <w:r w:rsidR="00FE0870" w:rsidRPr="00EC3DB5">
        <w:rPr>
          <w:rFonts w:hAnsi="宋体" w:hint="eastAsia"/>
          <w:sz w:val="21"/>
          <w:szCs w:val="21"/>
        </w:rPr>
        <w:t>获取。也可以发</w:t>
      </w:r>
      <w:r w:rsidR="00FE0870" w:rsidRPr="00EC3DB5">
        <w:rPr>
          <w:sz w:val="21"/>
          <w:szCs w:val="21"/>
        </w:rPr>
        <w:t>e-mail</w:t>
      </w:r>
      <w:r w:rsidR="00FE0870" w:rsidRPr="00EC3DB5">
        <w:rPr>
          <w:rFonts w:hAnsi="宋体" w:hint="eastAsia"/>
          <w:sz w:val="21"/>
          <w:szCs w:val="21"/>
        </w:rPr>
        <w:t>给</w:t>
      </w:r>
      <w:r w:rsidR="00FE0870" w:rsidRPr="00EC3DB5">
        <w:rPr>
          <w:sz w:val="21"/>
          <w:szCs w:val="21"/>
          <w:u w:val="single"/>
        </w:rPr>
        <w:t>dsmica@fda.hhs.gov</w:t>
      </w:r>
      <w:r w:rsidR="00FE0870" w:rsidRPr="00EC3DB5">
        <w:rPr>
          <w:rFonts w:hAnsi="宋体" w:hint="eastAsia"/>
          <w:sz w:val="21"/>
          <w:szCs w:val="21"/>
        </w:rPr>
        <w:t>索取指导原则的电子副本，或者给</w:t>
      </w:r>
      <w:r w:rsidR="00FE0870" w:rsidRPr="00EC3DB5">
        <w:rPr>
          <w:sz w:val="21"/>
          <w:szCs w:val="21"/>
        </w:rPr>
        <w:t>301-827-8149</w:t>
      </w:r>
      <w:r w:rsidR="00FE0870" w:rsidRPr="00EC3DB5">
        <w:rPr>
          <w:rFonts w:hAnsi="宋体" w:hint="eastAsia"/>
          <w:sz w:val="21"/>
          <w:szCs w:val="21"/>
        </w:rPr>
        <w:t>发传真索取纸质版。请使用文档</w:t>
      </w:r>
      <w:r w:rsidR="00C2431C">
        <w:rPr>
          <w:rFonts w:hAnsi="宋体" w:hint="eastAsia"/>
          <w:sz w:val="21"/>
          <w:szCs w:val="21"/>
        </w:rPr>
        <w:t>编</w:t>
      </w:r>
      <w:r w:rsidR="00FE0870" w:rsidRPr="00EC3DB5">
        <w:rPr>
          <w:rFonts w:hAnsi="宋体" w:hint="eastAsia"/>
          <w:sz w:val="21"/>
          <w:szCs w:val="21"/>
        </w:rPr>
        <w:t>号</w:t>
      </w:r>
      <w:r w:rsidR="00FE0870" w:rsidRPr="00EC3DB5">
        <w:rPr>
          <w:sz w:val="21"/>
          <w:szCs w:val="21"/>
        </w:rPr>
        <w:t>1790</w:t>
      </w:r>
      <w:r w:rsidR="00FE0870" w:rsidRPr="00EC3DB5">
        <w:rPr>
          <w:rFonts w:hAnsi="宋体" w:hint="eastAsia"/>
          <w:sz w:val="21"/>
          <w:szCs w:val="21"/>
        </w:rPr>
        <w:t>来标示索取的指导原则。</w:t>
      </w:r>
    </w:p>
    <w:bookmarkEnd w:id="4"/>
    <w:p w:rsidR="00FE0870" w:rsidRPr="00EC3DB5" w:rsidRDefault="00FE0870" w:rsidP="00EC3DB5">
      <w:pPr>
        <w:widowControl/>
        <w:autoSpaceDE/>
        <w:autoSpaceDN/>
        <w:snapToGrid w:val="0"/>
        <w:spacing w:line="360" w:lineRule="auto"/>
        <w:rPr>
          <w:bCs/>
          <w:sz w:val="21"/>
          <w:szCs w:val="21"/>
        </w:rPr>
      </w:pPr>
      <w:r w:rsidRPr="00EC3DB5">
        <w:rPr>
          <w:b/>
          <w:sz w:val="21"/>
          <w:szCs w:val="21"/>
        </w:rPr>
        <w:br w:type="page"/>
      </w:r>
    </w:p>
    <w:p w:rsidR="00FE0870" w:rsidRPr="00EC3DB5" w:rsidRDefault="00FE0870" w:rsidP="00EC3DB5">
      <w:pPr>
        <w:pStyle w:val="2"/>
        <w:kinsoku w:val="0"/>
        <w:overflowPunct w:val="0"/>
        <w:snapToGrid w:val="0"/>
        <w:spacing w:line="360" w:lineRule="auto"/>
        <w:ind w:left="0" w:firstLine="0"/>
        <w:jc w:val="center"/>
        <w:rPr>
          <w:sz w:val="21"/>
          <w:szCs w:val="21"/>
        </w:rPr>
      </w:pPr>
      <w:bookmarkStart w:id="5" w:name="_Toc496797905"/>
      <w:r w:rsidRPr="008D10D6">
        <w:rPr>
          <w:rFonts w:hAnsi="宋体" w:hint="eastAsia"/>
          <w:sz w:val="21"/>
          <w:szCs w:val="21"/>
        </w:rPr>
        <w:lastRenderedPageBreak/>
        <w:t>目录</w:t>
      </w:r>
      <w:bookmarkEnd w:id="5"/>
    </w:p>
    <w:p w:rsidR="00FE0870" w:rsidRPr="008D3F14" w:rsidRDefault="0025418D" w:rsidP="008D3F14">
      <w:pPr>
        <w:pStyle w:val="20"/>
        <w:tabs>
          <w:tab w:val="right" w:leader="dot" w:pos="8303"/>
        </w:tabs>
        <w:snapToGrid w:val="0"/>
        <w:spacing w:line="336" w:lineRule="auto"/>
        <w:ind w:left="480"/>
        <w:rPr>
          <w:noProof/>
          <w:sz w:val="21"/>
          <w:szCs w:val="21"/>
        </w:rPr>
      </w:pPr>
      <w:r w:rsidRPr="008D3F14">
        <w:rPr>
          <w:sz w:val="21"/>
          <w:szCs w:val="21"/>
        </w:rPr>
        <w:fldChar w:fldCharType="begin"/>
      </w:r>
      <w:r w:rsidR="00FE0870" w:rsidRPr="008D3F14">
        <w:rPr>
          <w:sz w:val="21"/>
          <w:szCs w:val="21"/>
        </w:rPr>
        <w:instrText xml:space="preserve"> TOC \o "1-3" \h \z \u </w:instrText>
      </w:r>
      <w:r w:rsidRPr="008D3F14">
        <w:rPr>
          <w:sz w:val="21"/>
          <w:szCs w:val="21"/>
        </w:rPr>
        <w:fldChar w:fldCharType="separate"/>
      </w:r>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06" w:history="1">
        <w:r w:rsidR="00FE0870" w:rsidRPr="008D3F14">
          <w:rPr>
            <w:rStyle w:val="ac"/>
            <w:noProof/>
            <w:sz w:val="21"/>
            <w:szCs w:val="21"/>
          </w:rPr>
          <w:t>1.</w:t>
        </w:r>
        <w:r w:rsidR="00FE0870" w:rsidRPr="008D3F14">
          <w:rPr>
            <w:noProof/>
            <w:sz w:val="21"/>
            <w:szCs w:val="21"/>
          </w:rPr>
          <w:tab/>
        </w:r>
        <w:r w:rsidR="00FE0870" w:rsidRPr="008D3F14">
          <w:rPr>
            <w:rStyle w:val="ac"/>
            <w:rFonts w:hAnsi="宋体" w:hint="eastAsia"/>
            <w:bCs/>
            <w:noProof/>
            <w:sz w:val="21"/>
            <w:szCs w:val="21"/>
          </w:rPr>
          <w:t>前言</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_Toc496797906 \h </w:instrText>
        </w:r>
        <w:r w:rsidRPr="008D3F14">
          <w:rPr>
            <w:noProof/>
            <w:webHidden/>
            <w:sz w:val="21"/>
            <w:szCs w:val="21"/>
          </w:rPr>
        </w:r>
        <w:r w:rsidRPr="008D3F14">
          <w:rPr>
            <w:noProof/>
            <w:webHidden/>
            <w:sz w:val="21"/>
            <w:szCs w:val="21"/>
          </w:rPr>
          <w:fldChar w:fldCharType="separate"/>
        </w:r>
        <w:r w:rsidR="00FE0870">
          <w:rPr>
            <w:noProof/>
            <w:webHidden/>
            <w:sz w:val="21"/>
            <w:szCs w:val="21"/>
          </w:rPr>
          <w:t>4</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07" w:history="1">
        <w:r w:rsidR="00FE0870" w:rsidRPr="008D3F14">
          <w:rPr>
            <w:rStyle w:val="ac"/>
            <w:noProof/>
            <w:sz w:val="21"/>
            <w:szCs w:val="21"/>
          </w:rPr>
          <w:t>2.</w:t>
        </w:r>
        <w:r w:rsidR="00FE0870" w:rsidRPr="008D3F14">
          <w:rPr>
            <w:noProof/>
            <w:sz w:val="21"/>
            <w:szCs w:val="21"/>
          </w:rPr>
          <w:tab/>
        </w:r>
        <w:r w:rsidR="00FE0870" w:rsidRPr="008D3F14">
          <w:rPr>
            <w:rStyle w:val="ac"/>
            <w:noProof/>
            <w:sz w:val="21"/>
            <w:szCs w:val="21"/>
          </w:rPr>
          <w:t>JC</w:t>
        </w:r>
        <w:r w:rsidR="00FE0870" w:rsidRPr="008D3F14">
          <w:rPr>
            <w:rStyle w:val="ac"/>
            <w:rFonts w:hAnsi="宋体" w:hint="eastAsia"/>
            <w:noProof/>
            <w:sz w:val="21"/>
            <w:szCs w:val="21"/>
          </w:rPr>
          <w:t>病毒</w:t>
        </w:r>
        <w:r w:rsidR="00FE0870" w:rsidRPr="008D3F14">
          <w:rPr>
            <w:rStyle w:val="ac"/>
            <w:noProof/>
            <w:sz w:val="21"/>
            <w:szCs w:val="21"/>
          </w:rPr>
          <w:t>——</w:t>
        </w:r>
        <w:r w:rsidR="00FE0870" w:rsidRPr="008D3F14">
          <w:rPr>
            <w:rStyle w:val="ac"/>
            <w:rFonts w:hAnsi="宋体" w:hint="eastAsia"/>
            <w:noProof/>
            <w:sz w:val="21"/>
            <w:szCs w:val="21"/>
          </w:rPr>
          <w:t>背景信息</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_Toc496797907 \h </w:instrText>
        </w:r>
        <w:r w:rsidRPr="008D3F14">
          <w:rPr>
            <w:noProof/>
            <w:webHidden/>
            <w:sz w:val="21"/>
            <w:szCs w:val="21"/>
          </w:rPr>
        </w:r>
        <w:r w:rsidRPr="008D3F14">
          <w:rPr>
            <w:noProof/>
            <w:webHidden/>
            <w:sz w:val="21"/>
            <w:szCs w:val="21"/>
          </w:rPr>
          <w:fldChar w:fldCharType="separate"/>
        </w:r>
        <w:r w:rsidR="00FE0870">
          <w:rPr>
            <w:noProof/>
            <w:webHidden/>
            <w:sz w:val="21"/>
            <w:szCs w:val="21"/>
          </w:rPr>
          <w:t>4</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08" w:history="1">
        <w:r w:rsidR="00FE0870" w:rsidRPr="008D3F14">
          <w:rPr>
            <w:rStyle w:val="ac"/>
            <w:noProof/>
            <w:sz w:val="21"/>
            <w:szCs w:val="21"/>
          </w:rPr>
          <w:t>3.</w:t>
        </w:r>
        <w:r w:rsidR="00FE0870" w:rsidRPr="008D3F14">
          <w:rPr>
            <w:noProof/>
            <w:sz w:val="21"/>
            <w:szCs w:val="21"/>
          </w:rPr>
          <w:tab/>
        </w:r>
        <w:r w:rsidR="00FE0870" w:rsidRPr="008D3F14">
          <w:rPr>
            <w:rStyle w:val="ac"/>
            <w:rFonts w:hAnsi="宋体" w:hint="eastAsia"/>
            <w:bCs/>
            <w:noProof/>
            <w:sz w:val="21"/>
            <w:szCs w:val="21"/>
          </w:rPr>
          <w:t>上市前通知</w:t>
        </w:r>
        <w:r w:rsidR="00FE0870" w:rsidRPr="008D3F14">
          <w:rPr>
            <w:rStyle w:val="ac"/>
            <w:noProof/>
            <w:sz w:val="21"/>
            <w:szCs w:val="21"/>
          </w:rPr>
          <w:t>——</w:t>
        </w:r>
        <w:r w:rsidR="00FE0870" w:rsidRPr="008D3F14">
          <w:rPr>
            <w:rStyle w:val="ac"/>
            <w:rFonts w:hAnsi="宋体" w:hint="eastAsia"/>
            <w:noProof/>
            <w:sz w:val="21"/>
            <w:szCs w:val="21"/>
          </w:rPr>
          <w:t>背景信息</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_Toc496797908 \h </w:instrText>
        </w:r>
        <w:r w:rsidRPr="008D3F14">
          <w:rPr>
            <w:noProof/>
            <w:webHidden/>
            <w:sz w:val="21"/>
            <w:szCs w:val="21"/>
          </w:rPr>
        </w:r>
        <w:r w:rsidRPr="008D3F14">
          <w:rPr>
            <w:noProof/>
            <w:webHidden/>
            <w:sz w:val="21"/>
            <w:szCs w:val="21"/>
          </w:rPr>
          <w:fldChar w:fldCharType="separate"/>
        </w:r>
        <w:r w:rsidR="00FE0870">
          <w:rPr>
            <w:noProof/>
            <w:webHidden/>
            <w:sz w:val="21"/>
            <w:szCs w:val="21"/>
          </w:rPr>
          <w:t>5</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09" w:history="1">
        <w:r w:rsidR="00FE0870" w:rsidRPr="008D3F14">
          <w:rPr>
            <w:rStyle w:val="ac"/>
            <w:noProof/>
            <w:sz w:val="21"/>
            <w:szCs w:val="21"/>
          </w:rPr>
          <w:t>4.</w:t>
        </w:r>
        <w:r w:rsidR="00FE0870" w:rsidRPr="008D3F14">
          <w:rPr>
            <w:noProof/>
            <w:sz w:val="21"/>
            <w:szCs w:val="21"/>
          </w:rPr>
          <w:tab/>
        </w:r>
        <w:r w:rsidR="00FE0870" w:rsidRPr="008D3F14">
          <w:rPr>
            <w:rStyle w:val="ac"/>
            <w:rFonts w:hAnsi="宋体" w:hint="eastAsia"/>
            <w:bCs/>
            <w:noProof/>
            <w:sz w:val="21"/>
            <w:szCs w:val="21"/>
          </w:rPr>
          <w:t>范围</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_Toc496797909 \h </w:instrText>
        </w:r>
        <w:r w:rsidRPr="008D3F14">
          <w:rPr>
            <w:noProof/>
            <w:webHidden/>
            <w:sz w:val="21"/>
            <w:szCs w:val="21"/>
          </w:rPr>
        </w:r>
        <w:r w:rsidRPr="008D3F14">
          <w:rPr>
            <w:noProof/>
            <w:webHidden/>
            <w:sz w:val="21"/>
            <w:szCs w:val="21"/>
          </w:rPr>
          <w:fldChar w:fldCharType="separate"/>
        </w:r>
        <w:r w:rsidR="00FE0870">
          <w:rPr>
            <w:noProof/>
            <w:webHidden/>
            <w:sz w:val="21"/>
            <w:szCs w:val="21"/>
          </w:rPr>
          <w:t>5</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10" w:history="1">
        <w:r w:rsidR="00FE0870" w:rsidRPr="008D3F14">
          <w:rPr>
            <w:rStyle w:val="ac"/>
            <w:noProof/>
            <w:sz w:val="21"/>
            <w:szCs w:val="21"/>
          </w:rPr>
          <w:t>5.</w:t>
        </w:r>
        <w:r w:rsidR="00FE0870" w:rsidRPr="008D3F14">
          <w:rPr>
            <w:noProof/>
            <w:sz w:val="21"/>
            <w:szCs w:val="21"/>
          </w:rPr>
          <w:tab/>
        </w:r>
        <w:r w:rsidR="00FE0870" w:rsidRPr="008D3F14">
          <w:rPr>
            <w:rStyle w:val="ac"/>
            <w:rFonts w:hAnsi="宋体" w:hint="eastAsia"/>
            <w:bCs/>
            <w:noProof/>
            <w:sz w:val="21"/>
            <w:szCs w:val="21"/>
          </w:rPr>
          <w:t>健康风险</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_Toc496797910 \h </w:instrText>
        </w:r>
        <w:r w:rsidRPr="008D3F14">
          <w:rPr>
            <w:noProof/>
            <w:webHidden/>
            <w:sz w:val="21"/>
            <w:szCs w:val="21"/>
          </w:rPr>
        </w:r>
        <w:r w:rsidRPr="008D3F14">
          <w:rPr>
            <w:noProof/>
            <w:webHidden/>
            <w:sz w:val="21"/>
            <w:szCs w:val="21"/>
          </w:rPr>
          <w:fldChar w:fldCharType="separate"/>
        </w:r>
        <w:r w:rsidR="00FE0870">
          <w:rPr>
            <w:noProof/>
            <w:webHidden/>
            <w:sz w:val="21"/>
            <w:szCs w:val="21"/>
          </w:rPr>
          <w:t>6</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13" w:history="1">
        <w:r w:rsidR="00FE0870" w:rsidRPr="008D3F14">
          <w:rPr>
            <w:rStyle w:val="ac"/>
            <w:bCs/>
            <w:noProof/>
            <w:sz w:val="21"/>
            <w:szCs w:val="21"/>
          </w:rPr>
          <w:t>6.</w:t>
        </w:r>
        <w:r w:rsidR="00FE0870" w:rsidRPr="008D3F14">
          <w:rPr>
            <w:noProof/>
            <w:sz w:val="21"/>
            <w:szCs w:val="21"/>
          </w:rPr>
          <w:tab/>
        </w:r>
        <w:r w:rsidR="00FE0870" w:rsidRPr="008D3F14">
          <w:rPr>
            <w:rStyle w:val="ac"/>
            <w:rFonts w:hAnsi="宋体" w:hint="eastAsia"/>
            <w:bCs/>
            <w:noProof/>
            <w:sz w:val="21"/>
            <w:szCs w:val="21"/>
          </w:rPr>
          <w:t>器械说明</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_Toc496797913 \h </w:instrText>
        </w:r>
        <w:r w:rsidRPr="008D3F14">
          <w:rPr>
            <w:noProof/>
            <w:webHidden/>
            <w:sz w:val="21"/>
            <w:szCs w:val="21"/>
          </w:rPr>
        </w:r>
        <w:r w:rsidRPr="008D3F14">
          <w:rPr>
            <w:noProof/>
            <w:webHidden/>
            <w:sz w:val="21"/>
            <w:szCs w:val="21"/>
          </w:rPr>
          <w:fldChar w:fldCharType="separate"/>
        </w:r>
        <w:r w:rsidR="00FE0870">
          <w:rPr>
            <w:noProof/>
            <w:webHidden/>
            <w:sz w:val="21"/>
            <w:szCs w:val="21"/>
          </w:rPr>
          <w:t>7</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14" w:history="1">
        <w:r w:rsidR="00FE0870" w:rsidRPr="008D3F14">
          <w:rPr>
            <w:rStyle w:val="ac"/>
            <w:noProof/>
            <w:sz w:val="21"/>
            <w:szCs w:val="21"/>
          </w:rPr>
          <w:t>6.1</w:t>
        </w:r>
        <w:r w:rsidR="00FE0870" w:rsidRPr="008D3F14">
          <w:rPr>
            <w:noProof/>
            <w:sz w:val="21"/>
            <w:szCs w:val="21"/>
          </w:rPr>
          <w:tab/>
        </w:r>
        <w:r w:rsidR="00FE0870" w:rsidRPr="008D3F14">
          <w:rPr>
            <w:rFonts w:hAnsi="宋体" w:hint="eastAsia"/>
            <w:noProof/>
            <w:sz w:val="21"/>
            <w:szCs w:val="21"/>
          </w:rPr>
          <w:t>器械组件</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_Toc496797914 \h </w:instrText>
        </w:r>
        <w:r w:rsidRPr="008D3F14">
          <w:rPr>
            <w:noProof/>
            <w:webHidden/>
            <w:sz w:val="21"/>
            <w:szCs w:val="21"/>
          </w:rPr>
        </w:r>
        <w:r w:rsidRPr="008D3F14">
          <w:rPr>
            <w:noProof/>
            <w:webHidden/>
            <w:sz w:val="21"/>
            <w:szCs w:val="21"/>
          </w:rPr>
          <w:fldChar w:fldCharType="separate"/>
        </w:r>
        <w:r w:rsidR="00FE0870">
          <w:rPr>
            <w:noProof/>
            <w:webHidden/>
            <w:sz w:val="21"/>
            <w:szCs w:val="21"/>
          </w:rPr>
          <w:t>7</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15" w:history="1">
        <w:r w:rsidR="00FE0870" w:rsidRPr="008D3F14">
          <w:rPr>
            <w:rStyle w:val="ac"/>
            <w:noProof/>
            <w:sz w:val="21"/>
            <w:szCs w:val="21"/>
          </w:rPr>
          <w:t>6.2</w:t>
        </w:r>
        <w:r w:rsidR="00FE0870" w:rsidRPr="008D3F14">
          <w:rPr>
            <w:noProof/>
            <w:sz w:val="21"/>
            <w:szCs w:val="21"/>
          </w:rPr>
          <w:tab/>
        </w:r>
        <w:r w:rsidR="00FE0870" w:rsidRPr="008D3F14">
          <w:rPr>
            <w:rFonts w:hAnsi="宋体" w:hint="eastAsia"/>
            <w:noProof/>
            <w:sz w:val="21"/>
            <w:szCs w:val="21"/>
          </w:rPr>
          <w:t>辅助试剂</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_Toc496797915 \h </w:instrText>
        </w:r>
        <w:r w:rsidRPr="008D3F14">
          <w:rPr>
            <w:noProof/>
            <w:webHidden/>
            <w:sz w:val="21"/>
            <w:szCs w:val="21"/>
          </w:rPr>
        </w:r>
        <w:r w:rsidRPr="008D3F14">
          <w:rPr>
            <w:noProof/>
            <w:webHidden/>
            <w:sz w:val="21"/>
            <w:szCs w:val="21"/>
          </w:rPr>
          <w:fldChar w:fldCharType="separate"/>
        </w:r>
        <w:r w:rsidR="00FE0870">
          <w:rPr>
            <w:noProof/>
            <w:webHidden/>
            <w:sz w:val="21"/>
            <w:szCs w:val="21"/>
          </w:rPr>
          <w:t>8</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16" w:history="1">
        <w:r w:rsidR="00FE0870" w:rsidRPr="008D3F14">
          <w:rPr>
            <w:rStyle w:val="ac"/>
            <w:noProof/>
            <w:sz w:val="21"/>
            <w:szCs w:val="21"/>
          </w:rPr>
          <w:t>6.3</w:t>
        </w:r>
        <w:r w:rsidR="00FE0870" w:rsidRPr="008D3F14">
          <w:rPr>
            <w:noProof/>
            <w:sz w:val="21"/>
            <w:szCs w:val="21"/>
          </w:rPr>
          <w:tab/>
        </w:r>
        <w:r w:rsidR="00FE0870" w:rsidRPr="008D3F14">
          <w:rPr>
            <w:rFonts w:hAnsi="宋体" w:hint="eastAsia"/>
            <w:noProof/>
            <w:sz w:val="21"/>
            <w:szCs w:val="21"/>
          </w:rPr>
          <w:t>测试</w:t>
        </w:r>
        <w:r w:rsidR="00216DA8">
          <w:rPr>
            <w:rFonts w:hAnsi="宋体" w:hint="eastAsia"/>
            <w:noProof/>
            <w:sz w:val="21"/>
            <w:szCs w:val="21"/>
          </w:rPr>
          <w:t>方法</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_Toc496797916 \h </w:instrText>
        </w:r>
        <w:r w:rsidRPr="008D3F14">
          <w:rPr>
            <w:noProof/>
            <w:webHidden/>
            <w:sz w:val="21"/>
            <w:szCs w:val="21"/>
          </w:rPr>
        </w:r>
        <w:r w:rsidRPr="008D3F14">
          <w:rPr>
            <w:noProof/>
            <w:webHidden/>
            <w:sz w:val="21"/>
            <w:szCs w:val="21"/>
          </w:rPr>
          <w:fldChar w:fldCharType="separate"/>
        </w:r>
        <w:r w:rsidR="00FE0870">
          <w:rPr>
            <w:noProof/>
            <w:webHidden/>
            <w:sz w:val="21"/>
            <w:szCs w:val="21"/>
          </w:rPr>
          <w:t>9</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17" w:history="1">
        <w:r w:rsidR="00FE0870" w:rsidRPr="008D3F14">
          <w:rPr>
            <w:rStyle w:val="ac"/>
            <w:noProof/>
            <w:sz w:val="21"/>
            <w:szCs w:val="21"/>
          </w:rPr>
          <w:t>7.</w:t>
        </w:r>
        <w:r w:rsidR="00FE0870" w:rsidRPr="008D3F14">
          <w:rPr>
            <w:noProof/>
            <w:sz w:val="21"/>
            <w:szCs w:val="21"/>
          </w:rPr>
          <w:tab/>
        </w:r>
        <w:r w:rsidR="00FE0870" w:rsidRPr="008D3F14">
          <w:rPr>
            <w:rStyle w:val="ac"/>
            <w:rFonts w:hAnsi="宋体" w:hint="eastAsia"/>
            <w:bCs/>
            <w:noProof/>
            <w:sz w:val="21"/>
            <w:szCs w:val="21"/>
          </w:rPr>
          <w:t>性能特性</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_Toc496797917 \h </w:instrText>
        </w:r>
        <w:r w:rsidRPr="008D3F14">
          <w:rPr>
            <w:noProof/>
            <w:webHidden/>
            <w:sz w:val="21"/>
            <w:szCs w:val="21"/>
          </w:rPr>
        </w:r>
        <w:r w:rsidRPr="008D3F14">
          <w:rPr>
            <w:noProof/>
            <w:webHidden/>
            <w:sz w:val="21"/>
            <w:szCs w:val="21"/>
          </w:rPr>
          <w:fldChar w:fldCharType="separate"/>
        </w:r>
        <w:r w:rsidR="00FE0870">
          <w:rPr>
            <w:noProof/>
            <w:webHidden/>
            <w:sz w:val="21"/>
            <w:szCs w:val="21"/>
          </w:rPr>
          <w:t>11</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18" w:history="1">
        <w:r w:rsidR="00FE0870" w:rsidRPr="008D3F14">
          <w:rPr>
            <w:rStyle w:val="ac"/>
            <w:noProof/>
            <w:sz w:val="21"/>
            <w:szCs w:val="21"/>
          </w:rPr>
          <w:t>7.1</w:t>
        </w:r>
        <w:r w:rsidR="00FE0870" w:rsidRPr="008D3F14">
          <w:rPr>
            <w:noProof/>
            <w:sz w:val="21"/>
            <w:szCs w:val="21"/>
          </w:rPr>
          <w:tab/>
        </w:r>
        <w:r w:rsidR="00FE0870" w:rsidRPr="008D3F14">
          <w:rPr>
            <w:rFonts w:hAnsi="宋体" w:hint="eastAsia"/>
            <w:noProof/>
            <w:sz w:val="21"/>
            <w:szCs w:val="21"/>
          </w:rPr>
          <w:t>一般研究的建议</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_Toc496797918 \h </w:instrText>
        </w:r>
        <w:r w:rsidRPr="008D3F14">
          <w:rPr>
            <w:noProof/>
            <w:webHidden/>
            <w:sz w:val="21"/>
            <w:szCs w:val="21"/>
          </w:rPr>
        </w:r>
        <w:r w:rsidRPr="008D3F14">
          <w:rPr>
            <w:noProof/>
            <w:webHidden/>
            <w:sz w:val="21"/>
            <w:szCs w:val="21"/>
          </w:rPr>
          <w:fldChar w:fldCharType="separate"/>
        </w:r>
        <w:r w:rsidR="00FE0870">
          <w:rPr>
            <w:noProof/>
            <w:webHidden/>
            <w:sz w:val="21"/>
            <w:szCs w:val="21"/>
          </w:rPr>
          <w:t>11</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19" w:history="1">
        <w:r w:rsidR="00FE0870" w:rsidRPr="008D3F14">
          <w:rPr>
            <w:rStyle w:val="ac"/>
            <w:noProof/>
            <w:sz w:val="21"/>
            <w:szCs w:val="21"/>
          </w:rPr>
          <w:t>7.2</w:t>
        </w:r>
        <w:r w:rsidR="00FE0870" w:rsidRPr="008D3F14">
          <w:rPr>
            <w:noProof/>
            <w:sz w:val="21"/>
            <w:szCs w:val="21"/>
          </w:rPr>
          <w:tab/>
        </w:r>
        <w:r w:rsidR="00FE0870" w:rsidRPr="008D3F14">
          <w:rPr>
            <w:rFonts w:hAnsi="宋体" w:hint="eastAsia"/>
            <w:noProof/>
            <w:sz w:val="21"/>
            <w:szCs w:val="21"/>
          </w:rPr>
          <w:t>分析性研究</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_Toc496797919 \h </w:instrText>
        </w:r>
        <w:r w:rsidRPr="008D3F14">
          <w:rPr>
            <w:noProof/>
            <w:webHidden/>
            <w:sz w:val="21"/>
            <w:szCs w:val="21"/>
          </w:rPr>
        </w:r>
        <w:r w:rsidRPr="008D3F14">
          <w:rPr>
            <w:noProof/>
            <w:webHidden/>
            <w:sz w:val="21"/>
            <w:szCs w:val="21"/>
          </w:rPr>
          <w:fldChar w:fldCharType="separate"/>
        </w:r>
        <w:r w:rsidR="00FE0870">
          <w:rPr>
            <w:noProof/>
            <w:webHidden/>
            <w:sz w:val="21"/>
            <w:szCs w:val="21"/>
          </w:rPr>
          <w:t>11</w:t>
        </w:r>
        <w:r w:rsidRPr="008D3F14">
          <w:rPr>
            <w:noProof/>
            <w:webHidden/>
            <w:sz w:val="21"/>
            <w:szCs w:val="21"/>
          </w:rPr>
          <w:fldChar w:fldCharType="end"/>
        </w:r>
      </w:hyperlink>
    </w:p>
    <w:p w:rsidR="00FE0870" w:rsidRPr="008D3F14" w:rsidRDefault="0025418D" w:rsidP="008D3F14">
      <w:pPr>
        <w:pStyle w:val="30"/>
        <w:tabs>
          <w:tab w:val="left" w:pos="1680"/>
          <w:tab w:val="right" w:leader="dot" w:pos="8303"/>
        </w:tabs>
        <w:snapToGrid w:val="0"/>
        <w:spacing w:line="336" w:lineRule="auto"/>
        <w:ind w:left="960"/>
        <w:rPr>
          <w:noProof/>
          <w:sz w:val="21"/>
          <w:szCs w:val="21"/>
        </w:rPr>
      </w:pPr>
      <w:hyperlink w:anchor="_Toc496797920" w:history="1">
        <w:r w:rsidR="00FE0870" w:rsidRPr="008D3F14">
          <w:rPr>
            <w:rStyle w:val="ac"/>
            <w:noProof/>
            <w:spacing w:val="-4"/>
            <w:sz w:val="21"/>
            <w:szCs w:val="21"/>
          </w:rPr>
          <w:t>7.2.1</w:t>
        </w:r>
        <w:r w:rsidR="00FE0870" w:rsidRPr="008D3F14">
          <w:rPr>
            <w:noProof/>
            <w:sz w:val="21"/>
            <w:szCs w:val="21"/>
          </w:rPr>
          <w:tab/>
        </w:r>
        <w:r w:rsidR="00FE0870" w:rsidRPr="008D3F14">
          <w:rPr>
            <w:rStyle w:val="ac"/>
            <w:rFonts w:hAnsi="宋体" w:hint="eastAsia"/>
            <w:noProof/>
            <w:sz w:val="21"/>
            <w:szCs w:val="21"/>
          </w:rPr>
          <w:t>测定</w:t>
        </w:r>
        <w:r w:rsidR="00254EC3">
          <w:rPr>
            <w:rStyle w:val="ac"/>
            <w:rFonts w:hAnsi="宋体" w:hint="eastAsia"/>
            <w:noProof/>
            <w:sz w:val="21"/>
            <w:szCs w:val="21"/>
          </w:rPr>
          <w:t>临界值</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_Toc496797920 \h </w:instrText>
        </w:r>
        <w:r w:rsidRPr="008D3F14">
          <w:rPr>
            <w:noProof/>
            <w:webHidden/>
            <w:sz w:val="21"/>
            <w:szCs w:val="21"/>
          </w:rPr>
        </w:r>
        <w:r w:rsidRPr="008D3F14">
          <w:rPr>
            <w:noProof/>
            <w:webHidden/>
            <w:sz w:val="21"/>
            <w:szCs w:val="21"/>
          </w:rPr>
          <w:fldChar w:fldCharType="separate"/>
        </w:r>
        <w:r w:rsidR="00FE0870">
          <w:rPr>
            <w:noProof/>
            <w:webHidden/>
            <w:sz w:val="21"/>
            <w:szCs w:val="21"/>
          </w:rPr>
          <w:t>11</w:t>
        </w:r>
        <w:r w:rsidRPr="008D3F14">
          <w:rPr>
            <w:noProof/>
            <w:webHidden/>
            <w:sz w:val="21"/>
            <w:szCs w:val="21"/>
          </w:rPr>
          <w:fldChar w:fldCharType="end"/>
        </w:r>
      </w:hyperlink>
    </w:p>
    <w:p w:rsidR="00FE0870" w:rsidRPr="008D3F14" w:rsidRDefault="0025418D" w:rsidP="008D3F14">
      <w:pPr>
        <w:pStyle w:val="30"/>
        <w:tabs>
          <w:tab w:val="left" w:pos="1680"/>
          <w:tab w:val="right" w:leader="dot" w:pos="8303"/>
        </w:tabs>
        <w:snapToGrid w:val="0"/>
        <w:spacing w:line="336" w:lineRule="auto"/>
        <w:ind w:left="960"/>
        <w:rPr>
          <w:noProof/>
          <w:sz w:val="21"/>
          <w:szCs w:val="21"/>
        </w:rPr>
      </w:pPr>
      <w:hyperlink w:anchor="_Toc496797921" w:history="1">
        <w:r w:rsidR="00FE0870" w:rsidRPr="008D3F14">
          <w:rPr>
            <w:rStyle w:val="ac"/>
            <w:noProof/>
            <w:spacing w:val="-4"/>
            <w:sz w:val="21"/>
            <w:szCs w:val="21"/>
          </w:rPr>
          <w:t>7.2.2</w:t>
        </w:r>
        <w:r w:rsidR="00FE0870" w:rsidRPr="008D3F14">
          <w:rPr>
            <w:noProof/>
            <w:sz w:val="21"/>
            <w:szCs w:val="21"/>
          </w:rPr>
          <w:tab/>
        </w:r>
        <w:r w:rsidR="00216DA8">
          <w:rPr>
            <w:rStyle w:val="ac"/>
            <w:rFonts w:hAnsi="宋体" w:hint="eastAsia"/>
            <w:noProof/>
            <w:sz w:val="21"/>
            <w:szCs w:val="21"/>
          </w:rPr>
          <w:t>精密度</w:t>
        </w:r>
        <w:r w:rsidR="00FE0870" w:rsidRPr="008D3F14">
          <w:rPr>
            <w:rStyle w:val="ac"/>
            <w:rFonts w:hAnsi="宋体" w:hint="eastAsia"/>
            <w:noProof/>
            <w:sz w:val="21"/>
            <w:szCs w:val="21"/>
          </w:rPr>
          <w:t>检测</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_Toc496797921 \h </w:instrText>
        </w:r>
        <w:r w:rsidRPr="008D3F14">
          <w:rPr>
            <w:noProof/>
            <w:webHidden/>
            <w:sz w:val="21"/>
            <w:szCs w:val="21"/>
          </w:rPr>
        </w:r>
        <w:r w:rsidRPr="008D3F14">
          <w:rPr>
            <w:noProof/>
            <w:webHidden/>
            <w:sz w:val="21"/>
            <w:szCs w:val="21"/>
          </w:rPr>
          <w:fldChar w:fldCharType="separate"/>
        </w:r>
        <w:r w:rsidR="00FE0870">
          <w:rPr>
            <w:noProof/>
            <w:webHidden/>
            <w:sz w:val="21"/>
            <w:szCs w:val="21"/>
          </w:rPr>
          <w:t>11</w:t>
        </w:r>
        <w:r w:rsidRPr="008D3F14">
          <w:rPr>
            <w:noProof/>
            <w:webHidden/>
            <w:sz w:val="21"/>
            <w:szCs w:val="21"/>
          </w:rPr>
          <w:fldChar w:fldCharType="end"/>
        </w:r>
      </w:hyperlink>
    </w:p>
    <w:p w:rsidR="00FE0870" w:rsidRPr="008D3F14" w:rsidRDefault="0025418D" w:rsidP="008D3F14">
      <w:pPr>
        <w:pStyle w:val="30"/>
        <w:tabs>
          <w:tab w:val="left" w:pos="1680"/>
          <w:tab w:val="right" w:leader="dot" w:pos="8303"/>
        </w:tabs>
        <w:snapToGrid w:val="0"/>
        <w:spacing w:line="336" w:lineRule="auto"/>
        <w:ind w:left="960"/>
        <w:rPr>
          <w:noProof/>
          <w:sz w:val="21"/>
          <w:szCs w:val="21"/>
        </w:rPr>
      </w:pPr>
      <w:hyperlink w:anchor="_Toc496797922" w:history="1">
        <w:r w:rsidR="00FE0870" w:rsidRPr="008D3F14">
          <w:rPr>
            <w:rStyle w:val="ac"/>
            <w:noProof/>
            <w:spacing w:val="-4"/>
            <w:sz w:val="21"/>
            <w:szCs w:val="21"/>
          </w:rPr>
          <w:t>7.2.3</w:t>
        </w:r>
        <w:r w:rsidR="00FE0870" w:rsidRPr="008D3F14">
          <w:rPr>
            <w:noProof/>
            <w:sz w:val="21"/>
            <w:szCs w:val="21"/>
          </w:rPr>
          <w:tab/>
        </w:r>
        <w:r w:rsidR="00FE0870" w:rsidRPr="008D3F14">
          <w:rPr>
            <w:rStyle w:val="ac"/>
            <w:rFonts w:hAnsi="宋体" w:hint="eastAsia"/>
            <w:noProof/>
            <w:sz w:val="21"/>
            <w:szCs w:val="21"/>
          </w:rPr>
          <w:t>干扰</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_Toc496797922 \h </w:instrText>
        </w:r>
        <w:r w:rsidRPr="008D3F14">
          <w:rPr>
            <w:noProof/>
            <w:webHidden/>
            <w:sz w:val="21"/>
            <w:szCs w:val="21"/>
          </w:rPr>
        </w:r>
        <w:r w:rsidRPr="008D3F14">
          <w:rPr>
            <w:noProof/>
            <w:webHidden/>
            <w:sz w:val="21"/>
            <w:szCs w:val="21"/>
          </w:rPr>
          <w:fldChar w:fldCharType="separate"/>
        </w:r>
        <w:r w:rsidR="00FE0870">
          <w:rPr>
            <w:noProof/>
            <w:webHidden/>
            <w:sz w:val="21"/>
            <w:szCs w:val="21"/>
          </w:rPr>
          <w:t>13</w:t>
        </w:r>
        <w:r w:rsidRPr="008D3F14">
          <w:rPr>
            <w:noProof/>
            <w:webHidden/>
            <w:sz w:val="21"/>
            <w:szCs w:val="21"/>
          </w:rPr>
          <w:fldChar w:fldCharType="end"/>
        </w:r>
      </w:hyperlink>
    </w:p>
    <w:p w:rsidR="00FE0870" w:rsidRPr="008D3F14" w:rsidRDefault="0025418D" w:rsidP="008D3F14">
      <w:pPr>
        <w:pStyle w:val="30"/>
        <w:tabs>
          <w:tab w:val="left" w:pos="1680"/>
          <w:tab w:val="right" w:leader="dot" w:pos="8303"/>
        </w:tabs>
        <w:snapToGrid w:val="0"/>
        <w:spacing w:line="336" w:lineRule="auto"/>
        <w:ind w:left="960"/>
        <w:rPr>
          <w:noProof/>
          <w:sz w:val="21"/>
          <w:szCs w:val="21"/>
        </w:rPr>
      </w:pPr>
      <w:hyperlink w:anchor="_Toc496797923" w:history="1">
        <w:r w:rsidR="00FE0870" w:rsidRPr="008D3F14">
          <w:rPr>
            <w:rStyle w:val="ac"/>
            <w:noProof/>
            <w:spacing w:val="-4"/>
            <w:sz w:val="21"/>
            <w:szCs w:val="21"/>
          </w:rPr>
          <w:t>7.2.4</w:t>
        </w:r>
        <w:r w:rsidR="00FE0870" w:rsidRPr="008D3F14">
          <w:rPr>
            <w:noProof/>
            <w:sz w:val="21"/>
            <w:szCs w:val="21"/>
          </w:rPr>
          <w:tab/>
        </w:r>
        <w:r w:rsidR="00FE0870" w:rsidRPr="008D3F14">
          <w:rPr>
            <w:rStyle w:val="ac"/>
            <w:rFonts w:hAnsi="宋体" w:hint="eastAsia"/>
            <w:noProof/>
            <w:sz w:val="21"/>
            <w:szCs w:val="21"/>
          </w:rPr>
          <w:t>交叉反应性</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_Toc496797923 \h </w:instrText>
        </w:r>
        <w:r w:rsidRPr="008D3F14">
          <w:rPr>
            <w:noProof/>
            <w:webHidden/>
            <w:sz w:val="21"/>
            <w:szCs w:val="21"/>
          </w:rPr>
        </w:r>
        <w:r w:rsidRPr="008D3F14">
          <w:rPr>
            <w:noProof/>
            <w:webHidden/>
            <w:sz w:val="21"/>
            <w:szCs w:val="21"/>
          </w:rPr>
          <w:fldChar w:fldCharType="separate"/>
        </w:r>
        <w:r w:rsidR="00FE0870">
          <w:rPr>
            <w:noProof/>
            <w:webHidden/>
            <w:sz w:val="21"/>
            <w:szCs w:val="21"/>
          </w:rPr>
          <w:t>13</w:t>
        </w:r>
        <w:r w:rsidRPr="008D3F14">
          <w:rPr>
            <w:noProof/>
            <w:webHidden/>
            <w:sz w:val="21"/>
            <w:szCs w:val="21"/>
          </w:rPr>
          <w:fldChar w:fldCharType="end"/>
        </w:r>
      </w:hyperlink>
    </w:p>
    <w:p w:rsidR="00FE0870" w:rsidRPr="008D3F14" w:rsidRDefault="0025418D" w:rsidP="008D3F14">
      <w:pPr>
        <w:pStyle w:val="30"/>
        <w:tabs>
          <w:tab w:val="left" w:pos="1680"/>
          <w:tab w:val="right" w:leader="dot" w:pos="8303"/>
        </w:tabs>
        <w:snapToGrid w:val="0"/>
        <w:spacing w:line="336" w:lineRule="auto"/>
        <w:ind w:left="960"/>
        <w:rPr>
          <w:noProof/>
          <w:sz w:val="21"/>
          <w:szCs w:val="21"/>
        </w:rPr>
      </w:pPr>
      <w:hyperlink w:anchor="_Toc496797924" w:history="1">
        <w:r w:rsidR="00FE0870" w:rsidRPr="008D3F14">
          <w:rPr>
            <w:rStyle w:val="ac"/>
            <w:noProof/>
            <w:spacing w:val="-4"/>
            <w:sz w:val="21"/>
            <w:szCs w:val="21"/>
          </w:rPr>
          <w:t>7.2.5</w:t>
        </w:r>
        <w:r w:rsidR="00FE0870" w:rsidRPr="008D3F14">
          <w:rPr>
            <w:noProof/>
            <w:sz w:val="21"/>
            <w:szCs w:val="21"/>
          </w:rPr>
          <w:tab/>
        </w:r>
        <w:r w:rsidR="00FE0870" w:rsidRPr="008D3F14">
          <w:rPr>
            <w:rStyle w:val="ac"/>
            <w:rFonts w:hAnsi="宋体" w:hint="eastAsia"/>
            <w:noProof/>
            <w:sz w:val="21"/>
            <w:szCs w:val="21"/>
          </w:rPr>
          <w:t>基质比较研究</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_Toc496797924 \h </w:instrText>
        </w:r>
        <w:r w:rsidRPr="008D3F14">
          <w:rPr>
            <w:noProof/>
            <w:webHidden/>
            <w:sz w:val="21"/>
            <w:szCs w:val="21"/>
          </w:rPr>
        </w:r>
        <w:r w:rsidRPr="008D3F14">
          <w:rPr>
            <w:noProof/>
            <w:webHidden/>
            <w:sz w:val="21"/>
            <w:szCs w:val="21"/>
          </w:rPr>
          <w:fldChar w:fldCharType="separate"/>
        </w:r>
        <w:r w:rsidR="00FE0870">
          <w:rPr>
            <w:noProof/>
            <w:webHidden/>
            <w:sz w:val="21"/>
            <w:szCs w:val="21"/>
          </w:rPr>
          <w:t>14</w:t>
        </w:r>
        <w:r w:rsidRPr="008D3F14">
          <w:rPr>
            <w:noProof/>
            <w:webHidden/>
            <w:sz w:val="21"/>
            <w:szCs w:val="21"/>
          </w:rPr>
          <w:fldChar w:fldCharType="end"/>
        </w:r>
      </w:hyperlink>
    </w:p>
    <w:p w:rsidR="00FE0870" w:rsidRPr="008D3F14" w:rsidRDefault="0025418D" w:rsidP="008D3F14">
      <w:pPr>
        <w:pStyle w:val="30"/>
        <w:tabs>
          <w:tab w:val="left" w:pos="1680"/>
          <w:tab w:val="right" w:leader="dot" w:pos="8303"/>
        </w:tabs>
        <w:snapToGrid w:val="0"/>
        <w:spacing w:line="336" w:lineRule="auto"/>
        <w:ind w:left="960"/>
        <w:rPr>
          <w:noProof/>
          <w:sz w:val="21"/>
          <w:szCs w:val="21"/>
        </w:rPr>
      </w:pPr>
      <w:hyperlink w:anchor="_Toc496797925" w:history="1">
        <w:r w:rsidR="00FE0870" w:rsidRPr="008D3F14">
          <w:rPr>
            <w:rStyle w:val="ac"/>
            <w:noProof/>
            <w:spacing w:val="-4"/>
            <w:sz w:val="21"/>
            <w:szCs w:val="21"/>
          </w:rPr>
          <w:t>7.2.6</w:t>
        </w:r>
        <w:r w:rsidR="00FE0870" w:rsidRPr="008D3F14">
          <w:rPr>
            <w:noProof/>
            <w:sz w:val="21"/>
            <w:szCs w:val="21"/>
          </w:rPr>
          <w:tab/>
        </w:r>
        <w:r w:rsidR="00FE0870" w:rsidRPr="008D3F14">
          <w:rPr>
            <w:rStyle w:val="ac"/>
            <w:rFonts w:hAnsi="宋体" w:hint="eastAsia"/>
            <w:noProof/>
            <w:sz w:val="21"/>
            <w:szCs w:val="21"/>
          </w:rPr>
          <w:t>高剂量钩状效应</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_Toc496797925 \h </w:instrText>
        </w:r>
        <w:r w:rsidRPr="008D3F14">
          <w:rPr>
            <w:noProof/>
            <w:webHidden/>
            <w:sz w:val="21"/>
            <w:szCs w:val="21"/>
          </w:rPr>
        </w:r>
        <w:r w:rsidRPr="008D3F14">
          <w:rPr>
            <w:noProof/>
            <w:webHidden/>
            <w:sz w:val="21"/>
            <w:szCs w:val="21"/>
          </w:rPr>
          <w:fldChar w:fldCharType="separate"/>
        </w:r>
        <w:r w:rsidR="00FE0870">
          <w:rPr>
            <w:noProof/>
            <w:webHidden/>
            <w:sz w:val="21"/>
            <w:szCs w:val="21"/>
          </w:rPr>
          <w:t>14</w:t>
        </w:r>
        <w:r w:rsidRPr="008D3F14">
          <w:rPr>
            <w:noProof/>
            <w:webHidden/>
            <w:sz w:val="21"/>
            <w:szCs w:val="21"/>
          </w:rPr>
          <w:fldChar w:fldCharType="end"/>
        </w:r>
      </w:hyperlink>
    </w:p>
    <w:p w:rsidR="00FE0870" w:rsidRPr="008D3F14" w:rsidRDefault="0025418D" w:rsidP="008D3F14">
      <w:pPr>
        <w:pStyle w:val="30"/>
        <w:tabs>
          <w:tab w:val="left" w:pos="1680"/>
          <w:tab w:val="right" w:leader="dot" w:pos="8303"/>
        </w:tabs>
        <w:snapToGrid w:val="0"/>
        <w:spacing w:line="336" w:lineRule="auto"/>
        <w:ind w:left="960"/>
        <w:rPr>
          <w:noProof/>
          <w:sz w:val="21"/>
          <w:szCs w:val="21"/>
        </w:rPr>
      </w:pPr>
      <w:hyperlink w:anchor="_Toc496797926" w:history="1">
        <w:r w:rsidR="00FE0870" w:rsidRPr="008D3F14">
          <w:rPr>
            <w:rStyle w:val="ac"/>
            <w:noProof/>
            <w:spacing w:val="-4"/>
            <w:sz w:val="21"/>
            <w:szCs w:val="21"/>
          </w:rPr>
          <w:t>7.2.7</w:t>
        </w:r>
        <w:r w:rsidR="00FE0870" w:rsidRPr="008D3F14">
          <w:rPr>
            <w:noProof/>
            <w:sz w:val="21"/>
            <w:szCs w:val="21"/>
          </w:rPr>
          <w:tab/>
        </w:r>
        <w:r w:rsidR="00FE0870" w:rsidRPr="008D3F14">
          <w:rPr>
            <w:rStyle w:val="ac"/>
            <w:rFonts w:hAnsi="宋体" w:hint="eastAsia"/>
            <w:noProof/>
            <w:sz w:val="21"/>
            <w:szCs w:val="21"/>
          </w:rPr>
          <w:t>试剂稳定性</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_Toc496797926 \h </w:instrText>
        </w:r>
        <w:r w:rsidRPr="008D3F14">
          <w:rPr>
            <w:noProof/>
            <w:webHidden/>
            <w:sz w:val="21"/>
            <w:szCs w:val="21"/>
          </w:rPr>
        </w:r>
        <w:r w:rsidRPr="008D3F14">
          <w:rPr>
            <w:noProof/>
            <w:webHidden/>
            <w:sz w:val="21"/>
            <w:szCs w:val="21"/>
          </w:rPr>
          <w:fldChar w:fldCharType="separate"/>
        </w:r>
        <w:r w:rsidR="00FE0870">
          <w:rPr>
            <w:noProof/>
            <w:webHidden/>
            <w:sz w:val="21"/>
            <w:szCs w:val="21"/>
          </w:rPr>
          <w:t>15</w:t>
        </w:r>
        <w:r w:rsidRPr="008D3F14">
          <w:rPr>
            <w:noProof/>
            <w:webHidden/>
            <w:sz w:val="21"/>
            <w:szCs w:val="21"/>
          </w:rPr>
          <w:fldChar w:fldCharType="end"/>
        </w:r>
      </w:hyperlink>
    </w:p>
    <w:p w:rsidR="00FE0870" w:rsidRPr="008D3F14" w:rsidRDefault="0025418D" w:rsidP="008D3F14">
      <w:pPr>
        <w:pStyle w:val="30"/>
        <w:tabs>
          <w:tab w:val="left" w:pos="1680"/>
          <w:tab w:val="right" w:leader="dot" w:pos="8303"/>
        </w:tabs>
        <w:snapToGrid w:val="0"/>
        <w:spacing w:line="336" w:lineRule="auto"/>
        <w:ind w:left="960"/>
        <w:rPr>
          <w:noProof/>
          <w:sz w:val="21"/>
          <w:szCs w:val="21"/>
        </w:rPr>
      </w:pPr>
      <w:hyperlink w:anchor="_Toc496797927" w:history="1">
        <w:r w:rsidR="00FE0870" w:rsidRPr="008D3F14">
          <w:rPr>
            <w:rStyle w:val="ac"/>
            <w:noProof/>
            <w:spacing w:val="-4"/>
            <w:sz w:val="21"/>
            <w:szCs w:val="21"/>
          </w:rPr>
          <w:t>7.2.8</w:t>
        </w:r>
        <w:r w:rsidR="00FE0870" w:rsidRPr="008D3F14">
          <w:rPr>
            <w:noProof/>
            <w:sz w:val="21"/>
            <w:szCs w:val="21"/>
          </w:rPr>
          <w:tab/>
        </w:r>
        <w:r w:rsidR="00216DA8">
          <w:rPr>
            <w:rStyle w:val="ac"/>
            <w:rFonts w:hAnsi="宋体" w:hint="eastAsia"/>
            <w:noProof/>
            <w:sz w:val="21"/>
            <w:szCs w:val="21"/>
          </w:rPr>
          <w:t>样本</w:t>
        </w:r>
        <w:r w:rsidR="00FE0870" w:rsidRPr="008D3F14">
          <w:rPr>
            <w:rStyle w:val="ac"/>
            <w:rFonts w:hAnsi="宋体" w:hint="eastAsia"/>
            <w:noProof/>
            <w:sz w:val="21"/>
            <w:szCs w:val="21"/>
          </w:rPr>
          <w:t>收集与处理条件</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_Toc496797927 \h </w:instrText>
        </w:r>
        <w:r w:rsidRPr="008D3F14">
          <w:rPr>
            <w:noProof/>
            <w:webHidden/>
            <w:sz w:val="21"/>
            <w:szCs w:val="21"/>
          </w:rPr>
        </w:r>
        <w:r w:rsidRPr="008D3F14">
          <w:rPr>
            <w:noProof/>
            <w:webHidden/>
            <w:sz w:val="21"/>
            <w:szCs w:val="21"/>
          </w:rPr>
          <w:fldChar w:fldCharType="separate"/>
        </w:r>
        <w:r w:rsidR="00FE0870">
          <w:rPr>
            <w:noProof/>
            <w:webHidden/>
            <w:sz w:val="21"/>
            <w:szCs w:val="21"/>
          </w:rPr>
          <w:t>15</w:t>
        </w:r>
        <w:r w:rsidRPr="008D3F14">
          <w:rPr>
            <w:noProof/>
            <w:webHidden/>
            <w:sz w:val="21"/>
            <w:szCs w:val="21"/>
          </w:rPr>
          <w:fldChar w:fldCharType="end"/>
        </w:r>
      </w:hyperlink>
    </w:p>
    <w:p w:rsidR="00FE0870" w:rsidRPr="008D3F14" w:rsidRDefault="0025418D" w:rsidP="008D3F14">
      <w:pPr>
        <w:pStyle w:val="30"/>
        <w:tabs>
          <w:tab w:val="left" w:pos="1680"/>
          <w:tab w:val="right" w:leader="dot" w:pos="8303"/>
        </w:tabs>
        <w:snapToGrid w:val="0"/>
        <w:spacing w:line="336" w:lineRule="auto"/>
        <w:ind w:left="960"/>
        <w:rPr>
          <w:noProof/>
          <w:sz w:val="21"/>
          <w:szCs w:val="21"/>
        </w:rPr>
      </w:pPr>
      <w:hyperlink w:anchor="_Toc496797928" w:history="1">
        <w:r w:rsidR="00FE0870" w:rsidRPr="008D3F14">
          <w:rPr>
            <w:rStyle w:val="ac"/>
            <w:noProof/>
            <w:spacing w:val="-4"/>
            <w:sz w:val="21"/>
            <w:szCs w:val="21"/>
          </w:rPr>
          <w:t>7.2.9</w:t>
        </w:r>
        <w:r w:rsidR="00FE0870" w:rsidRPr="008D3F14">
          <w:rPr>
            <w:noProof/>
            <w:sz w:val="21"/>
            <w:szCs w:val="21"/>
          </w:rPr>
          <w:tab/>
        </w:r>
        <w:r w:rsidR="00FE0870" w:rsidRPr="008D3F14">
          <w:rPr>
            <w:rStyle w:val="ac"/>
            <w:rFonts w:hAnsi="宋体" w:hint="eastAsia"/>
            <w:noProof/>
            <w:sz w:val="21"/>
            <w:szCs w:val="21"/>
          </w:rPr>
          <w:t>其他分析性研究</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_Toc496797928 \h </w:instrText>
        </w:r>
        <w:r w:rsidRPr="008D3F14">
          <w:rPr>
            <w:noProof/>
            <w:webHidden/>
            <w:sz w:val="21"/>
            <w:szCs w:val="21"/>
          </w:rPr>
        </w:r>
        <w:r w:rsidRPr="008D3F14">
          <w:rPr>
            <w:noProof/>
            <w:webHidden/>
            <w:sz w:val="21"/>
            <w:szCs w:val="21"/>
          </w:rPr>
          <w:fldChar w:fldCharType="separate"/>
        </w:r>
        <w:r w:rsidR="00FE0870">
          <w:rPr>
            <w:noProof/>
            <w:webHidden/>
            <w:sz w:val="21"/>
            <w:szCs w:val="21"/>
          </w:rPr>
          <w:t>15</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29" w:history="1">
        <w:r w:rsidR="00FE0870" w:rsidRPr="008D3F14">
          <w:rPr>
            <w:rStyle w:val="ac"/>
            <w:noProof/>
            <w:sz w:val="21"/>
            <w:szCs w:val="21"/>
          </w:rPr>
          <w:t>7.3</w:t>
        </w:r>
        <w:r w:rsidR="00FE0870" w:rsidRPr="008D3F14">
          <w:rPr>
            <w:noProof/>
            <w:sz w:val="21"/>
            <w:szCs w:val="21"/>
          </w:rPr>
          <w:tab/>
        </w:r>
        <w:r w:rsidR="00FE0870" w:rsidRPr="008D3F14">
          <w:rPr>
            <w:rFonts w:hAnsi="宋体" w:hint="eastAsia"/>
            <w:noProof/>
            <w:sz w:val="21"/>
            <w:szCs w:val="21"/>
          </w:rPr>
          <w:t>临床表现</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_Toc496797929 \h </w:instrText>
        </w:r>
        <w:r w:rsidRPr="008D3F14">
          <w:rPr>
            <w:noProof/>
            <w:webHidden/>
            <w:sz w:val="21"/>
            <w:szCs w:val="21"/>
          </w:rPr>
        </w:r>
        <w:r w:rsidRPr="008D3F14">
          <w:rPr>
            <w:noProof/>
            <w:webHidden/>
            <w:sz w:val="21"/>
            <w:szCs w:val="21"/>
          </w:rPr>
          <w:fldChar w:fldCharType="separate"/>
        </w:r>
        <w:r w:rsidR="00FE0870">
          <w:rPr>
            <w:noProof/>
            <w:webHidden/>
            <w:sz w:val="21"/>
            <w:szCs w:val="21"/>
          </w:rPr>
          <w:t>15</w:t>
        </w:r>
        <w:r w:rsidRPr="008D3F14">
          <w:rPr>
            <w:noProof/>
            <w:webHidden/>
            <w:sz w:val="21"/>
            <w:szCs w:val="21"/>
          </w:rPr>
          <w:fldChar w:fldCharType="end"/>
        </w:r>
      </w:hyperlink>
    </w:p>
    <w:p w:rsidR="00FE0870" w:rsidRPr="008D3F14" w:rsidRDefault="0025418D" w:rsidP="008D3F14">
      <w:pPr>
        <w:pStyle w:val="30"/>
        <w:tabs>
          <w:tab w:val="left" w:pos="1680"/>
          <w:tab w:val="right" w:leader="dot" w:pos="8303"/>
        </w:tabs>
        <w:snapToGrid w:val="0"/>
        <w:spacing w:line="336" w:lineRule="auto"/>
        <w:ind w:left="960"/>
        <w:rPr>
          <w:noProof/>
          <w:sz w:val="21"/>
          <w:szCs w:val="21"/>
        </w:rPr>
      </w:pPr>
      <w:hyperlink w:anchor="_Toc496797930" w:history="1">
        <w:r w:rsidR="00FE0870" w:rsidRPr="008D3F14">
          <w:rPr>
            <w:rStyle w:val="ac"/>
            <w:noProof/>
            <w:spacing w:val="-4"/>
            <w:sz w:val="21"/>
            <w:szCs w:val="21"/>
          </w:rPr>
          <w:t>7.3.1</w:t>
        </w:r>
        <w:r w:rsidR="00FE0870" w:rsidRPr="008D3F14">
          <w:rPr>
            <w:noProof/>
            <w:sz w:val="21"/>
            <w:szCs w:val="21"/>
          </w:rPr>
          <w:tab/>
        </w:r>
        <w:r w:rsidR="00FE0870" w:rsidRPr="008D3F14">
          <w:rPr>
            <w:rStyle w:val="ac"/>
            <w:rFonts w:hAnsi="宋体" w:hint="eastAsia"/>
            <w:noProof/>
            <w:sz w:val="21"/>
            <w:szCs w:val="21"/>
          </w:rPr>
          <w:t>期望值</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_Toc496797930 \h </w:instrText>
        </w:r>
        <w:r w:rsidRPr="008D3F14">
          <w:rPr>
            <w:noProof/>
            <w:webHidden/>
            <w:sz w:val="21"/>
            <w:szCs w:val="21"/>
          </w:rPr>
        </w:r>
        <w:r w:rsidRPr="008D3F14">
          <w:rPr>
            <w:noProof/>
            <w:webHidden/>
            <w:sz w:val="21"/>
            <w:szCs w:val="21"/>
          </w:rPr>
          <w:fldChar w:fldCharType="separate"/>
        </w:r>
        <w:r w:rsidR="00FE0870">
          <w:rPr>
            <w:noProof/>
            <w:webHidden/>
            <w:sz w:val="21"/>
            <w:szCs w:val="21"/>
          </w:rPr>
          <w:t>15</w:t>
        </w:r>
        <w:r w:rsidRPr="008D3F14">
          <w:rPr>
            <w:noProof/>
            <w:webHidden/>
            <w:sz w:val="21"/>
            <w:szCs w:val="21"/>
          </w:rPr>
          <w:fldChar w:fldCharType="end"/>
        </w:r>
      </w:hyperlink>
    </w:p>
    <w:p w:rsidR="00FE0870" w:rsidRPr="008D3F14" w:rsidRDefault="0025418D" w:rsidP="008D3F14">
      <w:pPr>
        <w:pStyle w:val="30"/>
        <w:tabs>
          <w:tab w:val="left" w:pos="1680"/>
          <w:tab w:val="right" w:leader="dot" w:pos="8303"/>
        </w:tabs>
        <w:snapToGrid w:val="0"/>
        <w:spacing w:line="336" w:lineRule="auto"/>
        <w:ind w:left="960"/>
        <w:rPr>
          <w:noProof/>
          <w:sz w:val="21"/>
          <w:szCs w:val="21"/>
        </w:rPr>
      </w:pPr>
      <w:hyperlink w:anchor="_Toc496797931" w:history="1">
        <w:r w:rsidR="00FE0870" w:rsidRPr="008D3F14">
          <w:rPr>
            <w:rStyle w:val="ac"/>
            <w:noProof/>
            <w:spacing w:val="-4"/>
            <w:sz w:val="21"/>
            <w:szCs w:val="21"/>
          </w:rPr>
          <w:t>7.3.2</w:t>
        </w:r>
        <w:r w:rsidR="00FE0870" w:rsidRPr="008D3F14">
          <w:rPr>
            <w:noProof/>
            <w:sz w:val="21"/>
            <w:szCs w:val="21"/>
          </w:rPr>
          <w:tab/>
        </w:r>
        <w:r w:rsidR="00FE0870" w:rsidRPr="008D3F14">
          <w:rPr>
            <w:rStyle w:val="ac"/>
            <w:rFonts w:hAnsi="宋体" w:hint="eastAsia"/>
            <w:noProof/>
            <w:sz w:val="21"/>
            <w:szCs w:val="21"/>
          </w:rPr>
          <w:t>临床研究</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_Toc496797931 \h </w:instrText>
        </w:r>
        <w:r w:rsidRPr="008D3F14">
          <w:rPr>
            <w:noProof/>
            <w:webHidden/>
            <w:sz w:val="21"/>
            <w:szCs w:val="21"/>
          </w:rPr>
        </w:r>
        <w:r w:rsidRPr="008D3F14">
          <w:rPr>
            <w:noProof/>
            <w:webHidden/>
            <w:sz w:val="21"/>
            <w:szCs w:val="21"/>
          </w:rPr>
          <w:fldChar w:fldCharType="separate"/>
        </w:r>
        <w:r w:rsidR="00FE0870">
          <w:rPr>
            <w:noProof/>
            <w:webHidden/>
            <w:sz w:val="21"/>
            <w:szCs w:val="21"/>
          </w:rPr>
          <w:t>16</w:t>
        </w:r>
        <w:r w:rsidRPr="008D3F14">
          <w:rPr>
            <w:noProof/>
            <w:webHidden/>
            <w:sz w:val="21"/>
            <w:szCs w:val="21"/>
          </w:rPr>
          <w:fldChar w:fldCharType="end"/>
        </w:r>
      </w:hyperlink>
    </w:p>
    <w:p w:rsidR="00FE0870" w:rsidRPr="008D3F14" w:rsidRDefault="0025418D" w:rsidP="008D3F14">
      <w:pPr>
        <w:pStyle w:val="30"/>
        <w:tabs>
          <w:tab w:val="left" w:pos="1470"/>
          <w:tab w:val="right" w:leader="dot" w:pos="8303"/>
        </w:tabs>
        <w:snapToGrid w:val="0"/>
        <w:spacing w:line="336" w:lineRule="auto"/>
        <w:ind w:left="960"/>
        <w:rPr>
          <w:noProof/>
          <w:sz w:val="21"/>
          <w:szCs w:val="21"/>
        </w:rPr>
      </w:pPr>
      <w:hyperlink w:anchor="_Toc496797932" w:history="1">
        <w:r w:rsidR="00FE0870" w:rsidRPr="008D3F14">
          <w:rPr>
            <w:rStyle w:val="ac"/>
            <w:noProof/>
            <w:sz w:val="21"/>
            <w:szCs w:val="21"/>
          </w:rPr>
          <w:t>7.4</w:t>
        </w:r>
        <w:r w:rsidR="00FE0870" w:rsidRPr="008D3F14">
          <w:rPr>
            <w:noProof/>
            <w:sz w:val="21"/>
            <w:szCs w:val="21"/>
          </w:rPr>
          <w:tab/>
        </w:r>
        <w:r w:rsidR="00FE0870" w:rsidRPr="008D3F14">
          <w:rPr>
            <w:rStyle w:val="ac"/>
            <w:rFonts w:hAnsi="宋体" w:hint="eastAsia"/>
            <w:noProof/>
            <w:sz w:val="21"/>
            <w:szCs w:val="21"/>
          </w:rPr>
          <w:t>可检测性和对比性能</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_Toc496797932 \h </w:instrText>
        </w:r>
        <w:r w:rsidRPr="008D3F14">
          <w:rPr>
            <w:noProof/>
            <w:webHidden/>
            <w:sz w:val="21"/>
            <w:szCs w:val="21"/>
          </w:rPr>
        </w:r>
        <w:r w:rsidRPr="008D3F14">
          <w:rPr>
            <w:noProof/>
            <w:webHidden/>
            <w:sz w:val="21"/>
            <w:szCs w:val="21"/>
          </w:rPr>
          <w:fldChar w:fldCharType="separate"/>
        </w:r>
        <w:r w:rsidR="00FE0870">
          <w:rPr>
            <w:noProof/>
            <w:webHidden/>
            <w:sz w:val="21"/>
            <w:szCs w:val="21"/>
          </w:rPr>
          <w:t>18</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33" w:history="1">
        <w:r w:rsidR="00FE0870" w:rsidRPr="008D3F14">
          <w:rPr>
            <w:rStyle w:val="ac"/>
            <w:noProof/>
            <w:sz w:val="21"/>
            <w:szCs w:val="21"/>
          </w:rPr>
          <w:t>8.</w:t>
        </w:r>
        <w:r w:rsidR="00FE0870" w:rsidRPr="008D3F14">
          <w:rPr>
            <w:noProof/>
            <w:sz w:val="21"/>
            <w:szCs w:val="21"/>
          </w:rPr>
          <w:tab/>
        </w:r>
        <w:r w:rsidR="00FE0870" w:rsidRPr="008D3F14">
          <w:rPr>
            <w:rStyle w:val="ac"/>
            <w:rFonts w:hAnsi="宋体" w:hint="eastAsia"/>
            <w:noProof/>
            <w:sz w:val="21"/>
            <w:szCs w:val="21"/>
          </w:rPr>
          <w:t>标签</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_Toc496797933 \h </w:instrText>
        </w:r>
        <w:r w:rsidRPr="008D3F14">
          <w:rPr>
            <w:noProof/>
            <w:webHidden/>
            <w:sz w:val="21"/>
            <w:szCs w:val="21"/>
          </w:rPr>
        </w:r>
        <w:r w:rsidRPr="008D3F14">
          <w:rPr>
            <w:noProof/>
            <w:webHidden/>
            <w:sz w:val="21"/>
            <w:szCs w:val="21"/>
          </w:rPr>
          <w:fldChar w:fldCharType="separate"/>
        </w:r>
        <w:r w:rsidR="00FE0870">
          <w:rPr>
            <w:noProof/>
            <w:webHidden/>
            <w:sz w:val="21"/>
            <w:szCs w:val="21"/>
          </w:rPr>
          <w:t>19</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34" w:history="1">
        <w:r w:rsidR="00FE0870" w:rsidRPr="008D3F14">
          <w:rPr>
            <w:rStyle w:val="ac"/>
            <w:noProof/>
            <w:sz w:val="21"/>
            <w:szCs w:val="21"/>
          </w:rPr>
          <w:t>8.1</w:t>
        </w:r>
        <w:r w:rsidR="00FE0870" w:rsidRPr="008D3F14">
          <w:rPr>
            <w:noProof/>
            <w:sz w:val="21"/>
            <w:szCs w:val="21"/>
          </w:rPr>
          <w:tab/>
        </w:r>
        <w:r w:rsidR="00FE0870" w:rsidRPr="008D3F14">
          <w:rPr>
            <w:rFonts w:hAnsi="宋体" w:hint="eastAsia"/>
            <w:noProof/>
            <w:sz w:val="21"/>
            <w:szCs w:val="21"/>
          </w:rPr>
          <w:t>使用说明</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_Toc496797934 \h </w:instrText>
        </w:r>
        <w:r w:rsidRPr="008D3F14">
          <w:rPr>
            <w:noProof/>
            <w:webHidden/>
            <w:sz w:val="21"/>
            <w:szCs w:val="21"/>
          </w:rPr>
        </w:r>
        <w:r w:rsidRPr="008D3F14">
          <w:rPr>
            <w:noProof/>
            <w:webHidden/>
            <w:sz w:val="21"/>
            <w:szCs w:val="21"/>
          </w:rPr>
          <w:fldChar w:fldCharType="separate"/>
        </w:r>
        <w:r w:rsidR="00FE0870">
          <w:rPr>
            <w:noProof/>
            <w:webHidden/>
            <w:sz w:val="21"/>
            <w:szCs w:val="21"/>
          </w:rPr>
          <w:t>19</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35" w:history="1">
        <w:r w:rsidR="00FE0870" w:rsidRPr="008D3F14">
          <w:rPr>
            <w:rStyle w:val="ac"/>
            <w:noProof/>
            <w:sz w:val="21"/>
            <w:szCs w:val="21"/>
          </w:rPr>
          <w:t>8.2</w:t>
        </w:r>
        <w:r w:rsidR="00FE0870" w:rsidRPr="008D3F14">
          <w:rPr>
            <w:noProof/>
            <w:sz w:val="21"/>
            <w:szCs w:val="21"/>
          </w:rPr>
          <w:tab/>
        </w:r>
        <w:r w:rsidR="00FE0870" w:rsidRPr="008D3F14">
          <w:rPr>
            <w:rStyle w:val="ac"/>
            <w:rFonts w:hAnsi="宋体" w:hint="eastAsia"/>
            <w:noProof/>
            <w:sz w:val="21"/>
            <w:szCs w:val="21"/>
          </w:rPr>
          <w:t>质量控制</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_Toc496797935 \h </w:instrText>
        </w:r>
        <w:r w:rsidRPr="008D3F14">
          <w:rPr>
            <w:noProof/>
            <w:webHidden/>
            <w:sz w:val="21"/>
            <w:szCs w:val="21"/>
          </w:rPr>
        </w:r>
        <w:r w:rsidRPr="008D3F14">
          <w:rPr>
            <w:noProof/>
            <w:webHidden/>
            <w:sz w:val="21"/>
            <w:szCs w:val="21"/>
          </w:rPr>
          <w:fldChar w:fldCharType="separate"/>
        </w:r>
        <w:r w:rsidR="00FE0870">
          <w:rPr>
            <w:noProof/>
            <w:webHidden/>
            <w:sz w:val="21"/>
            <w:szCs w:val="21"/>
          </w:rPr>
          <w:t>19</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36" w:history="1">
        <w:r w:rsidR="00FE0870" w:rsidRPr="008D3F14">
          <w:rPr>
            <w:rStyle w:val="ac"/>
            <w:noProof/>
            <w:sz w:val="21"/>
            <w:szCs w:val="21"/>
          </w:rPr>
          <w:t>8.3</w:t>
        </w:r>
        <w:r w:rsidR="00FE0870" w:rsidRPr="008D3F14">
          <w:rPr>
            <w:noProof/>
            <w:sz w:val="21"/>
            <w:szCs w:val="21"/>
          </w:rPr>
          <w:tab/>
        </w:r>
        <w:r w:rsidR="00FE0870" w:rsidRPr="008D3F14">
          <w:rPr>
            <w:rStyle w:val="ac"/>
            <w:rFonts w:hAnsi="宋体" w:hint="eastAsia"/>
            <w:noProof/>
            <w:sz w:val="21"/>
            <w:szCs w:val="21"/>
          </w:rPr>
          <w:t>警告和注意事项</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_Toc496797936 \h </w:instrText>
        </w:r>
        <w:r w:rsidRPr="008D3F14">
          <w:rPr>
            <w:noProof/>
            <w:webHidden/>
            <w:sz w:val="21"/>
            <w:szCs w:val="21"/>
          </w:rPr>
        </w:r>
        <w:r w:rsidRPr="008D3F14">
          <w:rPr>
            <w:noProof/>
            <w:webHidden/>
            <w:sz w:val="21"/>
            <w:szCs w:val="21"/>
          </w:rPr>
          <w:fldChar w:fldCharType="separate"/>
        </w:r>
        <w:r w:rsidR="00FE0870">
          <w:rPr>
            <w:noProof/>
            <w:webHidden/>
            <w:sz w:val="21"/>
            <w:szCs w:val="21"/>
          </w:rPr>
          <w:t>19</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37" w:history="1">
        <w:r w:rsidR="00FE0870" w:rsidRPr="008D3F14">
          <w:rPr>
            <w:rStyle w:val="ac"/>
            <w:noProof/>
            <w:sz w:val="21"/>
            <w:szCs w:val="21"/>
          </w:rPr>
          <w:t>8.4</w:t>
        </w:r>
        <w:r w:rsidR="00FE0870" w:rsidRPr="008D3F14">
          <w:rPr>
            <w:noProof/>
            <w:sz w:val="21"/>
            <w:szCs w:val="21"/>
          </w:rPr>
          <w:tab/>
        </w:r>
        <w:r w:rsidR="00FE0870" w:rsidRPr="008D3F14">
          <w:rPr>
            <w:rFonts w:hAnsi="宋体" w:hint="eastAsia"/>
            <w:noProof/>
            <w:sz w:val="21"/>
            <w:szCs w:val="21"/>
          </w:rPr>
          <w:t>检测结果的解释和报告</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_Toc496797937 \h </w:instrText>
        </w:r>
        <w:r w:rsidRPr="008D3F14">
          <w:rPr>
            <w:noProof/>
            <w:webHidden/>
            <w:sz w:val="21"/>
            <w:szCs w:val="21"/>
          </w:rPr>
        </w:r>
        <w:r w:rsidRPr="008D3F14">
          <w:rPr>
            <w:noProof/>
            <w:webHidden/>
            <w:sz w:val="21"/>
            <w:szCs w:val="21"/>
          </w:rPr>
          <w:fldChar w:fldCharType="separate"/>
        </w:r>
        <w:r w:rsidR="00FE0870">
          <w:rPr>
            <w:noProof/>
            <w:webHidden/>
            <w:sz w:val="21"/>
            <w:szCs w:val="21"/>
          </w:rPr>
          <w:t>20</w:t>
        </w:r>
        <w:r w:rsidRPr="008D3F14">
          <w:rPr>
            <w:noProof/>
            <w:webHidden/>
            <w:sz w:val="21"/>
            <w:szCs w:val="21"/>
          </w:rPr>
          <w:fldChar w:fldCharType="end"/>
        </w:r>
      </w:hyperlink>
    </w:p>
    <w:p w:rsidR="00FE0870" w:rsidRPr="008D3F14" w:rsidRDefault="0025418D" w:rsidP="008D3F14">
      <w:pPr>
        <w:pStyle w:val="10"/>
        <w:tabs>
          <w:tab w:val="left" w:pos="420"/>
          <w:tab w:val="right" w:leader="dot" w:pos="8303"/>
        </w:tabs>
        <w:snapToGrid w:val="0"/>
        <w:spacing w:line="336" w:lineRule="auto"/>
        <w:rPr>
          <w:noProof/>
          <w:sz w:val="21"/>
          <w:szCs w:val="21"/>
        </w:rPr>
      </w:pPr>
      <w:hyperlink w:anchor="_Toc496797938" w:history="1">
        <w:r w:rsidR="00FE0870" w:rsidRPr="008D3F14">
          <w:rPr>
            <w:rStyle w:val="ac"/>
            <w:noProof/>
            <w:sz w:val="21"/>
            <w:szCs w:val="21"/>
          </w:rPr>
          <w:t>9.</w:t>
        </w:r>
        <w:r w:rsidR="00FE0870" w:rsidRPr="008D3F14">
          <w:rPr>
            <w:noProof/>
            <w:sz w:val="21"/>
            <w:szCs w:val="21"/>
          </w:rPr>
          <w:tab/>
        </w:r>
        <w:r w:rsidR="00FE0870" w:rsidRPr="008D3F14">
          <w:rPr>
            <w:rStyle w:val="ac"/>
            <w:rFonts w:hAnsi="宋体" w:hint="eastAsia"/>
            <w:bCs/>
            <w:noProof/>
            <w:sz w:val="21"/>
            <w:szCs w:val="21"/>
          </w:rPr>
          <w:t>参考文献</w:t>
        </w:r>
        <w:r w:rsidR="00FE0870" w:rsidRPr="008D3F14">
          <w:rPr>
            <w:rStyle w:val="ac"/>
            <w:rFonts w:hAnsi="宋体" w:hint="eastAsia"/>
            <w:noProof/>
            <w:sz w:val="21"/>
            <w:szCs w:val="21"/>
          </w:rPr>
          <w:t>：</w:t>
        </w:r>
        <w:r w:rsidR="00FE0870" w:rsidRPr="008D3F14">
          <w:rPr>
            <w:noProof/>
            <w:webHidden/>
            <w:sz w:val="21"/>
            <w:szCs w:val="21"/>
          </w:rPr>
          <w:tab/>
        </w:r>
        <w:r w:rsidRPr="008D3F14">
          <w:rPr>
            <w:noProof/>
            <w:webHidden/>
            <w:sz w:val="21"/>
            <w:szCs w:val="21"/>
          </w:rPr>
          <w:fldChar w:fldCharType="begin"/>
        </w:r>
        <w:r w:rsidR="00FE0870" w:rsidRPr="008D3F14">
          <w:rPr>
            <w:noProof/>
            <w:webHidden/>
            <w:sz w:val="21"/>
            <w:szCs w:val="21"/>
          </w:rPr>
          <w:instrText xml:space="preserve"> PAGEREF _Toc496797938 \h </w:instrText>
        </w:r>
        <w:r w:rsidRPr="008D3F14">
          <w:rPr>
            <w:noProof/>
            <w:webHidden/>
            <w:sz w:val="21"/>
            <w:szCs w:val="21"/>
          </w:rPr>
        </w:r>
        <w:r w:rsidRPr="008D3F14">
          <w:rPr>
            <w:noProof/>
            <w:webHidden/>
            <w:sz w:val="21"/>
            <w:szCs w:val="21"/>
          </w:rPr>
          <w:fldChar w:fldCharType="separate"/>
        </w:r>
        <w:r w:rsidR="00FE0870">
          <w:rPr>
            <w:noProof/>
            <w:webHidden/>
            <w:sz w:val="21"/>
            <w:szCs w:val="21"/>
          </w:rPr>
          <w:t>21</w:t>
        </w:r>
        <w:r w:rsidRPr="008D3F14">
          <w:rPr>
            <w:noProof/>
            <w:webHidden/>
            <w:sz w:val="21"/>
            <w:szCs w:val="21"/>
          </w:rPr>
          <w:fldChar w:fldCharType="end"/>
        </w:r>
      </w:hyperlink>
    </w:p>
    <w:p w:rsidR="00FE0870" w:rsidRPr="008D3F14" w:rsidRDefault="0025418D" w:rsidP="008D3F14">
      <w:pPr>
        <w:widowControl/>
        <w:autoSpaceDE/>
        <w:autoSpaceDN/>
        <w:snapToGrid w:val="0"/>
        <w:spacing w:line="336" w:lineRule="auto"/>
        <w:rPr>
          <w:sz w:val="21"/>
          <w:szCs w:val="21"/>
        </w:rPr>
      </w:pPr>
      <w:r w:rsidRPr="008D3F14">
        <w:rPr>
          <w:sz w:val="21"/>
          <w:szCs w:val="21"/>
        </w:rPr>
        <w:fldChar w:fldCharType="end"/>
      </w:r>
    </w:p>
    <w:p w:rsidR="00FE0870" w:rsidRPr="00EC3DB5" w:rsidRDefault="00FE0870" w:rsidP="008D3F14">
      <w:pPr>
        <w:widowControl/>
        <w:autoSpaceDE/>
        <w:autoSpaceDN/>
        <w:snapToGrid w:val="0"/>
        <w:spacing w:line="336" w:lineRule="auto"/>
        <w:rPr>
          <w:bCs/>
          <w:sz w:val="21"/>
          <w:szCs w:val="21"/>
        </w:rPr>
      </w:pPr>
      <w:r w:rsidRPr="008D3F14">
        <w:rPr>
          <w:sz w:val="21"/>
          <w:szCs w:val="21"/>
        </w:rPr>
        <w:br w:type="page"/>
      </w:r>
    </w:p>
    <w:p w:rsidR="00FE0870" w:rsidRPr="00AB5FC8" w:rsidRDefault="00FE0870" w:rsidP="00EC3DB5">
      <w:pPr>
        <w:pBdr>
          <w:bottom w:val="single" w:sz="4" w:space="1" w:color="auto"/>
        </w:pBdr>
        <w:kinsoku w:val="0"/>
        <w:overflowPunct w:val="0"/>
        <w:snapToGrid w:val="0"/>
        <w:spacing w:line="360" w:lineRule="auto"/>
        <w:jc w:val="center"/>
        <w:rPr>
          <w:sz w:val="36"/>
          <w:szCs w:val="36"/>
        </w:rPr>
      </w:pPr>
      <w:r w:rsidRPr="00AB5FC8">
        <w:rPr>
          <w:b/>
          <w:sz w:val="36"/>
          <w:szCs w:val="36"/>
        </w:rPr>
        <w:lastRenderedPageBreak/>
        <w:t>II</w:t>
      </w:r>
      <w:r w:rsidRPr="00AB5FC8">
        <w:rPr>
          <w:rFonts w:hAnsi="宋体" w:hint="eastAsia"/>
          <w:b/>
          <w:sz w:val="36"/>
          <w:szCs w:val="36"/>
        </w:rPr>
        <w:t>类</w:t>
      </w:r>
      <w:r w:rsidR="007F3D1B">
        <w:rPr>
          <w:rFonts w:hAnsi="宋体" w:hint="eastAsia"/>
          <w:b/>
          <w:sz w:val="36"/>
          <w:szCs w:val="36"/>
        </w:rPr>
        <w:t>特殊控制</w:t>
      </w:r>
      <w:r w:rsidRPr="00AB5FC8">
        <w:rPr>
          <w:rFonts w:hAnsi="宋体" w:hint="eastAsia"/>
          <w:b/>
          <w:sz w:val="36"/>
          <w:szCs w:val="36"/>
        </w:rPr>
        <w:t>指南文件：</w:t>
      </w:r>
      <w:r w:rsidR="005F2B08">
        <w:rPr>
          <w:rFonts w:hAnsi="宋体" w:hint="eastAsia"/>
          <w:b/>
          <w:bCs/>
          <w:sz w:val="36"/>
          <w:szCs w:val="36"/>
        </w:rPr>
        <w:t>JC</w:t>
      </w:r>
      <w:r w:rsidRPr="00AB5FC8">
        <w:rPr>
          <w:rFonts w:hAnsi="宋体" w:hint="eastAsia"/>
          <w:b/>
          <w:bCs/>
          <w:sz w:val="36"/>
          <w:szCs w:val="36"/>
        </w:rPr>
        <w:t>病毒血清试剂</w:t>
      </w:r>
    </w:p>
    <w:p w:rsidR="00FE0870" w:rsidRPr="00AB5FC8" w:rsidRDefault="00FE0870" w:rsidP="00EC3DB5">
      <w:pPr>
        <w:kinsoku w:val="0"/>
        <w:overflowPunct w:val="0"/>
        <w:snapToGrid w:val="0"/>
        <w:spacing w:line="360" w:lineRule="auto"/>
        <w:jc w:val="center"/>
        <w:rPr>
          <w:b/>
          <w:bCs/>
          <w:sz w:val="36"/>
          <w:szCs w:val="36"/>
        </w:rPr>
      </w:pPr>
      <w:r w:rsidRPr="00AB5FC8">
        <w:rPr>
          <w:rFonts w:hAnsi="宋体" w:hint="eastAsia"/>
          <w:b/>
          <w:bCs/>
          <w:sz w:val="36"/>
          <w:szCs w:val="36"/>
        </w:rPr>
        <w:t>行业</w:t>
      </w:r>
      <w:r w:rsidR="000D21ED">
        <w:rPr>
          <w:rFonts w:hAnsi="宋体" w:hint="eastAsia"/>
          <w:b/>
          <w:bCs/>
          <w:sz w:val="36"/>
          <w:szCs w:val="36"/>
        </w:rPr>
        <w:t>及</w:t>
      </w:r>
      <w:bookmarkStart w:id="6" w:name="_GoBack"/>
      <w:bookmarkEnd w:id="6"/>
      <w:r w:rsidR="00F71A6B">
        <w:rPr>
          <w:rFonts w:hAnsi="宋体" w:hint="eastAsia"/>
          <w:b/>
          <w:bCs/>
          <w:sz w:val="36"/>
          <w:szCs w:val="36"/>
        </w:rPr>
        <w:t>美国</w:t>
      </w:r>
      <w:r w:rsidR="00430131">
        <w:rPr>
          <w:rFonts w:hAnsi="宋体" w:hint="eastAsia"/>
          <w:b/>
          <w:bCs/>
          <w:sz w:val="36"/>
          <w:szCs w:val="36"/>
        </w:rPr>
        <w:t>食品药品管理局</w:t>
      </w:r>
      <w:r w:rsidRPr="00AB5FC8">
        <w:rPr>
          <w:rFonts w:hAnsi="宋体" w:hint="eastAsia"/>
          <w:b/>
          <w:bCs/>
          <w:sz w:val="36"/>
          <w:szCs w:val="36"/>
        </w:rPr>
        <w:t>工作人员指南</w:t>
      </w:r>
    </w:p>
    <w:p w:rsidR="00FE0870" w:rsidRPr="00EC3DB5" w:rsidRDefault="00FE0870" w:rsidP="00D20CDC">
      <w:pPr>
        <w:pStyle w:val="2"/>
        <w:numPr>
          <w:ilvl w:val="0"/>
          <w:numId w:val="8"/>
        </w:numPr>
        <w:kinsoku w:val="0"/>
        <w:overflowPunct w:val="0"/>
        <w:snapToGrid w:val="0"/>
        <w:spacing w:beforeLines="50" w:line="360" w:lineRule="auto"/>
        <w:ind w:left="422" w:hangingChars="200" w:hanging="422"/>
        <w:jc w:val="both"/>
        <w:rPr>
          <w:b w:val="0"/>
          <w:bCs w:val="0"/>
          <w:sz w:val="21"/>
          <w:szCs w:val="21"/>
        </w:rPr>
      </w:pPr>
      <w:bookmarkStart w:id="7" w:name="1._Introduction"/>
      <w:bookmarkStart w:id="8" w:name="bookmark0"/>
      <w:bookmarkStart w:id="9" w:name="_Toc496797906"/>
      <w:bookmarkEnd w:id="7"/>
      <w:bookmarkEnd w:id="8"/>
      <w:r w:rsidRPr="00EC3DB5">
        <w:rPr>
          <w:rFonts w:hAnsi="宋体" w:hint="eastAsia"/>
          <w:sz w:val="21"/>
          <w:szCs w:val="21"/>
        </w:rPr>
        <w:t>前言</w:t>
      </w:r>
      <w:bookmarkEnd w:id="9"/>
    </w:p>
    <w:p w:rsidR="00FE0870" w:rsidRPr="00533E3F" w:rsidRDefault="00FE0870" w:rsidP="00D20CDC">
      <w:pPr>
        <w:pStyle w:val="a3"/>
        <w:kinsoku w:val="0"/>
        <w:overflowPunct w:val="0"/>
        <w:snapToGrid w:val="0"/>
        <w:spacing w:beforeLines="50" w:line="360" w:lineRule="auto"/>
        <w:ind w:left="0"/>
        <w:jc w:val="both"/>
        <w:rPr>
          <w:sz w:val="21"/>
          <w:szCs w:val="21"/>
        </w:rPr>
      </w:pPr>
      <w:r w:rsidRPr="00533E3F">
        <w:rPr>
          <w:rFonts w:hAnsi="宋体" w:hint="eastAsia"/>
          <w:sz w:val="21"/>
          <w:szCs w:val="21"/>
        </w:rPr>
        <w:t>本文旨在为用于进行性多灶性脑白质病（</w:t>
      </w:r>
      <w:r w:rsidRPr="00533E3F">
        <w:rPr>
          <w:sz w:val="21"/>
          <w:szCs w:val="21"/>
        </w:rPr>
        <w:t>PML</w:t>
      </w:r>
      <w:r w:rsidRPr="00533E3F">
        <w:rPr>
          <w:rFonts w:hAnsi="宋体" w:hint="eastAsia"/>
          <w:sz w:val="21"/>
          <w:szCs w:val="21"/>
        </w:rPr>
        <w:t>）风险分层的</w:t>
      </w:r>
      <w:r w:rsidR="005F2B08">
        <w:rPr>
          <w:rFonts w:hAnsi="宋体" w:hint="eastAsia"/>
          <w:sz w:val="21"/>
          <w:szCs w:val="21"/>
        </w:rPr>
        <w:t>JC</w:t>
      </w:r>
      <w:r w:rsidRPr="00533E3F">
        <w:rPr>
          <w:rFonts w:hAnsi="宋体" w:hint="eastAsia"/>
          <w:sz w:val="21"/>
          <w:szCs w:val="21"/>
        </w:rPr>
        <w:t>病毒（</w:t>
      </w:r>
      <w:r w:rsidR="005F2B08">
        <w:rPr>
          <w:sz w:val="23"/>
          <w:szCs w:val="23"/>
        </w:rPr>
        <w:t>John Cunningham Virus</w:t>
      </w:r>
      <w:r w:rsidR="005F2B08">
        <w:rPr>
          <w:rFonts w:hint="eastAsia"/>
          <w:sz w:val="23"/>
          <w:szCs w:val="23"/>
        </w:rPr>
        <w:t>，</w:t>
      </w:r>
      <w:r w:rsidRPr="00533E3F">
        <w:rPr>
          <w:sz w:val="21"/>
          <w:szCs w:val="21"/>
        </w:rPr>
        <w:t>JCV</w:t>
      </w:r>
      <w:r w:rsidRPr="00533E3F">
        <w:rPr>
          <w:rFonts w:hAnsi="宋体" w:hint="eastAsia"/>
          <w:sz w:val="21"/>
          <w:szCs w:val="21"/>
        </w:rPr>
        <w:t>）血清试剂划分为</w:t>
      </w:r>
      <w:r w:rsidRPr="00533E3F">
        <w:rPr>
          <w:sz w:val="21"/>
          <w:szCs w:val="21"/>
        </w:rPr>
        <w:t>II</w:t>
      </w:r>
      <w:r w:rsidRPr="00533E3F">
        <w:rPr>
          <w:rFonts w:hAnsi="宋体" w:hint="eastAsia"/>
          <w:sz w:val="21"/>
          <w:szCs w:val="21"/>
        </w:rPr>
        <w:t>类（特殊控制）医疗器械提供支持。</w:t>
      </w:r>
      <w:r w:rsidRPr="00533E3F">
        <w:rPr>
          <w:sz w:val="21"/>
          <w:szCs w:val="21"/>
        </w:rPr>
        <w:t>JCV</w:t>
      </w:r>
      <w:r w:rsidRPr="00533E3F">
        <w:rPr>
          <w:rFonts w:hAnsi="宋体" w:hint="eastAsia"/>
          <w:sz w:val="21"/>
          <w:szCs w:val="21"/>
        </w:rPr>
        <w:t>血清试剂包含用于血清学试验以识别血清和血浆中的</w:t>
      </w:r>
      <w:r w:rsidRPr="00533E3F">
        <w:rPr>
          <w:sz w:val="21"/>
          <w:szCs w:val="21"/>
        </w:rPr>
        <w:t>JCV</w:t>
      </w:r>
      <w:r w:rsidRPr="00533E3F">
        <w:rPr>
          <w:rFonts w:hAnsi="宋体" w:hint="eastAsia"/>
          <w:sz w:val="21"/>
          <w:szCs w:val="21"/>
        </w:rPr>
        <w:t>抗体的抗原和抗血清。该鉴定有助于对接受了那他珠单抗治疗的多发性硬化症和克隆氏病患者中的</w:t>
      </w:r>
      <w:r w:rsidRPr="00533E3F">
        <w:rPr>
          <w:sz w:val="21"/>
          <w:szCs w:val="21"/>
        </w:rPr>
        <w:t>PML</w:t>
      </w:r>
      <w:r w:rsidRPr="00533E3F">
        <w:rPr>
          <w:rFonts w:hAnsi="宋体" w:hint="eastAsia"/>
          <w:sz w:val="21"/>
          <w:szCs w:val="21"/>
        </w:rPr>
        <w:t>发病进行</w:t>
      </w:r>
      <w:r w:rsidR="00216DA8">
        <w:rPr>
          <w:rFonts w:hAnsi="宋体" w:hint="eastAsia"/>
          <w:sz w:val="21"/>
          <w:szCs w:val="21"/>
        </w:rPr>
        <w:t>风险分层</w:t>
      </w:r>
      <w:r w:rsidRPr="00533E3F">
        <w:rPr>
          <w:rFonts w:hAnsi="宋体" w:hint="eastAsia"/>
          <w:sz w:val="21"/>
          <w:szCs w:val="21"/>
        </w:rPr>
        <w:t>。此类医疗器械在进行性多灶性脑白质病发展的其他临床因素的背景下仅作为辅助使用。</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本文不涉及</w:t>
      </w:r>
      <w:r w:rsidRPr="00EC3DB5">
        <w:rPr>
          <w:sz w:val="21"/>
          <w:szCs w:val="21"/>
        </w:rPr>
        <w:t>JCV</w:t>
      </w:r>
      <w:r w:rsidRPr="00EC3DB5">
        <w:rPr>
          <w:rFonts w:hAnsi="宋体" w:hint="eastAsia"/>
          <w:sz w:val="21"/>
          <w:szCs w:val="21"/>
        </w:rPr>
        <w:t>血清试剂除</w:t>
      </w:r>
      <w:r w:rsidRPr="00EC3DB5">
        <w:rPr>
          <w:sz w:val="21"/>
          <w:szCs w:val="21"/>
        </w:rPr>
        <w:t>PML</w:t>
      </w:r>
      <w:r w:rsidRPr="00EC3DB5">
        <w:rPr>
          <w:rFonts w:hAnsi="宋体" w:hint="eastAsia"/>
          <w:sz w:val="21"/>
          <w:szCs w:val="21"/>
        </w:rPr>
        <w:t>发病</w:t>
      </w:r>
      <w:r w:rsidR="00216DA8">
        <w:rPr>
          <w:rFonts w:hAnsi="宋体" w:hint="eastAsia"/>
          <w:sz w:val="21"/>
          <w:szCs w:val="21"/>
        </w:rPr>
        <w:t>风险分层</w:t>
      </w:r>
      <w:r w:rsidRPr="00EC3DB5">
        <w:rPr>
          <w:rFonts w:hAnsi="宋体" w:hint="eastAsia"/>
          <w:sz w:val="21"/>
          <w:szCs w:val="21"/>
        </w:rPr>
        <w:t>或</w:t>
      </w:r>
      <w:r w:rsidRPr="00EC3DB5">
        <w:rPr>
          <w:sz w:val="21"/>
          <w:szCs w:val="21"/>
        </w:rPr>
        <w:t>JCV</w:t>
      </w:r>
      <w:r w:rsidRPr="00EC3DB5">
        <w:rPr>
          <w:rFonts w:hAnsi="宋体" w:hint="eastAsia"/>
          <w:sz w:val="21"/>
          <w:szCs w:val="21"/>
        </w:rPr>
        <w:t>核酸扩增试剂之外的任何其他适应症。更多关于此类试验提交的信息，请联系体外诊断和放射健康办公室的微生物学器械部。</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本指南确定了</w:t>
      </w:r>
      <w:r w:rsidRPr="00EC3DB5">
        <w:rPr>
          <w:sz w:val="21"/>
          <w:szCs w:val="21"/>
        </w:rPr>
        <w:t>FDA</w:t>
      </w:r>
      <w:r w:rsidRPr="00EC3DB5">
        <w:rPr>
          <w:rFonts w:hAnsi="宋体" w:hint="eastAsia"/>
          <w:sz w:val="21"/>
          <w:szCs w:val="21"/>
        </w:rPr>
        <w:t>认为能够</w:t>
      </w:r>
      <w:r w:rsidR="00216DA8">
        <w:rPr>
          <w:rFonts w:hAnsi="宋体" w:hint="eastAsia"/>
          <w:sz w:val="21"/>
          <w:szCs w:val="21"/>
        </w:rPr>
        <w:t>缓解</w:t>
      </w:r>
      <w:r w:rsidRPr="00EC3DB5">
        <w:rPr>
          <w:rFonts w:hAnsi="宋体" w:hint="eastAsia"/>
          <w:sz w:val="21"/>
          <w:szCs w:val="21"/>
        </w:rPr>
        <w:t>与此类医疗器械相关的健康风险的措施，并为其安全性和有效性提供了合理的保证。就</w:t>
      </w:r>
      <w:r w:rsidRPr="00EC3DB5">
        <w:rPr>
          <w:sz w:val="21"/>
          <w:szCs w:val="21"/>
        </w:rPr>
        <w:t>JCV</w:t>
      </w:r>
      <w:r w:rsidRPr="00EC3DB5">
        <w:rPr>
          <w:rFonts w:hAnsi="宋体" w:hint="eastAsia"/>
          <w:sz w:val="21"/>
          <w:szCs w:val="21"/>
        </w:rPr>
        <w:t>血清试剂提交</w:t>
      </w:r>
      <w:r w:rsidRPr="00EC3DB5">
        <w:rPr>
          <w:sz w:val="21"/>
          <w:szCs w:val="21"/>
        </w:rPr>
        <w:t>510</w:t>
      </w:r>
      <w:r w:rsidRPr="00EC3DB5">
        <w:rPr>
          <w:rFonts w:hAnsi="宋体" w:hint="eastAsia"/>
          <w:sz w:val="21"/>
          <w:szCs w:val="21"/>
        </w:rPr>
        <w:t>（</w:t>
      </w:r>
      <w:r w:rsidRPr="00EC3DB5">
        <w:rPr>
          <w:sz w:val="21"/>
          <w:szCs w:val="21"/>
        </w:rPr>
        <w:t>k</w:t>
      </w:r>
      <w:r w:rsidRPr="00EC3DB5">
        <w:rPr>
          <w:rFonts w:hAnsi="宋体" w:hint="eastAsia"/>
          <w:sz w:val="21"/>
          <w:szCs w:val="21"/>
        </w:rPr>
        <w:t>）的公司需（</w:t>
      </w:r>
      <w:r w:rsidRPr="00EC3DB5">
        <w:rPr>
          <w:sz w:val="21"/>
          <w:szCs w:val="21"/>
        </w:rPr>
        <w:t>1</w:t>
      </w:r>
      <w:r w:rsidRPr="00EC3DB5">
        <w:rPr>
          <w:rFonts w:hAnsi="宋体" w:hint="eastAsia"/>
          <w:sz w:val="21"/>
          <w:szCs w:val="21"/>
        </w:rPr>
        <w:t>）遵循特殊控制指南中规定的具体的</w:t>
      </w:r>
      <w:r w:rsidR="00216DA8">
        <w:rPr>
          <w:rFonts w:hAnsi="宋体" w:hint="eastAsia"/>
          <w:sz w:val="21"/>
          <w:szCs w:val="21"/>
        </w:rPr>
        <w:t>缓解</w:t>
      </w:r>
      <w:r w:rsidRPr="00EC3DB5">
        <w:rPr>
          <w:rFonts w:hAnsi="宋体" w:hint="eastAsia"/>
          <w:sz w:val="21"/>
          <w:szCs w:val="21"/>
        </w:rPr>
        <w:t>措施，或（</w:t>
      </w:r>
      <w:r w:rsidRPr="00EC3DB5">
        <w:rPr>
          <w:sz w:val="21"/>
          <w:szCs w:val="21"/>
        </w:rPr>
        <w:t>2</w:t>
      </w:r>
      <w:r w:rsidRPr="00EC3DB5">
        <w:rPr>
          <w:rFonts w:hAnsi="宋体" w:hint="eastAsia"/>
          <w:sz w:val="21"/>
          <w:szCs w:val="21"/>
        </w:rPr>
        <w:t>）使用替代性的</w:t>
      </w:r>
      <w:r w:rsidR="00216DA8">
        <w:rPr>
          <w:rFonts w:hAnsi="宋体" w:hint="eastAsia"/>
          <w:sz w:val="21"/>
          <w:szCs w:val="21"/>
        </w:rPr>
        <w:t>缓解</w:t>
      </w:r>
      <w:r w:rsidRPr="00EC3DB5">
        <w:rPr>
          <w:rFonts w:hAnsi="宋体" w:hint="eastAsia"/>
          <w:sz w:val="21"/>
          <w:szCs w:val="21"/>
        </w:rPr>
        <w:t>措施，但要向该机构充分地证明公司所确定的这些替代措施能够提供至少相当的安全性和有效性保证。</w:t>
      </w:r>
    </w:p>
    <w:p w:rsidR="00FE0870" w:rsidRPr="00EC3DB5" w:rsidRDefault="00FE0870" w:rsidP="00D20CDC">
      <w:pPr>
        <w:pStyle w:val="2"/>
        <w:numPr>
          <w:ilvl w:val="0"/>
          <w:numId w:val="8"/>
        </w:numPr>
        <w:kinsoku w:val="0"/>
        <w:overflowPunct w:val="0"/>
        <w:snapToGrid w:val="0"/>
        <w:spacing w:beforeLines="50" w:line="360" w:lineRule="auto"/>
        <w:ind w:left="422" w:hangingChars="200" w:hanging="422"/>
        <w:jc w:val="both"/>
        <w:rPr>
          <w:b w:val="0"/>
          <w:bCs w:val="0"/>
          <w:sz w:val="21"/>
          <w:szCs w:val="21"/>
        </w:rPr>
      </w:pPr>
      <w:bookmarkStart w:id="10" w:name="2._John_Cunningham_Virus_-_Background"/>
      <w:bookmarkStart w:id="11" w:name="bookmark1"/>
      <w:bookmarkStart w:id="12" w:name="_Toc496797907"/>
      <w:bookmarkEnd w:id="10"/>
      <w:bookmarkEnd w:id="11"/>
      <w:r w:rsidRPr="00EC3DB5">
        <w:rPr>
          <w:sz w:val="21"/>
          <w:szCs w:val="21"/>
        </w:rPr>
        <w:t>JC</w:t>
      </w:r>
      <w:r w:rsidRPr="00EC3DB5">
        <w:rPr>
          <w:rFonts w:hAnsi="宋体" w:hint="eastAsia"/>
          <w:sz w:val="21"/>
          <w:szCs w:val="21"/>
        </w:rPr>
        <w:t>病毒</w:t>
      </w:r>
      <w:r w:rsidRPr="00EC3DB5">
        <w:rPr>
          <w:sz w:val="21"/>
          <w:szCs w:val="21"/>
        </w:rPr>
        <w:t>——</w:t>
      </w:r>
      <w:r w:rsidRPr="00EC3DB5">
        <w:rPr>
          <w:rFonts w:hAnsi="宋体" w:hint="eastAsia"/>
          <w:sz w:val="21"/>
          <w:szCs w:val="21"/>
        </w:rPr>
        <w:t>背景信息</w:t>
      </w:r>
      <w:bookmarkEnd w:id="12"/>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sz w:val="21"/>
          <w:szCs w:val="21"/>
        </w:rPr>
        <w:t xml:space="preserve">JCV </w:t>
      </w:r>
      <w:r w:rsidRPr="00EC3DB5">
        <w:rPr>
          <w:rFonts w:hAnsi="宋体" w:hint="eastAsia"/>
          <w:sz w:val="21"/>
          <w:szCs w:val="21"/>
        </w:rPr>
        <w:t>是一种小型、无包膜、双链</w:t>
      </w:r>
      <w:r w:rsidRPr="00EC3DB5">
        <w:rPr>
          <w:sz w:val="21"/>
          <w:szCs w:val="21"/>
        </w:rPr>
        <w:t xml:space="preserve">DNA </w:t>
      </w:r>
      <w:r w:rsidRPr="00EC3DB5">
        <w:rPr>
          <w:rFonts w:hAnsi="宋体" w:hint="eastAsia"/>
          <w:sz w:val="21"/>
          <w:szCs w:val="21"/>
        </w:rPr>
        <w:t>的人类多瘤病毒。它的宿主范围非常有限，当前已知只有在人身上才会造成感染并引发疾病。其在人类</w:t>
      </w:r>
      <w:r w:rsidR="00216DA8">
        <w:rPr>
          <w:rFonts w:hAnsi="宋体" w:hint="eastAsia"/>
          <w:sz w:val="21"/>
          <w:szCs w:val="21"/>
        </w:rPr>
        <w:t>人群</w:t>
      </w:r>
      <w:r w:rsidRPr="00EC3DB5">
        <w:rPr>
          <w:rFonts w:hAnsi="宋体" w:hint="eastAsia"/>
          <w:sz w:val="21"/>
          <w:szCs w:val="21"/>
        </w:rPr>
        <w:t>中十分普遍，因为大多数成年人均对</w:t>
      </w:r>
      <w:r w:rsidRPr="00EC3DB5">
        <w:rPr>
          <w:sz w:val="21"/>
          <w:szCs w:val="21"/>
        </w:rPr>
        <w:t xml:space="preserve">JCV </w:t>
      </w:r>
      <w:r w:rsidRPr="00EC3DB5">
        <w:rPr>
          <w:rFonts w:hAnsi="宋体" w:hint="eastAsia"/>
          <w:sz w:val="21"/>
          <w:szCs w:val="21"/>
        </w:rPr>
        <w:t>抗体呈血清反应阳性【参考</w:t>
      </w:r>
      <w:r w:rsidRPr="00EC3DB5">
        <w:rPr>
          <w:sz w:val="21"/>
          <w:szCs w:val="21"/>
        </w:rPr>
        <w:t>1</w:t>
      </w:r>
      <w:r w:rsidRPr="00EC3DB5">
        <w:rPr>
          <w:rFonts w:hAnsi="宋体" w:hint="eastAsia"/>
          <w:sz w:val="21"/>
          <w:szCs w:val="21"/>
        </w:rPr>
        <w:t>、</w:t>
      </w:r>
      <w:r w:rsidRPr="00EC3DB5">
        <w:rPr>
          <w:sz w:val="21"/>
          <w:szCs w:val="21"/>
        </w:rPr>
        <w:t>2</w:t>
      </w:r>
      <w:r w:rsidRPr="00EC3DB5">
        <w:rPr>
          <w:rFonts w:hAnsi="宋体" w:hint="eastAsia"/>
          <w:sz w:val="21"/>
          <w:szCs w:val="21"/>
        </w:rPr>
        <w:t>、</w:t>
      </w:r>
      <w:r w:rsidRPr="00EC3DB5">
        <w:rPr>
          <w:sz w:val="21"/>
          <w:szCs w:val="21"/>
        </w:rPr>
        <w:t>3</w:t>
      </w:r>
      <w:r w:rsidRPr="00EC3DB5">
        <w:rPr>
          <w:rFonts w:hAnsi="宋体" w:hint="eastAsia"/>
          <w:sz w:val="21"/>
          <w:szCs w:val="21"/>
        </w:rPr>
        <w:t>、</w:t>
      </w:r>
      <w:r w:rsidRPr="00EC3DB5">
        <w:rPr>
          <w:sz w:val="21"/>
          <w:szCs w:val="21"/>
        </w:rPr>
        <w:t>4</w:t>
      </w:r>
      <w:r w:rsidRPr="00EC3DB5">
        <w:rPr>
          <w:rFonts w:hAnsi="宋体" w:hint="eastAsia"/>
          <w:sz w:val="21"/>
          <w:szCs w:val="21"/>
        </w:rPr>
        <w:t>】。</w:t>
      </w:r>
      <w:r w:rsidRPr="00EC3DB5">
        <w:rPr>
          <w:sz w:val="21"/>
          <w:szCs w:val="21"/>
        </w:rPr>
        <w:t>JCV</w:t>
      </w:r>
      <w:r w:rsidRPr="00EC3DB5">
        <w:rPr>
          <w:rFonts w:hAnsi="宋体" w:hint="eastAsia"/>
          <w:sz w:val="21"/>
          <w:szCs w:val="21"/>
        </w:rPr>
        <w:t>感染在临床上通常是无症状的，并且在免疫活性</w:t>
      </w:r>
      <w:r w:rsidR="00216DA8">
        <w:rPr>
          <w:rFonts w:hAnsi="宋体" w:hint="eastAsia"/>
          <w:sz w:val="21"/>
          <w:szCs w:val="21"/>
        </w:rPr>
        <w:t>人群</w:t>
      </w:r>
      <w:r w:rsidRPr="00EC3DB5">
        <w:rPr>
          <w:rFonts w:hAnsi="宋体" w:hint="eastAsia"/>
          <w:sz w:val="21"/>
          <w:szCs w:val="21"/>
        </w:rPr>
        <w:t>中具有疾病自限性。</w:t>
      </w:r>
      <w:r w:rsidRPr="00EC3DB5">
        <w:rPr>
          <w:sz w:val="21"/>
          <w:szCs w:val="21"/>
        </w:rPr>
        <w:t>JCV</w:t>
      </w:r>
      <w:r w:rsidRPr="00EC3DB5">
        <w:rPr>
          <w:rFonts w:hAnsi="宋体" w:hint="eastAsia"/>
          <w:sz w:val="21"/>
          <w:szCs w:val="21"/>
        </w:rPr>
        <w:t>可能会导致</w:t>
      </w:r>
      <w:r w:rsidRPr="00EC3DB5">
        <w:rPr>
          <w:sz w:val="21"/>
          <w:szCs w:val="21"/>
        </w:rPr>
        <w:t>PML</w:t>
      </w:r>
      <w:r w:rsidRPr="00EC3DB5">
        <w:rPr>
          <w:rFonts w:hAnsi="宋体" w:hint="eastAsia"/>
          <w:sz w:val="21"/>
          <w:szCs w:val="21"/>
        </w:rPr>
        <w:t>的发展</w:t>
      </w:r>
      <w:r w:rsidRPr="00EC3DB5">
        <w:rPr>
          <w:sz w:val="21"/>
          <w:szCs w:val="21"/>
        </w:rPr>
        <w:t xml:space="preserve">, </w:t>
      </w:r>
      <w:r w:rsidRPr="00EC3DB5">
        <w:rPr>
          <w:rFonts w:hAnsi="宋体" w:hint="eastAsia"/>
          <w:sz w:val="21"/>
          <w:szCs w:val="21"/>
        </w:rPr>
        <w:t>由少突胶质细胞裂解性病毒感染引起的一种罕见的人类大脑脱髓鞘疾病。</w:t>
      </w:r>
      <w:r w:rsidRPr="00EC3DB5">
        <w:rPr>
          <w:sz w:val="21"/>
          <w:szCs w:val="21"/>
        </w:rPr>
        <w:t>JCV</w:t>
      </w:r>
      <w:r w:rsidRPr="00EC3DB5">
        <w:rPr>
          <w:rFonts w:hAnsi="宋体" w:hint="eastAsia"/>
          <w:sz w:val="21"/>
          <w:szCs w:val="21"/>
        </w:rPr>
        <w:t>只有在严重免疫抑制的个体中才会通过各种宿主和病毒因子之间的复杂、不甚了解的相互作用引起</w:t>
      </w:r>
      <w:r w:rsidRPr="00EC3DB5">
        <w:rPr>
          <w:sz w:val="21"/>
          <w:szCs w:val="21"/>
        </w:rPr>
        <w:t>PML</w:t>
      </w:r>
      <w:r w:rsidRPr="00EC3DB5">
        <w:rPr>
          <w:rFonts w:hAnsi="宋体" w:hint="eastAsia"/>
          <w:sz w:val="21"/>
          <w:szCs w:val="21"/>
        </w:rPr>
        <w:t>【参考</w:t>
      </w:r>
      <w:r w:rsidRPr="00EC3DB5">
        <w:rPr>
          <w:sz w:val="21"/>
          <w:szCs w:val="21"/>
        </w:rPr>
        <w:t xml:space="preserve"> 5</w:t>
      </w:r>
      <w:r w:rsidRPr="00EC3DB5">
        <w:rPr>
          <w:rFonts w:hAnsi="宋体" w:hint="eastAsia"/>
          <w:sz w:val="21"/>
          <w:szCs w:val="21"/>
        </w:rPr>
        <w:t>、</w:t>
      </w:r>
      <w:r w:rsidRPr="00EC3DB5">
        <w:rPr>
          <w:sz w:val="21"/>
          <w:szCs w:val="21"/>
        </w:rPr>
        <w:t>6</w:t>
      </w:r>
      <w:r w:rsidRPr="00EC3DB5">
        <w:rPr>
          <w:rFonts w:hAnsi="宋体" w:hint="eastAsia"/>
          <w:sz w:val="21"/>
          <w:szCs w:val="21"/>
        </w:rPr>
        <w:t>、</w:t>
      </w:r>
      <w:r w:rsidRPr="00EC3DB5">
        <w:rPr>
          <w:sz w:val="21"/>
          <w:szCs w:val="21"/>
        </w:rPr>
        <w:t>7</w:t>
      </w:r>
      <w:r w:rsidRPr="00EC3DB5">
        <w:rPr>
          <w:rFonts w:hAnsi="宋体" w:hint="eastAsia"/>
          <w:sz w:val="21"/>
          <w:szCs w:val="21"/>
        </w:rPr>
        <w:t>】。即便在大多数免疫受抑制的个体中，</w:t>
      </w:r>
      <w:r w:rsidRPr="00EC3DB5">
        <w:rPr>
          <w:sz w:val="21"/>
          <w:szCs w:val="21"/>
        </w:rPr>
        <w:t>PML</w:t>
      </w:r>
      <w:r w:rsidRPr="00EC3DB5">
        <w:rPr>
          <w:rFonts w:hAnsi="宋体" w:hint="eastAsia"/>
          <w:sz w:val="21"/>
          <w:szCs w:val="21"/>
        </w:rPr>
        <w:t>的发展也是很罕见的。那他珠单抗等免疫调节生物疗法与</w:t>
      </w:r>
      <w:r w:rsidRPr="00EC3DB5">
        <w:rPr>
          <w:sz w:val="21"/>
          <w:szCs w:val="21"/>
        </w:rPr>
        <w:t>PML</w:t>
      </w:r>
      <w:r w:rsidRPr="00EC3DB5">
        <w:rPr>
          <w:rFonts w:hAnsi="宋体" w:hint="eastAsia"/>
          <w:sz w:val="21"/>
          <w:szCs w:val="21"/>
        </w:rPr>
        <w:t>病例的增加有关联。由于</w:t>
      </w:r>
      <w:r w:rsidRPr="00EC3DB5">
        <w:rPr>
          <w:sz w:val="21"/>
          <w:szCs w:val="21"/>
        </w:rPr>
        <w:t xml:space="preserve">JCV </w:t>
      </w:r>
      <w:r w:rsidRPr="00EC3DB5">
        <w:rPr>
          <w:rFonts w:hAnsi="宋体" w:hint="eastAsia"/>
          <w:sz w:val="21"/>
          <w:szCs w:val="21"/>
        </w:rPr>
        <w:t>感染是</w:t>
      </w:r>
      <w:r w:rsidRPr="00EC3DB5">
        <w:rPr>
          <w:sz w:val="21"/>
          <w:szCs w:val="21"/>
        </w:rPr>
        <w:t>PML</w:t>
      </w:r>
      <w:r w:rsidRPr="00EC3DB5">
        <w:rPr>
          <w:rFonts w:hAnsi="宋体" w:hint="eastAsia"/>
          <w:sz w:val="21"/>
          <w:szCs w:val="21"/>
        </w:rPr>
        <w:t>发病的一项必要的先兆，识别感染了</w:t>
      </w:r>
      <w:r w:rsidRPr="00EC3DB5">
        <w:rPr>
          <w:sz w:val="21"/>
          <w:szCs w:val="21"/>
        </w:rPr>
        <w:t xml:space="preserve">JCV </w:t>
      </w:r>
      <w:r w:rsidRPr="00EC3DB5">
        <w:rPr>
          <w:rFonts w:hAnsi="宋体" w:hint="eastAsia"/>
          <w:sz w:val="21"/>
          <w:szCs w:val="21"/>
        </w:rPr>
        <w:t>的患者的能力是一项非常有用的工具，可用于针对</w:t>
      </w:r>
      <w:r w:rsidRPr="00EC3DB5">
        <w:rPr>
          <w:sz w:val="21"/>
          <w:szCs w:val="21"/>
        </w:rPr>
        <w:t>PML</w:t>
      </w:r>
      <w:r w:rsidRPr="00EC3DB5">
        <w:rPr>
          <w:rFonts w:hAnsi="宋体" w:hint="eastAsia"/>
          <w:sz w:val="21"/>
          <w:szCs w:val="21"/>
        </w:rPr>
        <w:t>发病的风险在接受了那他珠单抗治疗的个体中对患者进行分层【参考</w:t>
      </w:r>
      <w:r w:rsidRPr="00EC3DB5">
        <w:rPr>
          <w:sz w:val="21"/>
          <w:szCs w:val="21"/>
        </w:rPr>
        <w:t xml:space="preserve"> 8</w:t>
      </w:r>
      <w:r w:rsidRPr="00EC3DB5">
        <w:rPr>
          <w:rFonts w:hAnsi="宋体" w:hint="eastAsia"/>
          <w:sz w:val="21"/>
          <w:szCs w:val="21"/>
        </w:rPr>
        <w:t>】。对血液中抗</w:t>
      </w:r>
      <w:r w:rsidRPr="00EC3DB5">
        <w:rPr>
          <w:sz w:val="21"/>
          <w:szCs w:val="21"/>
        </w:rPr>
        <w:t>JCV</w:t>
      </w:r>
      <w:r w:rsidRPr="00EC3DB5">
        <w:rPr>
          <w:rFonts w:hAnsi="宋体" w:hint="eastAsia"/>
          <w:sz w:val="21"/>
          <w:szCs w:val="21"/>
        </w:rPr>
        <w:t>抗体的监测能够确定</w:t>
      </w:r>
      <w:r w:rsidRPr="00EC3DB5">
        <w:rPr>
          <w:sz w:val="21"/>
          <w:szCs w:val="21"/>
        </w:rPr>
        <w:t>JCV</w:t>
      </w:r>
      <w:r w:rsidRPr="00EC3DB5">
        <w:rPr>
          <w:rFonts w:hAnsi="宋体" w:hint="eastAsia"/>
          <w:sz w:val="21"/>
          <w:szCs w:val="21"/>
        </w:rPr>
        <w:t>的暴露情况。</w:t>
      </w:r>
    </w:p>
    <w:p w:rsidR="00FE0870" w:rsidRPr="00EC3DB5" w:rsidRDefault="00FE0870" w:rsidP="00D20CDC">
      <w:pPr>
        <w:pStyle w:val="2"/>
        <w:numPr>
          <w:ilvl w:val="0"/>
          <w:numId w:val="8"/>
        </w:numPr>
        <w:kinsoku w:val="0"/>
        <w:overflowPunct w:val="0"/>
        <w:snapToGrid w:val="0"/>
        <w:spacing w:beforeLines="50" w:line="360" w:lineRule="auto"/>
        <w:ind w:left="422" w:hangingChars="200" w:hanging="422"/>
        <w:jc w:val="both"/>
        <w:rPr>
          <w:b w:val="0"/>
          <w:bCs w:val="0"/>
          <w:sz w:val="21"/>
          <w:szCs w:val="21"/>
        </w:rPr>
      </w:pPr>
      <w:bookmarkStart w:id="13" w:name="3._Premarket_Notifications_-_Background"/>
      <w:bookmarkStart w:id="14" w:name="bookmark2"/>
      <w:bookmarkEnd w:id="13"/>
      <w:bookmarkEnd w:id="14"/>
      <w:r w:rsidRPr="00EC3DB5">
        <w:rPr>
          <w:sz w:val="21"/>
          <w:szCs w:val="21"/>
        </w:rPr>
        <w:br w:type="page"/>
      </w:r>
      <w:bookmarkStart w:id="15" w:name="_Toc496797908"/>
      <w:r w:rsidRPr="00EC3DB5">
        <w:rPr>
          <w:rFonts w:hAnsi="宋体" w:hint="eastAsia"/>
          <w:sz w:val="21"/>
          <w:szCs w:val="21"/>
        </w:rPr>
        <w:lastRenderedPageBreak/>
        <w:t>上市前通知</w:t>
      </w:r>
      <w:r w:rsidRPr="00EC3DB5">
        <w:rPr>
          <w:sz w:val="21"/>
          <w:szCs w:val="21"/>
        </w:rPr>
        <w:t>——</w:t>
      </w:r>
      <w:r w:rsidRPr="00EC3DB5">
        <w:rPr>
          <w:rFonts w:hAnsi="宋体" w:hint="eastAsia"/>
          <w:sz w:val="21"/>
          <w:szCs w:val="21"/>
        </w:rPr>
        <w:t>背景信息</w:t>
      </w:r>
      <w:bookmarkEnd w:id="15"/>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sz w:val="21"/>
          <w:szCs w:val="21"/>
        </w:rPr>
        <w:t>FDA</w:t>
      </w:r>
      <w:r w:rsidRPr="00EC3DB5">
        <w:rPr>
          <w:rFonts w:hAnsi="宋体" w:hint="eastAsia"/>
          <w:sz w:val="21"/>
          <w:szCs w:val="21"/>
        </w:rPr>
        <w:t>认为，特殊控制与联邦食品</w:t>
      </w:r>
      <w:r w:rsidR="00216DA8">
        <w:rPr>
          <w:rFonts w:hAnsi="宋体" w:hint="eastAsia"/>
          <w:sz w:val="21"/>
          <w:szCs w:val="21"/>
        </w:rPr>
        <w:t>、</w:t>
      </w:r>
      <w:r w:rsidRPr="00EC3DB5">
        <w:rPr>
          <w:rFonts w:hAnsi="宋体" w:hint="eastAsia"/>
          <w:sz w:val="21"/>
          <w:szCs w:val="21"/>
        </w:rPr>
        <w:t>药品</w:t>
      </w:r>
      <w:r w:rsidR="00216DA8">
        <w:rPr>
          <w:rFonts w:hAnsi="宋体" w:hint="eastAsia"/>
          <w:sz w:val="21"/>
          <w:szCs w:val="21"/>
        </w:rPr>
        <w:t>和</w:t>
      </w:r>
      <w:r w:rsidRPr="00EC3DB5">
        <w:rPr>
          <w:rFonts w:hAnsi="宋体" w:hint="eastAsia"/>
          <w:sz w:val="21"/>
          <w:szCs w:val="21"/>
        </w:rPr>
        <w:t>化妆品法案（简称</w:t>
      </w:r>
      <w:r w:rsidRPr="00EC3DB5">
        <w:rPr>
          <w:sz w:val="21"/>
          <w:szCs w:val="21"/>
        </w:rPr>
        <w:t>“FD&amp;C</w:t>
      </w:r>
      <w:r w:rsidRPr="00EC3DB5">
        <w:rPr>
          <w:rFonts w:hAnsi="宋体" w:hint="eastAsia"/>
          <w:sz w:val="21"/>
          <w:szCs w:val="21"/>
        </w:rPr>
        <w:t>法案</w:t>
      </w:r>
      <w:r w:rsidRPr="00EC3DB5">
        <w:rPr>
          <w:sz w:val="21"/>
          <w:szCs w:val="21"/>
        </w:rPr>
        <w:t>”</w:t>
      </w:r>
      <w:r w:rsidRPr="00EC3DB5">
        <w:rPr>
          <w:rFonts w:hAnsi="宋体" w:hint="eastAsia"/>
          <w:sz w:val="21"/>
          <w:szCs w:val="21"/>
        </w:rPr>
        <w:t>）的一般控制相结合，能够为</w:t>
      </w:r>
      <w:r w:rsidRPr="00EC3DB5">
        <w:rPr>
          <w:sz w:val="21"/>
          <w:szCs w:val="21"/>
        </w:rPr>
        <w:t>JCV</w:t>
      </w:r>
      <w:r w:rsidRPr="00EC3DB5">
        <w:rPr>
          <w:rFonts w:hAnsi="宋体" w:hint="eastAsia"/>
          <w:sz w:val="21"/>
          <w:szCs w:val="21"/>
        </w:rPr>
        <w:t>血清试剂的安全性和有效性提供必要的合理保证。意欲销售这种类型的医疗器械的制造商必须（</w:t>
      </w:r>
      <w:r w:rsidRPr="00EC3DB5">
        <w:rPr>
          <w:sz w:val="21"/>
          <w:szCs w:val="21"/>
        </w:rPr>
        <w:t>1</w:t>
      </w:r>
      <w:r w:rsidRPr="00EC3DB5">
        <w:rPr>
          <w:rFonts w:hAnsi="宋体" w:hint="eastAsia"/>
          <w:sz w:val="21"/>
          <w:szCs w:val="21"/>
        </w:rPr>
        <w:t>）遵循</w:t>
      </w:r>
      <w:r w:rsidRPr="00EC3DB5">
        <w:rPr>
          <w:sz w:val="21"/>
          <w:szCs w:val="21"/>
        </w:rPr>
        <w:t>FD&amp;C</w:t>
      </w:r>
      <w:r w:rsidRPr="00EC3DB5">
        <w:rPr>
          <w:rFonts w:hAnsi="宋体" w:hint="eastAsia"/>
          <w:sz w:val="21"/>
          <w:szCs w:val="21"/>
        </w:rPr>
        <w:t>法案的一般控制，包括，</w:t>
      </w:r>
      <w:r w:rsidRPr="00EC3DB5">
        <w:rPr>
          <w:sz w:val="21"/>
          <w:szCs w:val="21"/>
        </w:rPr>
        <w:t>21 CFR 807</w:t>
      </w:r>
      <w:r w:rsidRPr="00EC3DB5">
        <w:rPr>
          <w:rFonts w:hAnsi="宋体" w:hint="eastAsia"/>
          <w:sz w:val="21"/>
          <w:szCs w:val="21"/>
        </w:rPr>
        <w:t>第</w:t>
      </w:r>
      <w:r w:rsidRPr="00EC3DB5">
        <w:rPr>
          <w:sz w:val="21"/>
          <w:szCs w:val="21"/>
        </w:rPr>
        <w:t>E</w:t>
      </w:r>
      <w:r w:rsidRPr="00EC3DB5">
        <w:rPr>
          <w:rFonts w:hAnsi="宋体" w:hint="eastAsia"/>
          <w:sz w:val="21"/>
          <w:szCs w:val="21"/>
        </w:rPr>
        <w:t>部分中规定的上市前通知的要求，（</w:t>
      </w:r>
      <w:r w:rsidRPr="00EC3DB5">
        <w:rPr>
          <w:sz w:val="21"/>
          <w:szCs w:val="21"/>
        </w:rPr>
        <w:t>2</w:t>
      </w:r>
      <w:r w:rsidRPr="00EC3DB5">
        <w:rPr>
          <w:rFonts w:hAnsi="宋体" w:hint="eastAsia"/>
          <w:sz w:val="21"/>
          <w:szCs w:val="21"/>
        </w:rPr>
        <w:t>）满足本指南中确定的安全性和有效性的具体问题，并（</w:t>
      </w:r>
      <w:r w:rsidRPr="00EC3DB5">
        <w:rPr>
          <w:sz w:val="21"/>
          <w:szCs w:val="21"/>
        </w:rPr>
        <w:t>3</w:t>
      </w:r>
      <w:r w:rsidRPr="00EC3DB5">
        <w:rPr>
          <w:rFonts w:hAnsi="宋体" w:hint="eastAsia"/>
          <w:sz w:val="21"/>
          <w:szCs w:val="21"/>
        </w:rPr>
        <w:t>）在销售该医疗器械之前自</w:t>
      </w:r>
      <w:r w:rsidRPr="00EC3DB5">
        <w:rPr>
          <w:sz w:val="21"/>
          <w:szCs w:val="21"/>
        </w:rPr>
        <w:t>FDA</w:t>
      </w:r>
      <w:r w:rsidRPr="00EC3DB5">
        <w:rPr>
          <w:rFonts w:hAnsi="宋体" w:hint="eastAsia"/>
          <w:sz w:val="21"/>
          <w:szCs w:val="21"/>
        </w:rPr>
        <w:t>取得实质性的等同性认定。</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本指南确定了</w:t>
      </w:r>
      <w:r w:rsidRPr="00EC3DB5">
        <w:rPr>
          <w:sz w:val="21"/>
          <w:szCs w:val="21"/>
        </w:rPr>
        <w:t>JCV</w:t>
      </w:r>
      <w:r w:rsidRPr="00EC3DB5">
        <w:rPr>
          <w:rFonts w:hAnsi="宋体" w:hint="eastAsia"/>
          <w:sz w:val="21"/>
          <w:szCs w:val="21"/>
        </w:rPr>
        <w:t>血清试剂的分类监管和相关产品代码。此外，本指南的其他章节还列明了健康风险并描述了风险</w:t>
      </w:r>
      <w:r w:rsidR="00216DA8">
        <w:rPr>
          <w:rFonts w:hAnsi="宋体" w:hint="eastAsia"/>
          <w:sz w:val="21"/>
          <w:szCs w:val="21"/>
        </w:rPr>
        <w:t>缓解</w:t>
      </w:r>
      <w:r w:rsidRPr="00EC3DB5">
        <w:rPr>
          <w:rFonts w:hAnsi="宋体" w:hint="eastAsia"/>
          <w:sz w:val="21"/>
          <w:szCs w:val="21"/>
        </w:rPr>
        <w:t>措施，制造商只需遵循这些措施并结合一般控制即可解决与这些医疗器械相关的风险，且通常能够及时地获得上市前通知【</w:t>
      </w:r>
      <w:r w:rsidRPr="00EC3DB5">
        <w:rPr>
          <w:sz w:val="21"/>
          <w:szCs w:val="21"/>
        </w:rPr>
        <w:t>510</w:t>
      </w:r>
      <w:r w:rsidRPr="00EC3DB5">
        <w:rPr>
          <w:rFonts w:hAnsi="宋体" w:hint="eastAsia"/>
          <w:sz w:val="21"/>
          <w:szCs w:val="21"/>
        </w:rPr>
        <w:t>（</w:t>
      </w:r>
      <w:r w:rsidRPr="00EC3DB5">
        <w:rPr>
          <w:sz w:val="21"/>
          <w:szCs w:val="21"/>
        </w:rPr>
        <w:t>k</w:t>
      </w:r>
      <w:r w:rsidRPr="00EC3DB5">
        <w:rPr>
          <w:rFonts w:hAnsi="宋体" w:hint="eastAsia"/>
          <w:sz w:val="21"/>
          <w:szCs w:val="21"/>
        </w:rPr>
        <w:t>）】的评审。本文将作为与</w:t>
      </w:r>
      <w:r w:rsidRPr="00EC3DB5">
        <w:rPr>
          <w:sz w:val="21"/>
          <w:szCs w:val="21"/>
        </w:rPr>
        <w:t>JCV</w:t>
      </w:r>
      <w:r w:rsidRPr="00EC3DB5">
        <w:rPr>
          <w:rFonts w:hAnsi="宋体" w:hint="eastAsia"/>
          <w:sz w:val="21"/>
          <w:szCs w:val="21"/>
        </w:rPr>
        <w:t>血清试剂上市前通知提交的具体内容要求相关的其他</w:t>
      </w:r>
      <w:r w:rsidRPr="00EC3DB5">
        <w:rPr>
          <w:sz w:val="21"/>
          <w:szCs w:val="21"/>
        </w:rPr>
        <w:t>FDA</w:t>
      </w:r>
      <w:r w:rsidRPr="00EC3DB5">
        <w:rPr>
          <w:rFonts w:hAnsi="宋体" w:hint="eastAsia"/>
          <w:sz w:val="21"/>
          <w:szCs w:val="21"/>
        </w:rPr>
        <w:t>文件的补充。关于与</w:t>
      </w:r>
      <w:r w:rsidRPr="00EC3DB5">
        <w:rPr>
          <w:sz w:val="21"/>
          <w:szCs w:val="21"/>
        </w:rPr>
        <w:t>510</w:t>
      </w:r>
      <w:r w:rsidRPr="00EC3DB5">
        <w:rPr>
          <w:rFonts w:hAnsi="宋体" w:hint="eastAsia"/>
          <w:sz w:val="21"/>
          <w:szCs w:val="21"/>
        </w:rPr>
        <w:t>（</w:t>
      </w:r>
      <w:r w:rsidRPr="00EC3DB5">
        <w:rPr>
          <w:sz w:val="21"/>
          <w:szCs w:val="21"/>
        </w:rPr>
        <w:t>k</w:t>
      </w:r>
      <w:r w:rsidRPr="00EC3DB5">
        <w:rPr>
          <w:rFonts w:hAnsi="宋体" w:hint="eastAsia"/>
          <w:sz w:val="21"/>
          <w:szCs w:val="21"/>
        </w:rPr>
        <w:t>）提交相关的更多信息，请参考</w:t>
      </w:r>
      <w:r w:rsidRPr="00EC3DB5">
        <w:rPr>
          <w:sz w:val="21"/>
          <w:szCs w:val="21"/>
        </w:rPr>
        <w:t>21 CFR 807.87</w:t>
      </w:r>
      <w:r w:rsidRPr="00EC3DB5">
        <w:rPr>
          <w:rFonts w:hAnsi="宋体" w:hint="eastAsia"/>
          <w:sz w:val="21"/>
          <w:szCs w:val="21"/>
        </w:rPr>
        <w:t>和器械与放射健康中心器械建议：全面监管协助。</w:t>
      </w:r>
      <w:r w:rsidRPr="00572134">
        <w:rPr>
          <w:sz w:val="21"/>
          <w:szCs w:val="21"/>
          <w:vertAlign w:val="superscript"/>
        </w:rPr>
        <w:t>1</w:t>
      </w:r>
    </w:p>
    <w:p w:rsidR="00FE0870" w:rsidRPr="00EC3DB5" w:rsidRDefault="00254EC3" w:rsidP="00D20CDC">
      <w:pPr>
        <w:pStyle w:val="2"/>
        <w:numPr>
          <w:ilvl w:val="0"/>
          <w:numId w:val="8"/>
        </w:numPr>
        <w:kinsoku w:val="0"/>
        <w:overflowPunct w:val="0"/>
        <w:snapToGrid w:val="0"/>
        <w:spacing w:beforeLines="50" w:line="360" w:lineRule="auto"/>
        <w:ind w:left="422" w:hangingChars="200" w:hanging="422"/>
        <w:jc w:val="both"/>
        <w:rPr>
          <w:b w:val="0"/>
          <w:bCs w:val="0"/>
          <w:sz w:val="21"/>
          <w:szCs w:val="21"/>
        </w:rPr>
      </w:pPr>
      <w:bookmarkStart w:id="16" w:name="4._Scope"/>
      <w:bookmarkStart w:id="17" w:name="bookmark3"/>
      <w:bookmarkStart w:id="18" w:name="_Toc496797909"/>
      <w:bookmarkEnd w:id="16"/>
      <w:bookmarkEnd w:id="17"/>
      <w:r>
        <w:rPr>
          <w:rFonts w:hAnsi="宋体" w:hint="eastAsia"/>
          <w:sz w:val="21"/>
          <w:szCs w:val="21"/>
        </w:rPr>
        <w:t>适用</w:t>
      </w:r>
      <w:r w:rsidRPr="00EC3DB5">
        <w:rPr>
          <w:rFonts w:hAnsi="宋体" w:hint="eastAsia"/>
          <w:sz w:val="21"/>
          <w:szCs w:val="21"/>
        </w:rPr>
        <w:t>范围</w:t>
      </w:r>
      <w:bookmarkEnd w:id="18"/>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本文的范围限于在</w:t>
      </w:r>
      <w:r w:rsidRPr="00EC3DB5">
        <w:rPr>
          <w:sz w:val="21"/>
          <w:szCs w:val="21"/>
        </w:rPr>
        <w:t>21 CFR 866.3336</w:t>
      </w:r>
      <w:r w:rsidRPr="00EC3DB5">
        <w:rPr>
          <w:rFonts w:hAnsi="宋体" w:hint="eastAsia"/>
          <w:sz w:val="21"/>
          <w:szCs w:val="21"/>
        </w:rPr>
        <w:t>（产品代码</w:t>
      </w:r>
      <w:r w:rsidRPr="00EC3DB5">
        <w:rPr>
          <w:sz w:val="21"/>
          <w:szCs w:val="21"/>
        </w:rPr>
        <w:t>OYP</w:t>
      </w:r>
      <w:r w:rsidRPr="00EC3DB5">
        <w:rPr>
          <w:rFonts w:hAnsi="宋体" w:hint="eastAsia"/>
          <w:sz w:val="21"/>
          <w:szCs w:val="21"/>
        </w:rPr>
        <w:t>（</w:t>
      </w:r>
      <w:r w:rsidR="00216DA8">
        <w:rPr>
          <w:rFonts w:hAnsi="宋体" w:hint="eastAsia"/>
          <w:sz w:val="21"/>
          <w:szCs w:val="21"/>
        </w:rPr>
        <w:t>抗</w:t>
      </w:r>
      <w:r w:rsidR="00216DA8">
        <w:rPr>
          <w:rFonts w:hAnsi="宋体" w:hint="eastAsia"/>
          <w:sz w:val="21"/>
          <w:szCs w:val="21"/>
        </w:rPr>
        <w:t>JCV</w:t>
      </w:r>
      <w:r w:rsidR="00216DA8">
        <w:rPr>
          <w:rFonts w:hAnsi="宋体" w:hint="eastAsia"/>
          <w:sz w:val="21"/>
          <w:szCs w:val="21"/>
        </w:rPr>
        <w:t>抗体检测试剂盒</w:t>
      </w:r>
      <w:r w:rsidRPr="00EC3DB5">
        <w:rPr>
          <w:rFonts w:hAnsi="宋体" w:hint="eastAsia"/>
          <w:sz w:val="21"/>
          <w:szCs w:val="21"/>
        </w:rPr>
        <w:t>））项下识别和分类的器械：</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sz w:val="21"/>
          <w:szCs w:val="21"/>
        </w:rPr>
        <w:t>21 CFR 866.3336 JCV</w:t>
      </w:r>
      <w:r w:rsidRPr="00EC3DB5">
        <w:rPr>
          <w:rFonts w:hAnsi="宋体" w:hint="eastAsia"/>
          <w:sz w:val="21"/>
          <w:szCs w:val="21"/>
        </w:rPr>
        <w:t>血清试剂</w:t>
      </w:r>
    </w:p>
    <w:p w:rsidR="00FE0870" w:rsidRPr="00EC3DB5" w:rsidRDefault="00FE0870" w:rsidP="00EC3DB5">
      <w:pPr>
        <w:kinsoku w:val="0"/>
        <w:overflowPunct w:val="0"/>
        <w:snapToGrid w:val="0"/>
        <w:spacing w:line="360" w:lineRule="auto"/>
        <w:jc w:val="both"/>
        <w:rPr>
          <w:sz w:val="21"/>
          <w:szCs w:val="21"/>
          <w:vertAlign w:val="superscript"/>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Pr="00EC3DB5" w:rsidRDefault="00FE0870" w:rsidP="00EC3DB5">
      <w:pPr>
        <w:kinsoku w:val="0"/>
        <w:overflowPunct w:val="0"/>
        <w:snapToGrid w:val="0"/>
        <w:spacing w:line="360" w:lineRule="auto"/>
        <w:jc w:val="both"/>
        <w:rPr>
          <w:sz w:val="21"/>
          <w:szCs w:val="21"/>
        </w:rPr>
      </w:pPr>
      <w:r w:rsidRPr="00EC3DB5">
        <w:rPr>
          <w:sz w:val="21"/>
          <w:szCs w:val="21"/>
        </w:rPr>
        <w:t>__________________________</w:t>
      </w:r>
    </w:p>
    <w:p w:rsidR="00FE0870" w:rsidRPr="00533E3F" w:rsidRDefault="00FE0870" w:rsidP="00EC3DB5">
      <w:pPr>
        <w:kinsoku w:val="0"/>
        <w:overflowPunct w:val="0"/>
        <w:snapToGrid w:val="0"/>
        <w:spacing w:line="360" w:lineRule="auto"/>
        <w:jc w:val="both"/>
        <w:rPr>
          <w:sz w:val="18"/>
          <w:szCs w:val="18"/>
        </w:rPr>
      </w:pPr>
      <w:bookmarkStart w:id="19" w:name="bookmark4"/>
      <w:bookmarkEnd w:id="19"/>
      <w:r w:rsidRPr="00533E3F">
        <w:rPr>
          <w:sz w:val="18"/>
          <w:szCs w:val="18"/>
          <w:vertAlign w:val="superscript"/>
        </w:rPr>
        <w:t xml:space="preserve">1 </w:t>
      </w:r>
      <w:r w:rsidRPr="00533E3F">
        <w:rPr>
          <w:sz w:val="18"/>
          <w:szCs w:val="18"/>
          <w:u w:val="single"/>
        </w:rPr>
        <w:t>http://www.fda.gov/MedicalDevices/DeviceRegulationandGuidance/default.htm.</w:t>
      </w:r>
    </w:p>
    <w:p w:rsidR="00FE0870" w:rsidRPr="00EC3DB5" w:rsidRDefault="00FE0870" w:rsidP="00EC3DB5">
      <w:pPr>
        <w:pStyle w:val="a3"/>
        <w:numPr>
          <w:ilvl w:val="0"/>
          <w:numId w:val="2"/>
        </w:numPr>
        <w:kinsoku w:val="0"/>
        <w:overflowPunct w:val="0"/>
        <w:snapToGrid w:val="0"/>
        <w:spacing w:line="360" w:lineRule="auto"/>
        <w:ind w:left="0" w:firstLine="0"/>
        <w:jc w:val="both"/>
        <w:rPr>
          <w:sz w:val="21"/>
          <w:szCs w:val="21"/>
        </w:rPr>
      </w:pPr>
      <w:r w:rsidRPr="00EC3DB5">
        <w:rPr>
          <w:i/>
          <w:iCs/>
          <w:sz w:val="21"/>
          <w:szCs w:val="21"/>
        </w:rPr>
        <w:br w:type="page"/>
      </w:r>
      <w:r w:rsidRPr="00EC3DB5">
        <w:rPr>
          <w:rFonts w:hAnsi="宋体" w:hint="eastAsia"/>
          <w:i/>
          <w:iCs/>
          <w:sz w:val="21"/>
          <w:szCs w:val="21"/>
        </w:rPr>
        <w:lastRenderedPageBreak/>
        <w:t>标识</w:t>
      </w:r>
      <w:r w:rsidRPr="00EC3DB5">
        <w:rPr>
          <w:rFonts w:hAnsi="宋体" w:hint="eastAsia"/>
          <w:sz w:val="21"/>
          <w:szCs w:val="21"/>
        </w:rPr>
        <w:t>。</w:t>
      </w:r>
      <w:r w:rsidRPr="00EC3DB5">
        <w:rPr>
          <w:sz w:val="21"/>
          <w:szCs w:val="21"/>
        </w:rPr>
        <w:t>JCV</w:t>
      </w:r>
      <w:r w:rsidRPr="00EC3DB5">
        <w:rPr>
          <w:rFonts w:hAnsi="宋体" w:hint="eastAsia"/>
          <w:sz w:val="21"/>
          <w:szCs w:val="21"/>
        </w:rPr>
        <w:t>血清试剂包含用于血清学试验以识别血清和血浆中的</w:t>
      </w:r>
      <w:r w:rsidRPr="00EC3DB5">
        <w:rPr>
          <w:sz w:val="21"/>
          <w:szCs w:val="21"/>
        </w:rPr>
        <w:t>JCV</w:t>
      </w:r>
      <w:r w:rsidRPr="00EC3DB5">
        <w:rPr>
          <w:rFonts w:hAnsi="宋体" w:hint="eastAsia"/>
          <w:sz w:val="21"/>
          <w:szCs w:val="21"/>
        </w:rPr>
        <w:t>抗体的抗原和抗血清。该标识有助于对接受了那他珠单抗治疗的多发性硬化症和克隆氏病患者中的</w:t>
      </w:r>
      <w:r w:rsidRPr="00EC3DB5">
        <w:rPr>
          <w:sz w:val="21"/>
          <w:szCs w:val="21"/>
        </w:rPr>
        <w:t>PML</w:t>
      </w:r>
      <w:r w:rsidRPr="00EC3DB5">
        <w:rPr>
          <w:rFonts w:hAnsi="宋体" w:hint="eastAsia"/>
          <w:sz w:val="21"/>
          <w:szCs w:val="21"/>
        </w:rPr>
        <w:t>发病进行</w:t>
      </w:r>
      <w:r w:rsidR="00216DA8">
        <w:rPr>
          <w:rFonts w:hAnsi="宋体" w:hint="eastAsia"/>
          <w:sz w:val="21"/>
          <w:szCs w:val="21"/>
        </w:rPr>
        <w:t>风险分层</w:t>
      </w:r>
      <w:r w:rsidRPr="00EC3DB5">
        <w:rPr>
          <w:rFonts w:hAnsi="宋体" w:hint="eastAsia"/>
          <w:sz w:val="21"/>
          <w:szCs w:val="21"/>
        </w:rPr>
        <w:t>。此类医疗器械在进行性多灶性脑白质病发展的其他临床因素的背景下仅作为辅助使用。</w:t>
      </w:r>
    </w:p>
    <w:p w:rsidR="00FE0870" w:rsidRPr="00EC3DB5" w:rsidRDefault="00FE0870" w:rsidP="00D20CDC">
      <w:pPr>
        <w:pStyle w:val="a3"/>
        <w:numPr>
          <w:ilvl w:val="0"/>
          <w:numId w:val="2"/>
        </w:numPr>
        <w:kinsoku w:val="0"/>
        <w:overflowPunct w:val="0"/>
        <w:snapToGrid w:val="0"/>
        <w:spacing w:beforeLines="50" w:line="360" w:lineRule="auto"/>
        <w:ind w:left="0" w:firstLine="0"/>
        <w:jc w:val="both"/>
        <w:rPr>
          <w:sz w:val="21"/>
          <w:szCs w:val="21"/>
        </w:rPr>
      </w:pPr>
      <w:r w:rsidRPr="00EC3DB5">
        <w:rPr>
          <w:rFonts w:hAnsi="宋体" w:hint="eastAsia"/>
          <w:i/>
          <w:iCs/>
          <w:sz w:val="21"/>
          <w:szCs w:val="21"/>
        </w:rPr>
        <w:t>分类。</w:t>
      </w:r>
      <w:r w:rsidRPr="00EC3DB5">
        <w:rPr>
          <w:sz w:val="21"/>
          <w:szCs w:val="21"/>
        </w:rPr>
        <w:t>II</w:t>
      </w:r>
      <w:r w:rsidRPr="00EC3DB5">
        <w:rPr>
          <w:rFonts w:hAnsi="宋体" w:hint="eastAsia"/>
          <w:sz w:val="21"/>
          <w:szCs w:val="21"/>
        </w:rPr>
        <w:t>类（特殊控制）。本器械的特殊控制为</w:t>
      </w:r>
      <w:r w:rsidRPr="00EC3DB5">
        <w:rPr>
          <w:sz w:val="21"/>
          <w:szCs w:val="21"/>
        </w:rPr>
        <w:t>FDA</w:t>
      </w:r>
      <w:r w:rsidRPr="00EC3DB5">
        <w:rPr>
          <w:rFonts w:hAnsi="宋体" w:hint="eastAsia"/>
          <w:sz w:val="21"/>
          <w:szCs w:val="21"/>
        </w:rPr>
        <w:t>标题为</w:t>
      </w:r>
      <w:r w:rsidRPr="00EC3DB5">
        <w:rPr>
          <w:sz w:val="21"/>
          <w:szCs w:val="21"/>
        </w:rPr>
        <w:t>“II</w:t>
      </w:r>
      <w:r w:rsidRPr="00EC3DB5">
        <w:rPr>
          <w:rFonts w:hAnsi="宋体" w:hint="eastAsia"/>
          <w:sz w:val="21"/>
          <w:szCs w:val="21"/>
        </w:rPr>
        <w:t>类医疗器械特殊控制指南：</w:t>
      </w:r>
      <w:r w:rsidRPr="00EC3DB5">
        <w:rPr>
          <w:sz w:val="21"/>
          <w:szCs w:val="21"/>
        </w:rPr>
        <w:t>JCV</w:t>
      </w:r>
      <w:r w:rsidRPr="00EC3DB5">
        <w:rPr>
          <w:rFonts w:hAnsi="宋体" w:hint="eastAsia"/>
          <w:sz w:val="21"/>
          <w:szCs w:val="21"/>
        </w:rPr>
        <w:t>血清试剂</w:t>
      </w:r>
      <w:r w:rsidRPr="00EC3DB5">
        <w:rPr>
          <w:sz w:val="21"/>
          <w:szCs w:val="21"/>
        </w:rPr>
        <w:t>”</w:t>
      </w:r>
      <w:r w:rsidRPr="00EC3DB5">
        <w:rPr>
          <w:rFonts w:hAnsi="宋体" w:hint="eastAsia"/>
          <w:sz w:val="21"/>
          <w:szCs w:val="21"/>
        </w:rPr>
        <w:t>的指南文件。关于该指南文件的获取，请参考</w:t>
      </w:r>
      <w:r w:rsidRPr="00EC3DB5">
        <w:rPr>
          <w:sz w:val="21"/>
          <w:szCs w:val="21"/>
        </w:rPr>
        <w:t>§866.1</w:t>
      </w:r>
      <w:r w:rsidRPr="00EC3DB5">
        <w:rPr>
          <w:rFonts w:hAnsi="宋体" w:hint="eastAsia"/>
          <w:sz w:val="21"/>
          <w:szCs w:val="21"/>
        </w:rPr>
        <w:t>（</w:t>
      </w:r>
      <w:r w:rsidRPr="00EC3DB5">
        <w:rPr>
          <w:sz w:val="21"/>
          <w:szCs w:val="21"/>
        </w:rPr>
        <w:t>e</w:t>
      </w:r>
      <w:r w:rsidRPr="00EC3DB5">
        <w:rPr>
          <w:rFonts w:hAnsi="宋体" w:hint="eastAsia"/>
          <w:sz w:val="21"/>
          <w:szCs w:val="21"/>
        </w:rPr>
        <w:t>）。</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本文不适用于</w:t>
      </w:r>
      <w:r w:rsidRPr="00EC3DB5">
        <w:rPr>
          <w:sz w:val="21"/>
          <w:szCs w:val="21"/>
        </w:rPr>
        <w:t>JC</w:t>
      </w:r>
      <w:r w:rsidRPr="00EC3DB5">
        <w:rPr>
          <w:rFonts w:hAnsi="宋体" w:hint="eastAsia"/>
          <w:sz w:val="21"/>
          <w:szCs w:val="21"/>
        </w:rPr>
        <w:t>病毒核酸扩增试剂或</w:t>
      </w:r>
      <w:r w:rsidRPr="00EC3DB5">
        <w:rPr>
          <w:sz w:val="21"/>
          <w:szCs w:val="21"/>
        </w:rPr>
        <w:t>JC</w:t>
      </w:r>
      <w:r w:rsidRPr="00EC3DB5">
        <w:rPr>
          <w:rFonts w:hAnsi="宋体" w:hint="eastAsia"/>
          <w:sz w:val="21"/>
          <w:szCs w:val="21"/>
        </w:rPr>
        <w:t>病毒血清试剂除</w:t>
      </w:r>
      <w:r w:rsidRPr="00EC3DB5">
        <w:rPr>
          <w:sz w:val="21"/>
          <w:szCs w:val="21"/>
        </w:rPr>
        <w:t>PML</w:t>
      </w:r>
      <w:r w:rsidRPr="00EC3DB5">
        <w:rPr>
          <w:rFonts w:hAnsi="宋体" w:hint="eastAsia"/>
          <w:sz w:val="21"/>
          <w:szCs w:val="21"/>
        </w:rPr>
        <w:t>发病</w:t>
      </w:r>
      <w:r w:rsidR="00216DA8">
        <w:rPr>
          <w:rFonts w:hAnsi="宋体" w:hint="eastAsia"/>
          <w:sz w:val="21"/>
          <w:szCs w:val="21"/>
        </w:rPr>
        <w:t>风险分层</w:t>
      </w:r>
      <w:r w:rsidRPr="00EC3DB5">
        <w:rPr>
          <w:rFonts w:hAnsi="宋体" w:hint="eastAsia"/>
          <w:sz w:val="21"/>
          <w:szCs w:val="21"/>
        </w:rPr>
        <w:t>之外的任何其他适用症。关于核酸扩增器械的更多信息，请联系体外诊断和放射健康办公室的微生物学器械部。</w:t>
      </w:r>
    </w:p>
    <w:p w:rsidR="00FE0870" w:rsidRPr="00EC3DB5" w:rsidRDefault="00FE0870" w:rsidP="00D20CDC">
      <w:pPr>
        <w:pStyle w:val="2"/>
        <w:numPr>
          <w:ilvl w:val="0"/>
          <w:numId w:val="8"/>
        </w:numPr>
        <w:kinsoku w:val="0"/>
        <w:overflowPunct w:val="0"/>
        <w:snapToGrid w:val="0"/>
        <w:spacing w:beforeLines="50" w:line="360" w:lineRule="auto"/>
        <w:ind w:left="422" w:hangingChars="200" w:hanging="422"/>
        <w:jc w:val="both"/>
        <w:rPr>
          <w:b w:val="0"/>
          <w:bCs w:val="0"/>
          <w:sz w:val="21"/>
          <w:szCs w:val="21"/>
        </w:rPr>
      </w:pPr>
      <w:bookmarkStart w:id="20" w:name="5._Risks_to_Health"/>
      <w:bookmarkStart w:id="21" w:name="bookmark5"/>
      <w:bookmarkStart w:id="22" w:name="_Toc496797910"/>
      <w:bookmarkEnd w:id="20"/>
      <w:bookmarkEnd w:id="21"/>
      <w:r w:rsidRPr="00EC3DB5">
        <w:rPr>
          <w:rFonts w:hAnsi="宋体" w:hint="eastAsia"/>
          <w:sz w:val="21"/>
          <w:szCs w:val="21"/>
        </w:rPr>
        <w:t>健康风险</w:t>
      </w:r>
      <w:bookmarkEnd w:id="22"/>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sz w:val="21"/>
          <w:szCs w:val="21"/>
        </w:rPr>
        <w:t>FDA</w:t>
      </w:r>
      <w:r w:rsidRPr="00EC3DB5">
        <w:rPr>
          <w:rFonts w:hAnsi="宋体" w:hint="eastAsia"/>
          <w:sz w:val="21"/>
          <w:szCs w:val="21"/>
        </w:rPr>
        <w:t>识别了与</w:t>
      </w:r>
      <w:r w:rsidRPr="00EC3DB5">
        <w:rPr>
          <w:sz w:val="21"/>
          <w:szCs w:val="21"/>
        </w:rPr>
        <w:t>JCV</w:t>
      </w:r>
      <w:r w:rsidRPr="00EC3DB5">
        <w:rPr>
          <w:rFonts w:hAnsi="宋体" w:hint="eastAsia"/>
          <w:sz w:val="21"/>
          <w:szCs w:val="21"/>
        </w:rPr>
        <w:t>血清试剂使用相关的以下健康风险。不按照指示使用</w:t>
      </w:r>
      <w:r w:rsidRPr="00EC3DB5">
        <w:rPr>
          <w:sz w:val="21"/>
          <w:szCs w:val="21"/>
        </w:rPr>
        <w:t>JCV</w:t>
      </w:r>
      <w:r w:rsidRPr="00EC3DB5">
        <w:rPr>
          <w:rFonts w:hAnsi="宋体" w:hint="eastAsia"/>
          <w:sz w:val="21"/>
          <w:szCs w:val="21"/>
        </w:rPr>
        <w:t>血清试剂或对其结果的错误解读均可能会导致</w:t>
      </w:r>
      <w:r w:rsidR="00216DA8">
        <w:rPr>
          <w:rFonts w:hAnsi="宋体" w:hint="eastAsia"/>
          <w:sz w:val="21"/>
          <w:szCs w:val="21"/>
        </w:rPr>
        <w:t>患者</w:t>
      </w:r>
      <w:r w:rsidRPr="00EC3DB5">
        <w:rPr>
          <w:rFonts w:hAnsi="宋体" w:hint="eastAsia"/>
          <w:sz w:val="21"/>
          <w:szCs w:val="21"/>
        </w:rPr>
        <w:t>管理不当。</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假阳性结果可能会因感知的</w:t>
      </w:r>
      <w:r w:rsidRPr="00EC3DB5">
        <w:rPr>
          <w:sz w:val="21"/>
          <w:szCs w:val="21"/>
        </w:rPr>
        <w:t>PML</w:t>
      </w:r>
      <w:r w:rsidRPr="00EC3DB5">
        <w:rPr>
          <w:rFonts w:hAnsi="宋体" w:hint="eastAsia"/>
          <w:sz w:val="21"/>
          <w:szCs w:val="21"/>
        </w:rPr>
        <w:t>发病风险增加而导致医师和患者选择不使用那他珠单抗疗法。继而，</w:t>
      </w:r>
      <w:r w:rsidR="00216DA8">
        <w:rPr>
          <w:rFonts w:hAnsi="宋体" w:hint="eastAsia"/>
          <w:sz w:val="21"/>
          <w:szCs w:val="21"/>
        </w:rPr>
        <w:t>患者</w:t>
      </w:r>
      <w:r w:rsidRPr="00EC3DB5">
        <w:rPr>
          <w:rFonts w:hAnsi="宋体" w:hint="eastAsia"/>
          <w:sz w:val="21"/>
          <w:szCs w:val="21"/>
        </w:rPr>
        <w:t>的生存质量可能会因持续的多发性硬化症或克隆氏病的临床表现而下降。</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假阴性结果可能会导致患者的</w:t>
      </w:r>
      <w:r w:rsidRPr="00EC3DB5">
        <w:rPr>
          <w:sz w:val="21"/>
          <w:szCs w:val="21"/>
        </w:rPr>
        <w:t>PML</w:t>
      </w:r>
      <w:r w:rsidRPr="00EC3DB5">
        <w:rPr>
          <w:rFonts w:hAnsi="宋体" w:hint="eastAsia"/>
          <w:sz w:val="21"/>
          <w:szCs w:val="21"/>
        </w:rPr>
        <w:t>发病风险被低估。这是因为事先感染</w:t>
      </w:r>
      <w:r w:rsidRPr="00EC3DB5">
        <w:rPr>
          <w:sz w:val="21"/>
          <w:szCs w:val="21"/>
        </w:rPr>
        <w:t>JCV</w:t>
      </w:r>
      <w:r w:rsidRPr="00EC3DB5">
        <w:rPr>
          <w:rFonts w:hAnsi="宋体" w:hint="eastAsia"/>
          <w:sz w:val="21"/>
          <w:szCs w:val="21"/>
        </w:rPr>
        <w:t>是</w:t>
      </w:r>
      <w:r w:rsidRPr="00EC3DB5">
        <w:rPr>
          <w:sz w:val="21"/>
          <w:szCs w:val="21"/>
        </w:rPr>
        <w:t>PML</w:t>
      </w:r>
      <w:r w:rsidRPr="00EC3DB5">
        <w:rPr>
          <w:rFonts w:hAnsi="宋体" w:hint="eastAsia"/>
          <w:sz w:val="21"/>
          <w:szCs w:val="21"/>
        </w:rPr>
        <w:t>发病一项已知的先兆。若患者得到的是假阴性结果，他们的</w:t>
      </w:r>
      <w:r w:rsidRPr="00EC3DB5">
        <w:rPr>
          <w:sz w:val="21"/>
          <w:szCs w:val="21"/>
        </w:rPr>
        <w:t>PML</w:t>
      </w:r>
      <w:r w:rsidRPr="00EC3DB5">
        <w:rPr>
          <w:rFonts w:hAnsi="宋体" w:hint="eastAsia"/>
          <w:sz w:val="21"/>
          <w:szCs w:val="21"/>
        </w:rPr>
        <w:t>发病风险将远高于预期风险。使用那他珠单抗疗法进行治疗可能会使患者罹患</w:t>
      </w:r>
      <w:r w:rsidRPr="00EC3DB5">
        <w:rPr>
          <w:sz w:val="21"/>
          <w:szCs w:val="21"/>
        </w:rPr>
        <w:t>PML</w:t>
      </w:r>
      <w:r w:rsidRPr="00EC3DB5">
        <w:rPr>
          <w:rFonts w:hAnsi="宋体" w:hint="eastAsia"/>
          <w:sz w:val="21"/>
          <w:szCs w:val="21"/>
        </w:rPr>
        <w:t>的风险增加。</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对结果的错误解读可能会导致医师和患者因错估的</w:t>
      </w:r>
      <w:r w:rsidRPr="00EC3DB5">
        <w:rPr>
          <w:sz w:val="21"/>
          <w:szCs w:val="21"/>
        </w:rPr>
        <w:t>PML</w:t>
      </w:r>
      <w:r w:rsidRPr="00EC3DB5">
        <w:rPr>
          <w:rFonts w:hAnsi="宋体" w:hint="eastAsia"/>
          <w:sz w:val="21"/>
          <w:szCs w:val="21"/>
        </w:rPr>
        <w:t>发病风险而错误地选择使用或不使用那他珠单抗治疗。</w:t>
      </w:r>
    </w:p>
    <w:p w:rsidR="00FE0870" w:rsidRDefault="00FE0870" w:rsidP="00D20CDC">
      <w:pPr>
        <w:pStyle w:val="3"/>
        <w:kinsoku w:val="0"/>
        <w:overflowPunct w:val="0"/>
        <w:snapToGrid w:val="0"/>
        <w:spacing w:beforeLines="50" w:line="360" w:lineRule="auto"/>
        <w:ind w:left="0" w:firstLine="0"/>
        <w:jc w:val="both"/>
        <w:rPr>
          <w:rFonts w:hAnsi="宋体"/>
          <w:b w:val="0"/>
          <w:sz w:val="21"/>
          <w:szCs w:val="21"/>
        </w:rPr>
      </w:pPr>
      <w:bookmarkStart w:id="23" w:name="_Hlk495491062"/>
      <w:bookmarkStart w:id="24" w:name="_Toc496797911"/>
      <w:r w:rsidRPr="00EC3DB5">
        <w:rPr>
          <w:rFonts w:hAnsi="宋体" w:hint="eastAsia"/>
          <w:b w:val="0"/>
          <w:sz w:val="21"/>
          <w:szCs w:val="21"/>
        </w:rPr>
        <w:t>根据本指南，拟销售这种器械的生产商必须在提交上市前通知前进行风险分析，以识别其器械所特有的任何其它风险。上市前通知必须描述所使用的风险分析方法。如果您选择使用替代方法来降低本指南中确定的特定风险，或者您或他人识别到使用此类器械的其它潜在风险，则您必须提供详细信息，说明用于减缓这些风险的方法以及您所选择方法的依据。</w:t>
      </w:r>
      <w:bookmarkEnd w:id="23"/>
      <w:bookmarkEnd w:id="24"/>
    </w:p>
    <w:p w:rsidR="00FE0870" w:rsidRPr="00EC3DB5" w:rsidRDefault="00FE0870" w:rsidP="00D20CDC">
      <w:pPr>
        <w:pStyle w:val="3"/>
        <w:kinsoku w:val="0"/>
        <w:overflowPunct w:val="0"/>
        <w:snapToGrid w:val="0"/>
        <w:spacing w:beforeLines="50" w:line="360" w:lineRule="auto"/>
        <w:ind w:left="0" w:firstLine="0"/>
        <w:jc w:val="both"/>
        <w:rPr>
          <w:b w:val="0"/>
          <w:bCs w:val="0"/>
          <w:sz w:val="21"/>
          <w:szCs w:val="21"/>
        </w:rPr>
      </w:pPr>
      <w:r w:rsidRPr="00EC3DB5">
        <w:rPr>
          <w:b w:val="0"/>
          <w:sz w:val="21"/>
          <w:szCs w:val="21"/>
        </w:rPr>
        <w:br w:type="page"/>
      </w:r>
      <w:bookmarkStart w:id="25" w:name="_Toc496797912"/>
      <w:r w:rsidRPr="00EC3DB5">
        <w:rPr>
          <w:rFonts w:hAnsi="宋体" w:hint="eastAsia"/>
          <w:sz w:val="21"/>
          <w:szCs w:val="21"/>
        </w:rPr>
        <w:lastRenderedPageBreak/>
        <w:t>表</w:t>
      </w:r>
      <w:r w:rsidRPr="00EC3DB5">
        <w:rPr>
          <w:sz w:val="21"/>
          <w:szCs w:val="21"/>
        </w:rPr>
        <w:t>1——</w:t>
      </w:r>
      <w:r w:rsidRPr="00EC3DB5">
        <w:rPr>
          <w:rFonts w:hAnsi="宋体" w:hint="eastAsia"/>
          <w:sz w:val="21"/>
          <w:szCs w:val="21"/>
        </w:rPr>
        <w:t>已识别的风险和</w:t>
      </w:r>
      <w:r w:rsidR="00216DA8">
        <w:rPr>
          <w:rFonts w:hAnsi="宋体" w:hint="eastAsia"/>
          <w:sz w:val="21"/>
          <w:szCs w:val="21"/>
        </w:rPr>
        <w:t>缓解</w:t>
      </w:r>
      <w:r w:rsidRPr="00EC3DB5">
        <w:rPr>
          <w:rFonts w:hAnsi="宋体" w:hint="eastAsia"/>
          <w:sz w:val="21"/>
          <w:szCs w:val="21"/>
        </w:rPr>
        <w:t>措施</w:t>
      </w:r>
      <w:bookmarkEnd w:id="25"/>
    </w:p>
    <w:tbl>
      <w:tblPr>
        <w:tblW w:w="5000" w:type="pct"/>
        <w:tblCellMar>
          <w:left w:w="0" w:type="dxa"/>
          <w:right w:w="0" w:type="dxa"/>
        </w:tblCellMar>
        <w:tblLook w:val="0000"/>
      </w:tblPr>
      <w:tblGrid>
        <w:gridCol w:w="4235"/>
        <w:gridCol w:w="4248"/>
      </w:tblGrid>
      <w:tr w:rsidR="00FE0870" w:rsidRPr="00533E3F" w:rsidTr="009902FD">
        <w:tc>
          <w:tcPr>
            <w:tcW w:w="2496"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533E3F" w:rsidRDefault="00FE0870" w:rsidP="00EC3DB5">
            <w:pPr>
              <w:pStyle w:val="TableParagraph"/>
              <w:kinsoku w:val="0"/>
              <w:overflowPunct w:val="0"/>
              <w:snapToGrid w:val="0"/>
              <w:spacing w:line="360" w:lineRule="auto"/>
              <w:rPr>
                <w:b/>
                <w:sz w:val="18"/>
                <w:szCs w:val="18"/>
              </w:rPr>
            </w:pPr>
            <w:r w:rsidRPr="00533E3F">
              <w:rPr>
                <w:rFonts w:hAnsi="宋体" w:hint="eastAsia"/>
                <w:b/>
                <w:bCs/>
                <w:sz w:val="18"/>
                <w:szCs w:val="18"/>
              </w:rPr>
              <w:t>已识别的风险</w:t>
            </w:r>
          </w:p>
        </w:tc>
        <w:tc>
          <w:tcPr>
            <w:tcW w:w="2504"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533E3F" w:rsidRDefault="00FE0870" w:rsidP="00EC3DB5">
            <w:pPr>
              <w:pStyle w:val="TableParagraph"/>
              <w:kinsoku w:val="0"/>
              <w:overflowPunct w:val="0"/>
              <w:snapToGrid w:val="0"/>
              <w:spacing w:line="360" w:lineRule="auto"/>
              <w:rPr>
                <w:b/>
                <w:sz w:val="18"/>
                <w:szCs w:val="18"/>
              </w:rPr>
            </w:pPr>
            <w:r w:rsidRPr="00533E3F">
              <w:rPr>
                <w:rFonts w:hAnsi="宋体" w:hint="eastAsia"/>
                <w:b/>
                <w:bCs/>
                <w:sz w:val="18"/>
                <w:szCs w:val="18"/>
              </w:rPr>
              <w:t>缓解措施</w:t>
            </w:r>
          </w:p>
        </w:tc>
      </w:tr>
      <w:tr w:rsidR="00FE0870" w:rsidRPr="00533E3F" w:rsidTr="009902FD">
        <w:tc>
          <w:tcPr>
            <w:tcW w:w="2496"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533E3F" w:rsidRDefault="00FE0870" w:rsidP="00EC3DB5">
            <w:pPr>
              <w:pStyle w:val="TableParagraph"/>
              <w:kinsoku w:val="0"/>
              <w:overflowPunct w:val="0"/>
              <w:snapToGrid w:val="0"/>
              <w:spacing w:line="360" w:lineRule="auto"/>
              <w:jc w:val="both"/>
              <w:rPr>
                <w:sz w:val="18"/>
                <w:szCs w:val="18"/>
              </w:rPr>
            </w:pPr>
            <w:r w:rsidRPr="00533E3F">
              <w:rPr>
                <w:rFonts w:hAnsi="宋体" w:hint="eastAsia"/>
                <w:sz w:val="18"/>
                <w:szCs w:val="18"/>
              </w:rPr>
              <w:t>假阳性结果</w:t>
            </w:r>
          </w:p>
        </w:tc>
        <w:tc>
          <w:tcPr>
            <w:tcW w:w="2504"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533E3F" w:rsidRDefault="00FE0870" w:rsidP="00EC3DB5">
            <w:pPr>
              <w:pStyle w:val="TableParagraph"/>
              <w:kinsoku w:val="0"/>
              <w:overflowPunct w:val="0"/>
              <w:snapToGrid w:val="0"/>
              <w:spacing w:line="360" w:lineRule="auto"/>
              <w:jc w:val="both"/>
              <w:rPr>
                <w:sz w:val="18"/>
                <w:szCs w:val="18"/>
              </w:rPr>
            </w:pPr>
            <w:r w:rsidRPr="00533E3F">
              <w:rPr>
                <w:rFonts w:hAnsi="宋体" w:hint="eastAsia"/>
                <w:sz w:val="18"/>
                <w:szCs w:val="18"/>
              </w:rPr>
              <w:t>器械说明（第</w:t>
            </w:r>
            <w:r w:rsidRPr="00533E3F">
              <w:rPr>
                <w:sz w:val="18"/>
                <w:szCs w:val="18"/>
              </w:rPr>
              <w:t>6</w:t>
            </w:r>
            <w:r w:rsidRPr="00533E3F">
              <w:rPr>
                <w:rFonts w:hAnsi="宋体" w:hint="eastAsia"/>
                <w:sz w:val="18"/>
                <w:szCs w:val="18"/>
              </w:rPr>
              <w:t>节）与性能（第</w:t>
            </w:r>
            <w:r w:rsidRPr="00533E3F">
              <w:rPr>
                <w:sz w:val="18"/>
                <w:szCs w:val="18"/>
              </w:rPr>
              <w:t>7</w:t>
            </w:r>
            <w:r w:rsidRPr="00533E3F">
              <w:rPr>
                <w:rFonts w:hAnsi="宋体" w:hint="eastAsia"/>
                <w:sz w:val="18"/>
                <w:szCs w:val="18"/>
              </w:rPr>
              <w:t>节）</w:t>
            </w:r>
          </w:p>
        </w:tc>
      </w:tr>
      <w:tr w:rsidR="00FE0870" w:rsidRPr="00533E3F" w:rsidTr="009902FD">
        <w:tc>
          <w:tcPr>
            <w:tcW w:w="2496"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533E3F" w:rsidRDefault="00FE0870" w:rsidP="00EC3DB5">
            <w:pPr>
              <w:pStyle w:val="TableParagraph"/>
              <w:kinsoku w:val="0"/>
              <w:overflowPunct w:val="0"/>
              <w:snapToGrid w:val="0"/>
              <w:spacing w:line="360" w:lineRule="auto"/>
              <w:jc w:val="both"/>
              <w:rPr>
                <w:sz w:val="18"/>
                <w:szCs w:val="18"/>
              </w:rPr>
            </w:pPr>
            <w:r w:rsidRPr="00533E3F">
              <w:rPr>
                <w:rFonts w:hAnsi="宋体" w:hint="eastAsia"/>
                <w:sz w:val="18"/>
                <w:szCs w:val="18"/>
              </w:rPr>
              <w:t>假阴性结果</w:t>
            </w:r>
          </w:p>
        </w:tc>
        <w:tc>
          <w:tcPr>
            <w:tcW w:w="2504"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533E3F" w:rsidRDefault="00FE0870" w:rsidP="00EC3DB5">
            <w:pPr>
              <w:pStyle w:val="TableParagraph"/>
              <w:kinsoku w:val="0"/>
              <w:overflowPunct w:val="0"/>
              <w:snapToGrid w:val="0"/>
              <w:spacing w:line="360" w:lineRule="auto"/>
              <w:jc w:val="both"/>
              <w:rPr>
                <w:sz w:val="18"/>
                <w:szCs w:val="18"/>
              </w:rPr>
            </w:pPr>
            <w:r w:rsidRPr="00533E3F">
              <w:rPr>
                <w:rFonts w:hAnsi="宋体" w:hint="eastAsia"/>
                <w:sz w:val="18"/>
                <w:szCs w:val="18"/>
              </w:rPr>
              <w:t>器械说明（第</w:t>
            </w:r>
            <w:r w:rsidRPr="00533E3F">
              <w:rPr>
                <w:sz w:val="18"/>
                <w:szCs w:val="18"/>
              </w:rPr>
              <w:t>6</w:t>
            </w:r>
            <w:r w:rsidRPr="00533E3F">
              <w:rPr>
                <w:rFonts w:hAnsi="宋体" w:hint="eastAsia"/>
                <w:sz w:val="18"/>
                <w:szCs w:val="18"/>
              </w:rPr>
              <w:t>节）与性能（第</w:t>
            </w:r>
            <w:r w:rsidRPr="00533E3F">
              <w:rPr>
                <w:sz w:val="18"/>
                <w:szCs w:val="18"/>
              </w:rPr>
              <w:t>7</w:t>
            </w:r>
            <w:r w:rsidRPr="00533E3F">
              <w:rPr>
                <w:rFonts w:hAnsi="宋体" w:hint="eastAsia"/>
                <w:sz w:val="18"/>
                <w:szCs w:val="18"/>
              </w:rPr>
              <w:t>节）</w:t>
            </w:r>
          </w:p>
        </w:tc>
      </w:tr>
      <w:tr w:rsidR="00FE0870" w:rsidRPr="00533E3F" w:rsidTr="009902FD">
        <w:tc>
          <w:tcPr>
            <w:tcW w:w="2496"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533E3F" w:rsidRDefault="00FE0870" w:rsidP="00EC3DB5">
            <w:pPr>
              <w:pStyle w:val="TableParagraph"/>
              <w:kinsoku w:val="0"/>
              <w:overflowPunct w:val="0"/>
              <w:snapToGrid w:val="0"/>
              <w:spacing w:line="360" w:lineRule="auto"/>
              <w:jc w:val="both"/>
              <w:rPr>
                <w:sz w:val="18"/>
                <w:szCs w:val="18"/>
              </w:rPr>
            </w:pPr>
            <w:r w:rsidRPr="00533E3F">
              <w:rPr>
                <w:rFonts w:hAnsi="宋体" w:hint="eastAsia"/>
                <w:sz w:val="18"/>
                <w:szCs w:val="18"/>
              </w:rPr>
              <w:t>不按照指示使用或对其结果的错误解读</w:t>
            </w:r>
          </w:p>
        </w:tc>
        <w:tc>
          <w:tcPr>
            <w:tcW w:w="2504"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533E3F" w:rsidRDefault="00FE0870" w:rsidP="00EC3DB5">
            <w:pPr>
              <w:pStyle w:val="TableParagraph"/>
              <w:kinsoku w:val="0"/>
              <w:overflowPunct w:val="0"/>
              <w:snapToGrid w:val="0"/>
              <w:spacing w:line="360" w:lineRule="auto"/>
              <w:jc w:val="both"/>
              <w:rPr>
                <w:sz w:val="18"/>
                <w:szCs w:val="18"/>
              </w:rPr>
            </w:pPr>
            <w:r w:rsidRPr="00533E3F">
              <w:rPr>
                <w:rFonts w:hAnsi="宋体" w:hint="eastAsia"/>
                <w:sz w:val="18"/>
                <w:szCs w:val="18"/>
              </w:rPr>
              <w:t>标签（第</w:t>
            </w:r>
            <w:r w:rsidRPr="00533E3F">
              <w:rPr>
                <w:sz w:val="18"/>
                <w:szCs w:val="18"/>
              </w:rPr>
              <w:t>8</w:t>
            </w:r>
            <w:r w:rsidRPr="00533E3F">
              <w:rPr>
                <w:rFonts w:hAnsi="宋体" w:hint="eastAsia"/>
                <w:sz w:val="18"/>
                <w:szCs w:val="18"/>
              </w:rPr>
              <w:t>节）</w:t>
            </w:r>
          </w:p>
        </w:tc>
      </w:tr>
    </w:tbl>
    <w:p w:rsidR="00FE0870" w:rsidRPr="00EC3DB5" w:rsidRDefault="00FE0870" w:rsidP="00EC3DB5">
      <w:pPr>
        <w:kinsoku w:val="0"/>
        <w:overflowPunct w:val="0"/>
        <w:snapToGrid w:val="0"/>
        <w:spacing w:line="360" w:lineRule="auto"/>
        <w:jc w:val="both"/>
        <w:rPr>
          <w:sz w:val="21"/>
          <w:szCs w:val="21"/>
        </w:rPr>
      </w:pPr>
    </w:p>
    <w:p w:rsidR="00FE0870" w:rsidRPr="00EC3DB5" w:rsidRDefault="00FE0870" w:rsidP="001658F2">
      <w:pPr>
        <w:numPr>
          <w:ilvl w:val="0"/>
          <w:numId w:val="8"/>
        </w:numPr>
        <w:kinsoku w:val="0"/>
        <w:overflowPunct w:val="0"/>
        <w:snapToGrid w:val="0"/>
        <w:spacing w:line="360" w:lineRule="auto"/>
        <w:ind w:left="422" w:hangingChars="200" w:hanging="422"/>
        <w:jc w:val="both"/>
        <w:outlineLvl w:val="0"/>
        <w:rPr>
          <w:sz w:val="21"/>
          <w:szCs w:val="21"/>
        </w:rPr>
      </w:pPr>
      <w:bookmarkStart w:id="26" w:name="6._Device_Description"/>
      <w:bookmarkStart w:id="27" w:name="bookmark6"/>
      <w:bookmarkStart w:id="28" w:name="_Toc496797913"/>
      <w:bookmarkEnd w:id="26"/>
      <w:bookmarkEnd w:id="27"/>
      <w:r w:rsidRPr="00EC3DB5">
        <w:rPr>
          <w:rFonts w:hAnsi="宋体" w:hint="eastAsia"/>
          <w:b/>
          <w:bCs/>
          <w:sz w:val="21"/>
          <w:szCs w:val="21"/>
        </w:rPr>
        <w:t>器械说明</w:t>
      </w:r>
      <w:bookmarkEnd w:id="28"/>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识别适用于您的器械的法规和产品代码；您必须列入一份表格，概述上市前通知已获批准的器械（或相同预期用途的其他合法销售器械）与您的器械之间的相似性和差异。我们鼓励您引用合适的同行评议论文，为您的器械可用于预期诊断用途且器械设计已采用特定的测试原理提供支持。您必须详细地描述每一器械元件。</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此外，您还须列入以下描述性信息以充分描述用于在人类血清或血浆样本中检测抗</w:t>
      </w:r>
      <w:r w:rsidRPr="00EC3DB5">
        <w:rPr>
          <w:sz w:val="21"/>
          <w:szCs w:val="21"/>
        </w:rPr>
        <w:t>JCV</w:t>
      </w:r>
      <w:r w:rsidRPr="00EC3DB5">
        <w:rPr>
          <w:rFonts w:hAnsi="宋体" w:hint="eastAsia"/>
          <w:sz w:val="21"/>
          <w:szCs w:val="21"/>
        </w:rPr>
        <w:t>特异性抗体的您的器械。</w:t>
      </w:r>
    </w:p>
    <w:p w:rsidR="00FE0870" w:rsidRPr="00EC3DB5" w:rsidRDefault="00FE0870" w:rsidP="00D20CDC">
      <w:pPr>
        <w:pStyle w:val="3"/>
        <w:numPr>
          <w:ilvl w:val="1"/>
          <w:numId w:val="8"/>
        </w:numPr>
        <w:kinsoku w:val="0"/>
        <w:overflowPunct w:val="0"/>
        <w:snapToGrid w:val="0"/>
        <w:spacing w:beforeLines="50" w:line="360" w:lineRule="auto"/>
        <w:ind w:left="422" w:hangingChars="200" w:hanging="422"/>
        <w:jc w:val="both"/>
        <w:rPr>
          <w:b w:val="0"/>
          <w:bCs w:val="0"/>
          <w:sz w:val="21"/>
          <w:szCs w:val="21"/>
        </w:rPr>
      </w:pPr>
      <w:bookmarkStart w:id="29" w:name="6.1_Device_Components"/>
      <w:bookmarkStart w:id="30" w:name="bookmark7"/>
      <w:bookmarkStart w:id="31" w:name="_Toc496797914"/>
      <w:bookmarkEnd w:id="29"/>
      <w:bookmarkEnd w:id="30"/>
      <w:r w:rsidRPr="00EC3DB5">
        <w:rPr>
          <w:rFonts w:hAnsi="宋体" w:hint="eastAsia"/>
          <w:sz w:val="21"/>
          <w:szCs w:val="21"/>
        </w:rPr>
        <w:t>器械组件</w:t>
      </w:r>
      <w:bookmarkEnd w:id="31"/>
    </w:p>
    <w:p w:rsidR="00FE0870" w:rsidRPr="00EC3DB5" w:rsidRDefault="00FE0870" w:rsidP="00D20CDC">
      <w:pPr>
        <w:pStyle w:val="a3"/>
        <w:kinsoku w:val="0"/>
        <w:overflowPunct w:val="0"/>
        <w:snapToGrid w:val="0"/>
        <w:spacing w:beforeLines="50" w:afterLines="50" w:line="360" w:lineRule="auto"/>
        <w:ind w:left="0"/>
        <w:jc w:val="both"/>
        <w:rPr>
          <w:sz w:val="21"/>
          <w:szCs w:val="21"/>
        </w:rPr>
      </w:pPr>
      <w:r w:rsidRPr="00EC3DB5">
        <w:rPr>
          <w:rFonts w:hAnsi="宋体" w:hint="eastAsia"/>
          <w:sz w:val="21"/>
          <w:szCs w:val="21"/>
        </w:rPr>
        <w:t>您必须对试剂盒所包含的试验组件进行详细地描述。您的描述必须包含以下各项：</w:t>
      </w:r>
    </w:p>
    <w:p w:rsidR="00FE0870" w:rsidRPr="00EC3DB5" w:rsidRDefault="00FE0870" w:rsidP="00533E3F">
      <w:pPr>
        <w:pStyle w:val="a3"/>
        <w:numPr>
          <w:ilvl w:val="2"/>
          <w:numId w:val="8"/>
        </w:numPr>
        <w:tabs>
          <w:tab w:val="left" w:pos="960"/>
        </w:tabs>
        <w:kinsoku w:val="0"/>
        <w:overflowPunct w:val="0"/>
        <w:snapToGrid w:val="0"/>
        <w:spacing w:line="360" w:lineRule="auto"/>
        <w:ind w:leftChars="200" w:left="904" w:hangingChars="202" w:hanging="424"/>
        <w:jc w:val="both"/>
        <w:rPr>
          <w:sz w:val="21"/>
          <w:szCs w:val="21"/>
        </w:rPr>
      </w:pPr>
      <w:r w:rsidRPr="00EC3DB5">
        <w:rPr>
          <w:rFonts w:hAnsi="宋体" w:hint="eastAsia"/>
          <w:sz w:val="21"/>
          <w:szCs w:val="21"/>
        </w:rPr>
        <w:t>对您的器械所测量或检测的抗体的描述，包括所检测抗体的分类和子类，例如：</w:t>
      </w:r>
      <w:r w:rsidRPr="00EC3DB5">
        <w:rPr>
          <w:sz w:val="21"/>
          <w:szCs w:val="21"/>
        </w:rPr>
        <w:t>IgM</w:t>
      </w:r>
      <w:r w:rsidRPr="00EC3DB5">
        <w:rPr>
          <w:rFonts w:hAnsi="宋体" w:hint="eastAsia"/>
          <w:sz w:val="21"/>
          <w:szCs w:val="21"/>
        </w:rPr>
        <w:t>、</w:t>
      </w:r>
      <w:r w:rsidRPr="00EC3DB5">
        <w:rPr>
          <w:sz w:val="21"/>
          <w:szCs w:val="21"/>
        </w:rPr>
        <w:t>IgG</w:t>
      </w:r>
      <w:r w:rsidRPr="00EC3DB5">
        <w:rPr>
          <w:rFonts w:hAnsi="宋体" w:hint="eastAsia"/>
          <w:sz w:val="21"/>
          <w:szCs w:val="21"/>
        </w:rPr>
        <w:t>或总免疫球蛋白等。</w:t>
      </w:r>
    </w:p>
    <w:p w:rsidR="00FE0870" w:rsidRPr="00EC3DB5" w:rsidRDefault="00FE0870" w:rsidP="00533E3F">
      <w:pPr>
        <w:pStyle w:val="a3"/>
        <w:numPr>
          <w:ilvl w:val="2"/>
          <w:numId w:val="8"/>
        </w:numPr>
        <w:tabs>
          <w:tab w:val="left" w:pos="960"/>
        </w:tabs>
        <w:kinsoku w:val="0"/>
        <w:overflowPunct w:val="0"/>
        <w:snapToGrid w:val="0"/>
        <w:spacing w:line="360" w:lineRule="auto"/>
        <w:ind w:leftChars="200" w:left="904" w:hangingChars="202" w:hanging="424"/>
        <w:jc w:val="both"/>
        <w:rPr>
          <w:sz w:val="21"/>
          <w:szCs w:val="21"/>
        </w:rPr>
      </w:pPr>
      <w:r w:rsidRPr="00EC3DB5">
        <w:rPr>
          <w:rFonts w:hAnsi="宋体" w:hint="eastAsia"/>
          <w:sz w:val="21"/>
          <w:szCs w:val="21"/>
        </w:rPr>
        <w:t>对抗原来源和特异性、表征和提纯方法及结果的描述。如果您的器械使用重组抗原，则您必须详细说明所使用的媒介并论述潜在的交叉反应性影响。</w:t>
      </w:r>
    </w:p>
    <w:p w:rsidR="00FE0870" w:rsidRPr="00EC3DB5" w:rsidRDefault="00FE0870" w:rsidP="00533E3F">
      <w:pPr>
        <w:pStyle w:val="a3"/>
        <w:numPr>
          <w:ilvl w:val="2"/>
          <w:numId w:val="8"/>
        </w:numPr>
        <w:tabs>
          <w:tab w:val="left" w:pos="960"/>
        </w:tabs>
        <w:kinsoku w:val="0"/>
        <w:overflowPunct w:val="0"/>
        <w:snapToGrid w:val="0"/>
        <w:spacing w:line="360" w:lineRule="auto"/>
        <w:ind w:leftChars="200" w:left="904" w:hangingChars="202" w:hanging="424"/>
        <w:jc w:val="both"/>
        <w:rPr>
          <w:sz w:val="21"/>
          <w:szCs w:val="21"/>
        </w:rPr>
      </w:pPr>
      <w:r w:rsidRPr="00EC3DB5">
        <w:rPr>
          <w:rFonts w:hAnsi="宋体" w:hint="eastAsia"/>
          <w:sz w:val="21"/>
          <w:szCs w:val="21"/>
        </w:rPr>
        <w:t>对抗原制备所用</w:t>
      </w:r>
      <w:r w:rsidRPr="00EC3DB5">
        <w:rPr>
          <w:sz w:val="21"/>
          <w:szCs w:val="21"/>
        </w:rPr>
        <w:t xml:space="preserve">JCV </w:t>
      </w:r>
      <w:r w:rsidRPr="00EC3DB5">
        <w:rPr>
          <w:rFonts w:hAnsi="宋体" w:hint="eastAsia"/>
          <w:sz w:val="21"/>
          <w:szCs w:val="21"/>
        </w:rPr>
        <w:t>品系（包括分离物的来源，例如：来自</w:t>
      </w:r>
      <w:r w:rsidRPr="00EC3DB5">
        <w:rPr>
          <w:sz w:val="21"/>
          <w:szCs w:val="21"/>
        </w:rPr>
        <w:t>PML</w:t>
      </w:r>
      <w:r w:rsidRPr="00EC3DB5">
        <w:rPr>
          <w:rFonts w:hAnsi="宋体" w:hint="eastAsia"/>
          <w:sz w:val="21"/>
          <w:szCs w:val="21"/>
        </w:rPr>
        <w:t>患者或非</w:t>
      </w:r>
      <w:r w:rsidRPr="00EC3DB5">
        <w:rPr>
          <w:sz w:val="21"/>
          <w:szCs w:val="21"/>
        </w:rPr>
        <w:t>PML</w:t>
      </w:r>
      <w:r w:rsidRPr="00EC3DB5">
        <w:rPr>
          <w:rFonts w:hAnsi="宋体" w:hint="eastAsia"/>
          <w:sz w:val="21"/>
          <w:szCs w:val="21"/>
        </w:rPr>
        <w:t>患者）、生成该抗原的目标基因、抗原上存在的表位和选择理由的详细描述。您必须指明所用病毒株系是否有任何</w:t>
      </w:r>
      <w:r w:rsidRPr="00EC3DB5">
        <w:rPr>
          <w:sz w:val="21"/>
          <w:szCs w:val="21"/>
        </w:rPr>
        <w:t>PML</w:t>
      </w:r>
      <w:r w:rsidRPr="00EC3DB5">
        <w:rPr>
          <w:rFonts w:hAnsi="宋体" w:hint="eastAsia"/>
          <w:sz w:val="21"/>
          <w:szCs w:val="21"/>
        </w:rPr>
        <w:t>突变及其可能会对试验性能产生影响的后果。我们建议您选择能够实现对多个</w:t>
      </w:r>
      <w:r w:rsidRPr="00EC3DB5">
        <w:rPr>
          <w:sz w:val="21"/>
          <w:szCs w:val="21"/>
        </w:rPr>
        <w:t>JCV</w:t>
      </w:r>
      <w:r w:rsidRPr="00EC3DB5">
        <w:rPr>
          <w:rFonts w:hAnsi="宋体" w:hint="eastAsia"/>
          <w:sz w:val="21"/>
          <w:szCs w:val="21"/>
        </w:rPr>
        <w:t>表位（这对于所有</w:t>
      </w:r>
      <w:r w:rsidRPr="00EC3DB5">
        <w:rPr>
          <w:sz w:val="21"/>
          <w:szCs w:val="21"/>
        </w:rPr>
        <w:t>JCV</w:t>
      </w:r>
      <w:r w:rsidRPr="00EC3DB5">
        <w:rPr>
          <w:rFonts w:hAnsi="宋体" w:hint="eastAsia"/>
          <w:sz w:val="21"/>
          <w:szCs w:val="21"/>
        </w:rPr>
        <w:t>分离株而言都是常见的）进行暴露检测的株系。</w:t>
      </w:r>
    </w:p>
    <w:p w:rsidR="00FE0870" w:rsidRPr="00EC3DB5" w:rsidRDefault="00FE0870" w:rsidP="00EC3DB5">
      <w:pPr>
        <w:pStyle w:val="a3"/>
        <w:kinsoku w:val="0"/>
        <w:overflowPunct w:val="0"/>
        <w:snapToGrid w:val="0"/>
        <w:spacing w:line="360" w:lineRule="auto"/>
        <w:ind w:left="0"/>
        <w:jc w:val="both"/>
        <w:rPr>
          <w:sz w:val="21"/>
          <w:szCs w:val="21"/>
        </w:rPr>
      </w:pPr>
      <w:r w:rsidRPr="00EC3DB5">
        <w:rPr>
          <w:sz w:val="21"/>
          <w:szCs w:val="21"/>
        </w:rPr>
        <w:br w:type="page"/>
      </w:r>
    </w:p>
    <w:p w:rsidR="00FE0870" w:rsidRPr="00EC3DB5" w:rsidRDefault="00FE0870" w:rsidP="00533E3F">
      <w:pPr>
        <w:pStyle w:val="a3"/>
        <w:numPr>
          <w:ilvl w:val="0"/>
          <w:numId w:val="7"/>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lastRenderedPageBreak/>
        <w:t>对您所选择的抗原与其他多瘤病毒所共有的任何同源性及其对试验性能的影响的描述</w:t>
      </w:r>
    </w:p>
    <w:p w:rsidR="00FE0870" w:rsidRPr="00EC3DB5" w:rsidRDefault="00FE0870" w:rsidP="00533E3F">
      <w:pPr>
        <w:pStyle w:val="a3"/>
        <w:numPr>
          <w:ilvl w:val="0"/>
          <w:numId w:val="7"/>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对试验中使用的具体对照物和校准品的详细描述及对质量控制材料的主要目的的描述。来源、对照物的抗体水平、基质效应、控制性能的验收标准和如何建立对照物等。</w:t>
      </w:r>
    </w:p>
    <w:p w:rsidR="00FE0870" w:rsidRPr="00EC3DB5" w:rsidRDefault="00FE0870" w:rsidP="00533E3F">
      <w:pPr>
        <w:pStyle w:val="a3"/>
        <w:numPr>
          <w:ilvl w:val="0"/>
          <w:numId w:val="7"/>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对捕获试剂的描述，例如：抗原捕获或抗体捕获等。</w:t>
      </w:r>
    </w:p>
    <w:p w:rsidR="00FE0870" w:rsidRPr="00EC3DB5" w:rsidRDefault="00FE0870" w:rsidP="00533E3F">
      <w:pPr>
        <w:pStyle w:val="a3"/>
        <w:numPr>
          <w:ilvl w:val="0"/>
          <w:numId w:val="7"/>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对您的器械所使用的二次检测试剂（偶联物）的详细描述，包括抗体特异性（取决于试验设计，例如：所有人类</w:t>
      </w:r>
      <w:r w:rsidRPr="00EC3DB5">
        <w:rPr>
          <w:sz w:val="21"/>
          <w:szCs w:val="21"/>
        </w:rPr>
        <w:t>Ig</w:t>
      </w:r>
      <w:r w:rsidRPr="00EC3DB5">
        <w:rPr>
          <w:rFonts w:hAnsi="宋体" w:hint="eastAsia"/>
          <w:sz w:val="21"/>
          <w:szCs w:val="21"/>
        </w:rPr>
        <w:t>分类，</w:t>
      </w:r>
      <w:r w:rsidRPr="00EC3DB5">
        <w:rPr>
          <w:sz w:val="21"/>
          <w:szCs w:val="21"/>
        </w:rPr>
        <w:t>IgG</w:t>
      </w:r>
      <w:r w:rsidRPr="00EC3DB5">
        <w:rPr>
          <w:rFonts w:hAnsi="宋体" w:hint="eastAsia"/>
          <w:sz w:val="21"/>
          <w:szCs w:val="21"/>
        </w:rPr>
        <w:t>和</w:t>
      </w:r>
      <w:r w:rsidRPr="00EC3DB5">
        <w:rPr>
          <w:sz w:val="21"/>
          <w:szCs w:val="21"/>
        </w:rPr>
        <w:t xml:space="preserve"> IgM</w:t>
      </w:r>
      <w:r w:rsidRPr="00EC3DB5">
        <w:rPr>
          <w:rFonts w:hAnsi="宋体" w:hint="eastAsia"/>
          <w:sz w:val="21"/>
          <w:szCs w:val="21"/>
        </w:rPr>
        <w:t>等）、结合效率、抗体的性质（多克隆和单克隆）、抗体来源、提纯、使用说明和可能会导致潜在交叉反应性的任何因子等。</w:t>
      </w:r>
    </w:p>
    <w:p w:rsidR="00FE0870" w:rsidRPr="00EC3DB5" w:rsidRDefault="00FE0870" w:rsidP="00533E3F">
      <w:pPr>
        <w:pStyle w:val="a3"/>
        <w:numPr>
          <w:ilvl w:val="0"/>
          <w:numId w:val="7"/>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对您器械中的抗原和抗体试剂与类似多瘤病毒发生反应的可能性的说明。必须在器械设计方面采取措施以尽可能地减少这一潜在交叉反应性的影响，并在您的提交文件中予以说明。</w:t>
      </w:r>
    </w:p>
    <w:p w:rsidR="00FE0870" w:rsidRPr="00EC3DB5" w:rsidRDefault="00FE0870" w:rsidP="00D20CDC">
      <w:pPr>
        <w:pStyle w:val="3"/>
        <w:numPr>
          <w:ilvl w:val="1"/>
          <w:numId w:val="8"/>
        </w:numPr>
        <w:kinsoku w:val="0"/>
        <w:overflowPunct w:val="0"/>
        <w:snapToGrid w:val="0"/>
        <w:spacing w:beforeLines="50" w:line="360" w:lineRule="auto"/>
        <w:ind w:left="0" w:firstLine="0"/>
        <w:jc w:val="both"/>
        <w:rPr>
          <w:b w:val="0"/>
          <w:bCs w:val="0"/>
          <w:sz w:val="21"/>
          <w:szCs w:val="21"/>
        </w:rPr>
      </w:pPr>
      <w:bookmarkStart w:id="32" w:name="6.2_Ancillary_Reagents"/>
      <w:bookmarkStart w:id="33" w:name="bookmark8"/>
      <w:bookmarkStart w:id="34" w:name="_Toc496797915"/>
      <w:bookmarkEnd w:id="32"/>
      <w:bookmarkEnd w:id="33"/>
      <w:r w:rsidRPr="00EC3DB5">
        <w:rPr>
          <w:rFonts w:hAnsi="宋体" w:hint="eastAsia"/>
          <w:sz w:val="21"/>
          <w:szCs w:val="21"/>
        </w:rPr>
        <w:t>辅助试剂</w:t>
      </w:r>
      <w:bookmarkEnd w:id="34"/>
    </w:p>
    <w:p w:rsidR="00FE0870" w:rsidRPr="00EC3DB5" w:rsidRDefault="00FE0870" w:rsidP="00D20CDC">
      <w:pPr>
        <w:pStyle w:val="a3"/>
        <w:kinsoku w:val="0"/>
        <w:overflowPunct w:val="0"/>
        <w:snapToGrid w:val="0"/>
        <w:spacing w:beforeLines="50" w:line="360" w:lineRule="auto"/>
        <w:ind w:left="0"/>
        <w:jc w:val="both"/>
        <w:rPr>
          <w:sz w:val="21"/>
          <w:szCs w:val="21"/>
          <w:vertAlign w:val="superscript"/>
        </w:rPr>
      </w:pPr>
      <w:r w:rsidRPr="00EC3DB5">
        <w:rPr>
          <w:rFonts w:hAnsi="宋体" w:hint="eastAsia"/>
          <w:sz w:val="21"/>
          <w:szCs w:val="21"/>
        </w:rPr>
        <w:t>辅助试剂是您在器械标签中指定的为了实现器械标签中声明的试验性能在根据器械的使用说明实施试验时</w:t>
      </w:r>
      <w:r w:rsidRPr="00EC3DB5">
        <w:rPr>
          <w:sz w:val="21"/>
          <w:szCs w:val="21"/>
        </w:rPr>
        <w:t>“</w:t>
      </w:r>
      <w:r w:rsidRPr="00EC3DB5">
        <w:rPr>
          <w:rFonts w:hAnsi="宋体" w:hint="eastAsia"/>
          <w:sz w:val="21"/>
          <w:szCs w:val="21"/>
        </w:rPr>
        <w:t>需使用但未提供的</w:t>
      </w:r>
      <w:r w:rsidRPr="00EC3DB5">
        <w:rPr>
          <w:sz w:val="21"/>
          <w:szCs w:val="21"/>
        </w:rPr>
        <w:t>”</w:t>
      </w:r>
      <w:r w:rsidRPr="00EC3DB5">
        <w:rPr>
          <w:rFonts w:hAnsi="宋体" w:hint="eastAsia"/>
          <w:sz w:val="21"/>
          <w:szCs w:val="21"/>
        </w:rPr>
        <w:t>的试剂。本文所涉及的相关辅助试剂为根据制造商、目录或产品编号，或其他特定名称所指定的试剂，为的是使您的器械能够实现其所标示的性能特征。例如，如果您的器械标签规定使用特定品牌的试剂（例如：</w:t>
      </w:r>
      <w:r w:rsidRPr="00EC3DB5">
        <w:rPr>
          <w:sz w:val="21"/>
          <w:szCs w:val="21"/>
        </w:rPr>
        <w:t>‘X</w:t>
      </w:r>
      <w:r w:rsidRPr="00EC3DB5">
        <w:rPr>
          <w:rFonts w:hAnsi="宋体" w:hint="eastAsia"/>
          <w:sz w:val="21"/>
          <w:szCs w:val="21"/>
        </w:rPr>
        <w:t>品牌的提取缓冲液或经证明等效的其他缓冲液</w:t>
      </w:r>
      <w:r w:rsidRPr="00EC3DB5">
        <w:rPr>
          <w:sz w:val="21"/>
          <w:szCs w:val="21"/>
        </w:rPr>
        <w:t>’</w:t>
      </w:r>
      <w:r w:rsidRPr="00EC3DB5">
        <w:rPr>
          <w:rFonts w:hAnsi="宋体" w:hint="eastAsia"/>
          <w:sz w:val="21"/>
          <w:szCs w:val="21"/>
        </w:rPr>
        <w:t>），且使用任何其他提取缓冲液可能会改变您的器械的性能特征，使其与标签中报告的性能特征不符，则</w:t>
      </w:r>
      <w:r w:rsidRPr="00EC3DB5">
        <w:rPr>
          <w:sz w:val="21"/>
          <w:szCs w:val="21"/>
        </w:rPr>
        <w:t>X</w:t>
      </w:r>
      <w:r w:rsidRPr="00EC3DB5">
        <w:rPr>
          <w:rFonts w:hAnsi="宋体" w:hint="eastAsia"/>
          <w:sz w:val="21"/>
          <w:szCs w:val="21"/>
        </w:rPr>
        <w:t>品牌的提取缓冲液或经证明等效的其他缓冲液应作为本文的相关辅助试剂。</w:t>
      </w:r>
      <w:r w:rsidRPr="00EC3DB5">
        <w:rPr>
          <w:sz w:val="21"/>
          <w:szCs w:val="21"/>
          <w:vertAlign w:val="superscript"/>
        </w:rPr>
        <w:t>2</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相比之下，如果您的器械有赖于</w:t>
      </w:r>
      <w:r w:rsidRPr="00EC3DB5">
        <w:rPr>
          <w:sz w:val="21"/>
          <w:szCs w:val="21"/>
        </w:rPr>
        <w:t>95%</w:t>
      </w:r>
      <w:r w:rsidRPr="00EC3DB5">
        <w:rPr>
          <w:rFonts w:hAnsi="宋体" w:hint="eastAsia"/>
          <w:sz w:val="21"/>
          <w:szCs w:val="21"/>
        </w:rPr>
        <w:t>的乙醇且任何其他品牌的</w:t>
      </w:r>
      <w:r w:rsidRPr="00EC3DB5">
        <w:rPr>
          <w:sz w:val="21"/>
          <w:szCs w:val="21"/>
        </w:rPr>
        <w:t>95%</w:t>
      </w:r>
      <w:r w:rsidRPr="00EC3DB5">
        <w:rPr>
          <w:rFonts w:hAnsi="宋体" w:hint="eastAsia"/>
          <w:sz w:val="21"/>
          <w:szCs w:val="21"/>
        </w:rPr>
        <w:t>的乙醇均能使您的器械实现标签中所规定的性能特征，</w:t>
      </w:r>
      <w:r w:rsidRPr="00EC3DB5">
        <w:rPr>
          <w:sz w:val="21"/>
          <w:szCs w:val="21"/>
        </w:rPr>
        <w:t xml:space="preserve"> 95%</w:t>
      </w:r>
      <w:r w:rsidRPr="00EC3DB5">
        <w:rPr>
          <w:rFonts w:hAnsi="宋体" w:hint="eastAsia"/>
          <w:sz w:val="21"/>
          <w:szCs w:val="21"/>
        </w:rPr>
        <w:t>的乙醇在本文中则不作为相关辅助试剂。</w:t>
      </w:r>
    </w:p>
    <w:p w:rsidR="00FE0870" w:rsidRPr="00EC3DB5" w:rsidRDefault="00FE0870" w:rsidP="00D20CDC">
      <w:pPr>
        <w:pStyle w:val="a3"/>
        <w:kinsoku w:val="0"/>
        <w:overflowPunct w:val="0"/>
        <w:snapToGrid w:val="0"/>
        <w:spacing w:beforeLines="50" w:line="360" w:lineRule="auto"/>
        <w:ind w:left="0"/>
        <w:jc w:val="both"/>
        <w:rPr>
          <w:sz w:val="21"/>
          <w:szCs w:val="21"/>
          <w:highlight w:val="green"/>
        </w:rPr>
      </w:pPr>
      <w:r w:rsidRPr="00EC3DB5">
        <w:rPr>
          <w:rFonts w:hAnsi="宋体" w:hint="eastAsia"/>
          <w:sz w:val="21"/>
          <w:szCs w:val="21"/>
        </w:rPr>
        <w:t>如果使用您的器械的仪器指定了一种或多种辅助试剂，则您必须说明如何确保使用您的器械和这些辅助试剂按照您的说明进行测试的结果与您的上市前提交中确定的性能一致。您的计划可以包括质量体系方法、产品标签或其它措施的应用。</w:t>
      </w:r>
    </w:p>
    <w:p w:rsidR="00FE0870" w:rsidRPr="00EC3DB5"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Default="00FE0870" w:rsidP="00EC3DB5">
      <w:pPr>
        <w:kinsoku w:val="0"/>
        <w:overflowPunct w:val="0"/>
        <w:snapToGrid w:val="0"/>
        <w:spacing w:line="360" w:lineRule="auto"/>
        <w:jc w:val="both"/>
        <w:rPr>
          <w:sz w:val="21"/>
          <w:szCs w:val="21"/>
        </w:rPr>
      </w:pPr>
    </w:p>
    <w:p w:rsidR="00FE0870" w:rsidRPr="00EC3DB5" w:rsidRDefault="00FE0870" w:rsidP="00EC3DB5">
      <w:pPr>
        <w:kinsoku w:val="0"/>
        <w:overflowPunct w:val="0"/>
        <w:snapToGrid w:val="0"/>
        <w:spacing w:line="360" w:lineRule="auto"/>
        <w:jc w:val="both"/>
        <w:rPr>
          <w:sz w:val="21"/>
          <w:szCs w:val="21"/>
        </w:rPr>
      </w:pPr>
      <w:r w:rsidRPr="00EC3DB5">
        <w:rPr>
          <w:sz w:val="21"/>
          <w:szCs w:val="21"/>
        </w:rPr>
        <w:t>__________________________</w:t>
      </w:r>
    </w:p>
    <w:p w:rsidR="00FE0870" w:rsidRPr="00533E3F" w:rsidRDefault="00FE0870" w:rsidP="00EC3DB5">
      <w:pPr>
        <w:kinsoku w:val="0"/>
        <w:overflowPunct w:val="0"/>
        <w:snapToGrid w:val="0"/>
        <w:spacing w:line="360" w:lineRule="auto"/>
        <w:jc w:val="both"/>
        <w:rPr>
          <w:sz w:val="18"/>
          <w:szCs w:val="18"/>
        </w:rPr>
      </w:pPr>
      <w:bookmarkStart w:id="35" w:name="bookmark9"/>
      <w:bookmarkEnd w:id="35"/>
      <w:r w:rsidRPr="00533E3F">
        <w:rPr>
          <w:sz w:val="18"/>
          <w:szCs w:val="18"/>
          <w:vertAlign w:val="superscript"/>
        </w:rPr>
        <w:t>2</w:t>
      </w:r>
      <w:r w:rsidRPr="00533E3F">
        <w:rPr>
          <w:rFonts w:hAnsi="宋体" w:hint="eastAsia"/>
          <w:sz w:val="18"/>
          <w:szCs w:val="18"/>
        </w:rPr>
        <w:t>即便您规定试验中可能会使用一种或多种替代性的辅助试剂，各所述替代试剂可能仍应作为相关辅助试剂。如果您不确定特殊控制的这一方面是否适用于您的器械，我们建议您咨询</w:t>
      </w:r>
      <w:r w:rsidRPr="00533E3F">
        <w:rPr>
          <w:sz w:val="18"/>
          <w:szCs w:val="18"/>
        </w:rPr>
        <w:t>FDA</w:t>
      </w:r>
      <w:r w:rsidRPr="00533E3F">
        <w:rPr>
          <w:rFonts w:hAnsi="宋体" w:hint="eastAsia"/>
          <w:sz w:val="18"/>
          <w:szCs w:val="18"/>
        </w:rPr>
        <w:t>。</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sz w:val="21"/>
          <w:szCs w:val="21"/>
        </w:rPr>
        <w:br w:type="page"/>
      </w:r>
      <w:r w:rsidRPr="00EC3DB5">
        <w:rPr>
          <w:rFonts w:hAnsi="宋体" w:hint="eastAsia"/>
          <w:sz w:val="21"/>
          <w:szCs w:val="21"/>
        </w:rPr>
        <w:lastRenderedPageBreak/>
        <w:t>为了满足特殊控制的这一方面，您的</w:t>
      </w:r>
      <w:r w:rsidRPr="00EC3DB5">
        <w:rPr>
          <w:sz w:val="21"/>
          <w:szCs w:val="21"/>
        </w:rPr>
        <w:t>510</w:t>
      </w:r>
      <w:r w:rsidRPr="00EC3DB5">
        <w:rPr>
          <w:rFonts w:hAnsi="宋体" w:hint="eastAsia"/>
          <w:sz w:val="21"/>
          <w:szCs w:val="21"/>
        </w:rPr>
        <w:t>（</w:t>
      </w:r>
      <w:r w:rsidRPr="00EC3DB5">
        <w:rPr>
          <w:sz w:val="21"/>
          <w:szCs w:val="21"/>
        </w:rPr>
        <w:t>k</w:t>
      </w:r>
      <w:r w:rsidRPr="00EC3DB5">
        <w:rPr>
          <w:rFonts w:hAnsi="宋体" w:hint="eastAsia"/>
          <w:sz w:val="21"/>
          <w:szCs w:val="21"/>
        </w:rPr>
        <w:t>）提交文件必须满足如下所述的各要素。</w:t>
      </w:r>
      <w:r w:rsidRPr="00EC3DB5">
        <w:rPr>
          <w:sz w:val="21"/>
          <w:szCs w:val="21"/>
        </w:rPr>
        <w:t>FDA</w:t>
      </w:r>
      <w:r w:rsidRPr="00EC3DB5">
        <w:rPr>
          <w:rFonts w:hAnsi="宋体" w:hint="eastAsia"/>
          <w:sz w:val="21"/>
          <w:szCs w:val="21"/>
        </w:rPr>
        <w:t>将评估您的计划是否有助于</w:t>
      </w:r>
      <w:r w:rsidR="00216DA8">
        <w:rPr>
          <w:rFonts w:hAnsi="宋体" w:hint="eastAsia"/>
          <w:sz w:val="21"/>
          <w:szCs w:val="21"/>
        </w:rPr>
        <w:t>缓解器械</w:t>
      </w:r>
      <w:r w:rsidRPr="00EC3DB5">
        <w:rPr>
          <w:rFonts w:hAnsi="宋体" w:hint="eastAsia"/>
          <w:sz w:val="21"/>
          <w:szCs w:val="21"/>
        </w:rPr>
        <w:t>所带来的风险以确定其实质等同性。</w:t>
      </w:r>
    </w:p>
    <w:p w:rsidR="00FE0870" w:rsidRPr="00EC3DB5" w:rsidRDefault="00FE0870" w:rsidP="00D20CDC">
      <w:pPr>
        <w:pStyle w:val="a3"/>
        <w:numPr>
          <w:ilvl w:val="0"/>
          <w:numId w:val="1"/>
        </w:numPr>
        <w:kinsoku w:val="0"/>
        <w:overflowPunct w:val="0"/>
        <w:snapToGrid w:val="0"/>
        <w:spacing w:beforeLines="50" w:line="360" w:lineRule="auto"/>
        <w:ind w:leftChars="200" w:left="1320" w:hangingChars="400" w:hanging="840"/>
        <w:jc w:val="both"/>
        <w:rPr>
          <w:sz w:val="21"/>
          <w:szCs w:val="21"/>
        </w:rPr>
      </w:pPr>
      <w:r w:rsidRPr="00EC3DB5">
        <w:rPr>
          <w:rFonts w:hAnsi="宋体" w:hint="eastAsia"/>
          <w:sz w:val="21"/>
          <w:szCs w:val="21"/>
        </w:rPr>
        <w:t>您的</w:t>
      </w:r>
      <w:r w:rsidRPr="00EC3DB5">
        <w:rPr>
          <w:sz w:val="21"/>
          <w:szCs w:val="21"/>
        </w:rPr>
        <w:t>510</w:t>
      </w:r>
      <w:r w:rsidRPr="00EC3DB5">
        <w:rPr>
          <w:rFonts w:hAnsi="宋体" w:hint="eastAsia"/>
          <w:sz w:val="21"/>
          <w:szCs w:val="21"/>
        </w:rPr>
        <w:t>（</w:t>
      </w:r>
      <w:r w:rsidRPr="00EC3DB5">
        <w:rPr>
          <w:sz w:val="21"/>
          <w:szCs w:val="21"/>
        </w:rPr>
        <w:t>k</w:t>
      </w:r>
      <w:r w:rsidRPr="00EC3DB5">
        <w:rPr>
          <w:rFonts w:hAnsi="宋体" w:hint="eastAsia"/>
          <w:sz w:val="21"/>
          <w:szCs w:val="21"/>
        </w:rPr>
        <w:t>）必须包含论述辅助试剂使用的一份风险评估，包括与试剂质量和差异性管理相关的风险，与随辅助试剂直接提供的使用说明和您随试验提供的使用说明之间的不一致相关的风险及存在可能会给您的试验带来不正确的结果的风险的任何其他问题。</w:t>
      </w:r>
    </w:p>
    <w:p w:rsidR="00FE0870" w:rsidRPr="00EC3DB5" w:rsidRDefault="00FE0870" w:rsidP="00D20CDC">
      <w:pPr>
        <w:pStyle w:val="a3"/>
        <w:numPr>
          <w:ilvl w:val="0"/>
          <w:numId w:val="1"/>
        </w:numPr>
        <w:kinsoku w:val="0"/>
        <w:overflowPunct w:val="0"/>
        <w:snapToGrid w:val="0"/>
        <w:spacing w:beforeLines="50" w:line="360" w:lineRule="auto"/>
        <w:ind w:leftChars="200" w:left="1320" w:hangingChars="400" w:hanging="840"/>
        <w:jc w:val="both"/>
        <w:rPr>
          <w:sz w:val="21"/>
          <w:szCs w:val="21"/>
        </w:rPr>
      </w:pPr>
      <w:r w:rsidRPr="00EC3DB5">
        <w:rPr>
          <w:rFonts w:hAnsi="宋体" w:hint="eastAsia"/>
          <w:sz w:val="21"/>
          <w:szCs w:val="21"/>
        </w:rPr>
        <w:t>您必须使用风险评估作为适用性的基础，在</w:t>
      </w:r>
      <w:r w:rsidRPr="00EC3DB5">
        <w:rPr>
          <w:sz w:val="21"/>
          <w:szCs w:val="21"/>
        </w:rPr>
        <w:t>510</w:t>
      </w:r>
      <w:r w:rsidRPr="00EC3DB5">
        <w:rPr>
          <w:rFonts w:hAnsi="宋体" w:hint="eastAsia"/>
          <w:sz w:val="21"/>
          <w:szCs w:val="21"/>
        </w:rPr>
        <w:t>（</w:t>
      </w:r>
      <w:r w:rsidRPr="00EC3DB5">
        <w:rPr>
          <w:sz w:val="21"/>
          <w:szCs w:val="21"/>
        </w:rPr>
        <w:t>k</w:t>
      </w:r>
      <w:r w:rsidRPr="00EC3DB5">
        <w:rPr>
          <w:rFonts w:hAnsi="宋体" w:hint="eastAsia"/>
          <w:sz w:val="21"/>
          <w:szCs w:val="21"/>
        </w:rPr>
        <w:t>）中说明您计划如何通过就辅助试剂实施各种必要的控制以</w:t>
      </w:r>
      <w:r w:rsidR="00216DA8">
        <w:rPr>
          <w:rFonts w:hAnsi="宋体" w:hint="eastAsia"/>
          <w:sz w:val="21"/>
          <w:szCs w:val="21"/>
        </w:rPr>
        <w:t>缓解</w:t>
      </w:r>
      <w:r w:rsidRPr="00EC3DB5">
        <w:rPr>
          <w:rFonts w:hAnsi="宋体" w:hint="eastAsia"/>
          <w:sz w:val="21"/>
          <w:szCs w:val="21"/>
        </w:rPr>
        <w:t>风险。在适用的情况下，这其中可能包括：</w:t>
      </w:r>
    </w:p>
    <w:p w:rsidR="00FE0870" w:rsidRPr="00EC3DB5" w:rsidRDefault="00FE0870" w:rsidP="00D20CDC">
      <w:pPr>
        <w:pStyle w:val="a3"/>
        <w:numPr>
          <w:ilvl w:val="1"/>
          <w:numId w:val="1"/>
        </w:numPr>
        <w:kinsoku w:val="0"/>
        <w:overflowPunct w:val="0"/>
        <w:snapToGrid w:val="0"/>
        <w:spacing w:beforeLines="50" w:line="360" w:lineRule="auto"/>
        <w:ind w:leftChars="600" w:left="1864" w:hangingChars="202" w:hanging="424"/>
        <w:jc w:val="both"/>
        <w:rPr>
          <w:sz w:val="21"/>
          <w:szCs w:val="21"/>
        </w:rPr>
      </w:pPr>
      <w:r w:rsidRPr="00EC3DB5">
        <w:rPr>
          <w:rFonts w:hAnsi="宋体" w:hint="eastAsia"/>
          <w:sz w:val="21"/>
          <w:szCs w:val="21"/>
        </w:rPr>
        <w:t>用户标签，以确保适当地使用辅助试剂（进一步的讨论请参考</w:t>
      </w:r>
      <w:r w:rsidRPr="00EC3DB5">
        <w:rPr>
          <w:sz w:val="21"/>
          <w:szCs w:val="21"/>
        </w:rPr>
        <w:t>“</w:t>
      </w:r>
      <w:r w:rsidRPr="00EC3DB5">
        <w:rPr>
          <w:rFonts w:hAnsi="宋体" w:hint="eastAsia"/>
          <w:sz w:val="21"/>
          <w:szCs w:val="21"/>
        </w:rPr>
        <w:t>标签</w:t>
      </w:r>
      <w:r w:rsidRPr="00EC3DB5">
        <w:rPr>
          <w:sz w:val="21"/>
          <w:szCs w:val="21"/>
        </w:rPr>
        <w:t>”</w:t>
      </w:r>
      <w:r w:rsidRPr="00EC3DB5">
        <w:rPr>
          <w:rFonts w:hAnsi="宋体" w:hint="eastAsia"/>
          <w:sz w:val="21"/>
          <w:szCs w:val="21"/>
        </w:rPr>
        <w:t>）。</w:t>
      </w:r>
    </w:p>
    <w:p w:rsidR="00FE0870" w:rsidRPr="00EC3DB5" w:rsidRDefault="00FE0870" w:rsidP="00533E3F">
      <w:pPr>
        <w:pStyle w:val="a3"/>
        <w:numPr>
          <w:ilvl w:val="1"/>
          <w:numId w:val="1"/>
        </w:numPr>
        <w:kinsoku w:val="0"/>
        <w:overflowPunct w:val="0"/>
        <w:snapToGrid w:val="0"/>
        <w:spacing w:line="360" w:lineRule="auto"/>
        <w:ind w:leftChars="600" w:left="1864" w:hangingChars="202" w:hanging="424"/>
        <w:jc w:val="both"/>
        <w:rPr>
          <w:sz w:val="21"/>
          <w:szCs w:val="21"/>
        </w:rPr>
      </w:pPr>
      <w:r w:rsidRPr="00EC3DB5">
        <w:rPr>
          <w:rFonts w:hAnsi="宋体" w:hint="eastAsia"/>
          <w:sz w:val="21"/>
          <w:szCs w:val="21"/>
        </w:rPr>
        <w:t>评估用户遵守辅助试剂的标签说明的计划。</w:t>
      </w:r>
    </w:p>
    <w:p w:rsidR="00FE0870" w:rsidRPr="00EC3DB5" w:rsidRDefault="00FE0870" w:rsidP="00533E3F">
      <w:pPr>
        <w:pStyle w:val="a3"/>
        <w:numPr>
          <w:ilvl w:val="1"/>
          <w:numId w:val="1"/>
        </w:numPr>
        <w:kinsoku w:val="0"/>
        <w:overflowPunct w:val="0"/>
        <w:snapToGrid w:val="0"/>
        <w:spacing w:line="360" w:lineRule="auto"/>
        <w:ind w:leftChars="600" w:left="1864" w:hangingChars="202" w:hanging="424"/>
        <w:jc w:val="both"/>
        <w:rPr>
          <w:sz w:val="21"/>
          <w:szCs w:val="21"/>
        </w:rPr>
      </w:pPr>
      <w:r w:rsidRPr="00EC3DB5">
        <w:rPr>
          <w:rFonts w:hAnsi="宋体" w:hint="eastAsia"/>
          <w:sz w:val="21"/>
          <w:szCs w:val="21"/>
        </w:rPr>
        <w:t>辅助试剂的材料规格。</w:t>
      </w:r>
    </w:p>
    <w:p w:rsidR="00FE0870" w:rsidRPr="00EC3DB5" w:rsidRDefault="00FE0870" w:rsidP="00533E3F">
      <w:pPr>
        <w:pStyle w:val="a3"/>
        <w:numPr>
          <w:ilvl w:val="1"/>
          <w:numId w:val="1"/>
        </w:numPr>
        <w:kinsoku w:val="0"/>
        <w:overflowPunct w:val="0"/>
        <w:snapToGrid w:val="0"/>
        <w:spacing w:line="360" w:lineRule="auto"/>
        <w:ind w:leftChars="600" w:left="1864" w:hangingChars="202" w:hanging="424"/>
        <w:jc w:val="both"/>
        <w:rPr>
          <w:sz w:val="21"/>
          <w:szCs w:val="21"/>
        </w:rPr>
      </w:pPr>
      <w:r w:rsidRPr="00EC3DB5">
        <w:rPr>
          <w:rFonts w:hAnsi="宋体" w:hint="eastAsia"/>
          <w:sz w:val="21"/>
          <w:szCs w:val="21"/>
        </w:rPr>
        <w:t>确认试剂批次以保证您的器械的适当性能。</w:t>
      </w:r>
    </w:p>
    <w:p w:rsidR="00FE0870" w:rsidRPr="00EC3DB5" w:rsidRDefault="00FE0870" w:rsidP="00533E3F">
      <w:pPr>
        <w:pStyle w:val="a3"/>
        <w:numPr>
          <w:ilvl w:val="1"/>
          <w:numId w:val="1"/>
        </w:numPr>
        <w:kinsoku w:val="0"/>
        <w:overflowPunct w:val="0"/>
        <w:snapToGrid w:val="0"/>
        <w:spacing w:line="360" w:lineRule="auto"/>
        <w:ind w:leftChars="600" w:left="1864" w:hangingChars="202" w:hanging="424"/>
        <w:jc w:val="both"/>
        <w:rPr>
          <w:sz w:val="21"/>
          <w:szCs w:val="21"/>
        </w:rPr>
      </w:pPr>
      <w:r w:rsidRPr="00EC3DB5">
        <w:rPr>
          <w:rFonts w:hAnsi="宋体" w:hint="eastAsia"/>
          <w:sz w:val="21"/>
          <w:szCs w:val="21"/>
        </w:rPr>
        <w:t>稳定性试验。</w:t>
      </w:r>
    </w:p>
    <w:p w:rsidR="00FE0870" w:rsidRPr="00EC3DB5" w:rsidRDefault="00FE0870" w:rsidP="00533E3F">
      <w:pPr>
        <w:pStyle w:val="a3"/>
        <w:numPr>
          <w:ilvl w:val="1"/>
          <w:numId w:val="1"/>
        </w:numPr>
        <w:kinsoku w:val="0"/>
        <w:overflowPunct w:val="0"/>
        <w:snapToGrid w:val="0"/>
        <w:spacing w:line="360" w:lineRule="auto"/>
        <w:ind w:leftChars="600" w:left="1864" w:hangingChars="202" w:hanging="424"/>
        <w:jc w:val="both"/>
        <w:rPr>
          <w:sz w:val="21"/>
          <w:szCs w:val="21"/>
        </w:rPr>
      </w:pPr>
      <w:r w:rsidRPr="00EC3DB5">
        <w:rPr>
          <w:rFonts w:hAnsi="宋体" w:hint="eastAsia"/>
          <w:sz w:val="21"/>
          <w:szCs w:val="21"/>
        </w:rPr>
        <w:t>投诉处理。</w:t>
      </w:r>
    </w:p>
    <w:p w:rsidR="00FE0870" w:rsidRPr="00EC3DB5" w:rsidRDefault="00FE0870" w:rsidP="00533E3F">
      <w:pPr>
        <w:pStyle w:val="a3"/>
        <w:numPr>
          <w:ilvl w:val="1"/>
          <w:numId w:val="1"/>
        </w:numPr>
        <w:kinsoku w:val="0"/>
        <w:overflowPunct w:val="0"/>
        <w:snapToGrid w:val="0"/>
        <w:spacing w:line="360" w:lineRule="auto"/>
        <w:ind w:leftChars="600" w:left="1864" w:hangingChars="202" w:hanging="424"/>
        <w:jc w:val="both"/>
        <w:rPr>
          <w:sz w:val="21"/>
          <w:szCs w:val="21"/>
        </w:rPr>
      </w:pPr>
      <w:r w:rsidRPr="00EC3DB5">
        <w:rPr>
          <w:rFonts w:hAnsi="宋体" w:hint="eastAsia"/>
          <w:sz w:val="21"/>
          <w:szCs w:val="21"/>
        </w:rPr>
        <w:t>纠正和预防措施。</w:t>
      </w:r>
    </w:p>
    <w:p w:rsidR="00FE0870" w:rsidRPr="00EC3DB5" w:rsidRDefault="00FE0870" w:rsidP="00533E3F">
      <w:pPr>
        <w:pStyle w:val="a3"/>
        <w:numPr>
          <w:ilvl w:val="1"/>
          <w:numId w:val="1"/>
        </w:numPr>
        <w:kinsoku w:val="0"/>
        <w:overflowPunct w:val="0"/>
        <w:snapToGrid w:val="0"/>
        <w:spacing w:line="360" w:lineRule="auto"/>
        <w:ind w:leftChars="600" w:left="1864" w:hangingChars="202" w:hanging="424"/>
        <w:jc w:val="both"/>
        <w:rPr>
          <w:sz w:val="21"/>
          <w:szCs w:val="21"/>
        </w:rPr>
      </w:pPr>
      <w:r w:rsidRPr="00EC3DB5">
        <w:rPr>
          <w:rFonts w:hAnsi="宋体" w:hint="eastAsia"/>
          <w:sz w:val="21"/>
          <w:szCs w:val="21"/>
        </w:rPr>
        <w:t>提醒用户发生涉及辅助试剂的问题将影响试验性能的计划。</w:t>
      </w:r>
    </w:p>
    <w:p w:rsidR="00FE0870" w:rsidRPr="00EC3DB5" w:rsidRDefault="00FE0870" w:rsidP="00533E3F">
      <w:pPr>
        <w:pStyle w:val="a3"/>
        <w:numPr>
          <w:ilvl w:val="1"/>
          <w:numId w:val="1"/>
        </w:numPr>
        <w:kinsoku w:val="0"/>
        <w:overflowPunct w:val="0"/>
        <w:snapToGrid w:val="0"/>
        <w:spacing w:line="360" w:lineRule="auto"/>
        <w:ind w:leftChars="600" w:left="1864" w:hangingChars="202" w:hanging="424"/>
        <w:jc w:val="both"/>
        <w:rPr>
          <w:sz w:val="21"/>
          <w:szCs w:val="21"/>
        </w:rPr>
      </w:pPr>
      <w:r w:rsidRPr="00EC3DB5">
        <w:rPr>
          <w:rFonts w:hAnsi="宋体" w:hint="eastAsia"/>
          <w:sz w:val="21"/>
          <w:szCs w:val="21"/>
        </w:rPr>
        <w:t>根据您的器械使用说明应该要解决的任何其它问题，以确保安全有效地使用您的测试并结合指定的辅助试剂。</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此外，您还必须提供测试数据，以确定您提供或推荐的质量控制足以检测用辅助试剂的性能或稳定性问题。</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如果您有关于辅助试剂的标识、使用和控制的问题，请联系体外诊断和放射健康办公室的微生物学器械部。</w:t>
      </w:r>
    </w:p>
    <w:p w:rsidR="00FE0870" w:rsidRPr="00EC3DB5" w:rsidRDefault="00FE0870" w:rsidP="00D20CDC">
      <w:pPr>
        <w:pStyle w:val="3"/>
        <w:numPr>
          <w:ilvl w:val="1"/>
          <w:numId w:val="8"/>
        </w:numPr>
        <w:kinsoku w:val="0"/>
        <w:overflowPunct w:val="0"/>
        <w:snapToGrid w:val="0"/>
        <w:spacing w:beforeLines="50" w:line="360" w:lineRule="auto"/>
        <w:ind w:left="0" w:firstLine="0"/>
        <w:jc w:val="both"/>
        <w:rPr>
          <w:b w:val="0"/>
          <w:bCs w:val="0"/>
          <w:sz w:val="21"/>
          <w:szCs w:val="21"/>
        </w:rPr>
      </w:pPr>
      <w:bookmarkStart w:id="36" w:name="6.3_Test_Methodology"/>
      <w:bookmarkStart w:id="37" w:name="bookmark10"/>
      <w:bookmarkStart w:id="38" w:name="_Toc496797916"/>
      <w:bookmarkEnd w:id="36"/>
      <w:bookmarkEnd w:id="37"/>
      <w:r w:rsidRPr="00EC3DB5">
        <w:rPr>
          <w:rFonts w:hAnsi="宋体" w:hint="eastAsia"/>
          <w:sz w:val="21"/>
          <w:szCs w:val="21"/>
        </w:rPr>
        <w:t>测试</w:t>
      </w:r>
      <w:bookmarkEnd w:id="38"/>
      <w:r w:rsidR="00216DA8">
        <w:rPr>
          <w:rFonts w:hAnsi="宋体" w:hint="eastAsia"/>
          <w:sz w:val="21"/>
          <w:szCs w:val="21"/>
        </w:rPr>
        <w:t>方法</w:t>
      </w:r>
    </w:p>
    <w:p w:rsidR="00FE0870" w:rsidRPr="00EC3DB5" w:rsidRDefault="00FE0870" w:rsidP="00EC3DB5">
      <w:pPr>
        <w:pStyle w:val="a3"/>
        <w:kinsoku w:val="0"/>
        <w:overflowPunct w:val="0"/>
        <w:snapToGrid w:val="0"/>
        <w:spacing w:line="360" w:lineRule="auto"/>
        <w:ind w:left="0"/>
        <w:jc w:val="both"/>
        <w:rPr>
          <w:sz w:val="21"/>
          <w:szCs w:val="21"/>
        </w:rPr>
      </w:pPr>
      <w:r w:rsidRPr="00EC3DB5">
        <w:rPr>
          <w:sz w:val="21"/>
          <w:szCs w:val="21"/>
        </w:rPr>
        <w:br w:type="page"/>
      </w:r>
      <w:r w:rsidRPr="00EC3DB5">
        <w:rPr>
          <w:rFonts w:hAnsi="宋体" w:hint="eastAsia"/>
          <w:sz w:val="21"/>
          <w:szCs w:val="21"/>
        </w:rPr>
        <w:lastRenderedPageBreak/>
        <w:t>您必须详细地描述您的器械所使用的方法。这其中须包括对适用于您的器械的以下要素的描述：</w:t>
      </w:r>
    </w:p>
    <w:p w:rsidR="00FE0870" w:rsidRPr="00EC3DB5" w:rsidRDefault="00FE0870" w:rsidP="00D20CDC">
      <w:pPr>
        <w:pStyle w:val="a3"/>
        <w:numPr>
          <w:ilvl w:val="2"/>
          <w:numId w:val="8"/>
        </w:numPr>
        <w:kinsoku w:val="0"/>
        <w:overflowPunct w:val="0"/>
        <w:snapToGrid w:val="0"/>
        <w:spacing w:beforeLines="50" w:line="360" w:lineRule="auto"/>
        <w:ind w:leftChars="200" w:left="690" w:hangingChars="100" w:hanging="210"/>
        <w:jc w:val="both"/>
        <w:rPr>
          <w:sz w:val="21"/>
          <w:szCs w:val="21"/>
        </w:rPr>
      </w:pPr>
      <w:r w:rsidRPr="00EC3DB5">
        <w:rPr>
          <w:rFonts w:hAnsi="宋体" w:hint="eastAsia"/>
          <w:sz w:val="21"/>
          <w:szCs w:val="21"/>
        </w:rPr>
        <w:t>将使用的具体测试方法，例如：免疫测定或免疫层析程序等。</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将使用的免疫测定的类型，例如：竞争性和非竞争性等。</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对免疫测定所使用的可检测标记的描述，例如：酶促或荧光等。</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测定的限制因素，例如：移液、潜伏、清洗和混合等。</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标本类型、采集和处理方法。</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规定或推荐使用的试剂成分及其在系统内的功能（例如：固相载体、缓冲液、荧光染料、化学发光试剂、物质、偶联物和其他试剂等）。</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器械使用所涉及的仪器仪表，包括其组件及其在系统中的功能。</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自原始数据到报告结果的计算路径（例如：如何将原始信号转换为数值）（如适用）。其还将涉及针对背景信息的调整和规范化（如适用）。</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非标准</w:t>
      </w:r>
      <w:r w:rsidR="00216DA8">
        <w:rPr>
          <w:rFonts w:hAnsi="宋体" w:hint="eastAsia"/>
          <w:sz w:val="21"/>
          <w:szCs w:val="21"/>
        </w:rPr>
        <w:t>器械</w:t>
      </w:r>
      <w:r w:rsidRPr="00EC3DB5">
        <w:rPr>
          <w:rFonts w:hAnsi="宋体" w:hint="eastAsia"/>
          <w:sz w:val="21"/>
          <w:szCs w:val="21"/>
        </w:rPr>
        <w:t>或方法（如适用）的插图或照片。</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适用时，您必须描述器械解决或</w:t>
      </w:r>
      <w:r w:rsidR="00216DA8">
        <w:rPr>
          <w:rFonts w:hAnsi="宋体" w:hint="eastAsia"/>
          <w:sz w:val="21"/>
          <w:szCs w:val="21"/>
        </w:rPr>
        <w:t>缓解</w:t>
      </w:r>
      <w:r w:rsidRPr="00EC3DB5">
        <w:rPr>
          <w:rFonts w:hAnsi="宋体" w:hint="eastAsia"/>
          <w:sz w:val="21"/>
          <w:szCs w:val="21"/>
        </w:rPr>
        <w:t>与检测抗</w:t>
      </w:r>
      <w:r w:rsidRPr="00EC3DB5">
        <w:rPr>
          <w:sz w:val="21"/>
          <w:szCs w:val="21"/>
        </w:rPr>
        <w:t>JCV</w:t>
      </w:r>
      <w:r w:rsidRPr="00EC3DB5">
        <w:rPr>
          <w:rFonts w:hAnsi="宋体" w:hint="eastAsia"/>
          <w:sz w:val="21"/>
          <w:szCs w:val="21"/>
        </w:rPr>
        <w:t>抗体的免疫测定程序相关的风险的设计控制规范，诸如以下各项：</w:t>
      </w:r>
    </w:p>
    <w:p w:rsidR="00FE0870" w:rsidRPr="00EC3DB5" w:rsidRDefault="00FE0870" w:rsidP="00D20CDC">
      <w:pPr>
        <w:pStyle w:val="a3"/>
        <w:numPr>
          <w:ilvl w:val="2"/>
          <w:numId w:val="8"/>
        </w:numPr>
        <w:kinsoku w:val="0"/>
        <w:overflowPunct w:val="0"/>
        <w:snapToGrid w:val="0"/>
        <w:spacing w:beforeLines="50" w:line="360" w:lineRule="auto"/>
        <w:ind w:leftChars="200" w:left="690" w:hangingChars="100" w:hanging="210"/>
        <w:jc w:val="both"/>
        <w:rPr>
          <w:sz w:val="21"/>
          <w:szCs w:val="21"/>
        </w:rPr>
      </w:pPr>
      <w:r w:rsidRPr="00EC3DB5">
        <w:rPr>
          <w:rFonts w:hAnsi="宋体" w:hint="eastAsia"/>
          <w:sz w:val="21"/>
          <w:szCs w:val="21"/>
        </w:rPr>
        <w:t>尽可能地减少因污染或交叉反应性而产生的假阳性结果。</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建立或推荐用于抗原蛋白质提取和纯化的经验证方法。</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优化您的试剂和测试程序。</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您必须在</w:t>
      </w:r>
      <w:r w:rsidRPr="00EC3DB5">
        <w:rPr>
          <w:sz w:val="21"/>
          <w:szCs w:val="21"/>
        </w:rPr>
        <w:t>510</w:t>
      </w:r>
      <w:r w:rsidRPr="00EC3DB5">
        <w:rPr>
          <w:rFonts w:hAnsi="宋体" w:hint="eastAsia"/>
          <w:sz w:val="21"/>
          <w:szCs w:val="21"/>
        </w:rPr>
        <w:t>（</w:t>
      </w:r>
      <w:r w:rsidRPr="00EC3DB5">
        <w:rPr>
          <w:sz w:val="21"/>
          <w:szCs w:val="21"/>
        </w:rPr>
        <w:t>k</w:t>
      </w:r>
      <w:r w:rsidRPr="00EC3DB5">
        <w:rPr>
          <w:rFonts w:hAnsi="宋体" w:hint="eastAsia"/>
          <w:sz w:val="21"/>
          <w:szCs w:val="21"/>
        </w:rPr>
        <w:t>）中对器械的工作原理进行详细说明。您必须具体地描述测试条件、测试程序和旨在为可能会产生假阳性和假阴性结果，或可能会带来生物安全风险的条件提供保障的控制措施。这其中包括但不限于以下各项：</w:t>
      </w:r>
    </w:p>
    <w:p w:rsidR="00FE0870" w:rsidRPr="00EC3DB5" w:rsidRDefault="00FE0870" w:rsidP="00D20CDC">
      <w:pPr>
        <w:pStyle w:val="a3"/>
        <w:numPr>
          <w:ilvl w:val="2"/>
          <w:numId w:val="8"/>
        </w:numPr>
        <w:kinsoku w:val="0"/>
        <w:overflowPunct w:val="0"/>
        <w:snapToGrid w:val="0"/>
        <w:spacing w:beforeLines="50" w:line="360" w:lineRule="auto"/>
        <w:ind w:leftChars="200" w:left="690" w:hangingChars="100" w:hanging="210"/>
        <w:jc w:val="both"/>
        <w:rPr>
          <w:sz w:val="21"/>
          <w:szCs w:val="21"/>
        </w:rPr>
      </w:pPr>
      <w:r w:rsidRPr="00EC3DB5">
        <w:rPr>
          <w:rFonts w:hAnsi="宋体" w:hint="eastAsia"/>
          <w:sz w:val="21"/>
          <w:szCs w:val="21"/>
        </w:rPr>
        <w:t>对任何外部控制和</w:t>
      </w:r>
      <w:r w:rsidRPr="00EC3DB5">
        <w:rPr>
          <w:sz w:val="21"/>
          <w:szCs w:val="21"/>
        </w:rPr>
        <w:t>/</w:t>
      </w:r>
      <w:r w:rsidRPr="00EC3DB5">
        <w:rPr>
          <w:rFonts w:hAnsi="宋体" w:hint="eastAsia"/>
          <w:sz w:val="21"/>
          <w:szCs w:val="21"/>
        </w:rPr>
        <w:t>或内部控制的描述或建议（例如；</w:t>
      </w:r>
      <w:r w:rsidR="00216DA8">
        <w:rPr>
          <w:rFonts w:hAnsi="宋体" w:hint="eastAsia"/>
          <w:sz w:val="21"/>
          <w:szCs w:val="21"/>
        </w:rPr>
        <w:t>样本</w:t>
      </w:r>
      <w:r w:rsidRPr="00EC3DB5">
        <w:rPr>
          <w:rFonts w:hAnsi="宋体" w:hint="eastAsia"/>
          <w:sz w:val="21"/>
          <w:szCs w:val="21"/>
        </w:rPr>
        <w:t>阴性控制和</w:t>
      </w:r>
      <w:r w:rsidRPr="00EC3DB5">
        <w:rPr>
          <w:sz w:val="21"/>
          <w:szCs w:val="21"/>
        </w:rPr>
        <w:t>/</w:t>
      </w:r>
      <w:r w:rsidRPr="00EC3DB5">
        <w:rPr>
          <w:rFonts w:hAnsi="宋体" w:hint="eastAsia"/>
          <w:sz w:val="21"/>
          <w:szCs w:val="21"/>
        </w:rPr>
        <w:t>或监测测定性能的内部控制）。</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测试程序的总体设计，包括推荐测试程序中所包含的控制要素。</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监测对测定性能和检测产生不利影响的程序误差或因素（例如：试剂的退化）的特征和额外控制</w:t>
      </w:r>
    </w:p>
    <w:p w:rsidR="00FE0870" w:rsidRPr="00EC3DB5" w:rsidRDefault="00FE0870" w:rsidP="00D20CDC">
      <w:pPr>
        <w:pStyle w:val="2"/>
        <w:numPr>
          <w:ilvl w:val="0"/>
          <w:numId w:val="8"/>
        </w:numPr>
        <w:kinsoku w:val="0"/>
        <w:overflowPunct w:val="0"/>
        <w:snapToGrid w:val="0"/>
        <w:spacing w:beforeLines="50" w:line="360" w:lineRule="auto"/>
        <w:ind w:left="0" w:firstLine="0"/>
        <w:jc w:val="both"/>
        <w:rPr>
          <w:b w:val="0"/>
          <w:bCs w:val="0"/>
          <w:sz w:val="21"/>
          <w:szCs w:val="21"/>
        </w:rPr>
      </w:pPr>
      <w:bookmarkStart w:id="39" w:name="7._Performance_Characteristics"/>
      <w:bookmarkStart w:id="40" w:name="bookmark11"/>
      <w:bookmarkEnd w:id="39"/>
      <w:bookmarkEnd w:id="40"/>
      <w:r w:rsidRPr="00EC3DB5">
        <w:rPr>
          <w:sz w:val="21"/>
          <w:szCs w:val="21"/>
        </w:rPr>
        <w:br w:type="page"/>
      </w:r>
      <w:bookmarkStart w:id="41" w:name="_Toc496797917"/>
      <w:r w:rsidRPr="00EC3DB5">
        <w:rPr>
          <w:rFonts w:hAnsi="宋体" w:hint="eastAsia"/>
          <w:sz w:val="21"/>
          <w:szCs w:val="21"/>
        </w:rPr>
        <w:lastRenderedPageBreak/>
        <w:t>性能特性</w:t>
      </w:r>
      <w:bookmarkEnd w:id="41"/>
    </w:p>
    <w:p w:rsidR="00FE0870" w:rsidRPr="00EC3DB5" w:rsidRDefault="00FE0870" w:rsidP="00D20CDC">
      <w:pPr>
        <w:pStyle w:val="3"/>
        <w:numPr>
          <w:ilvl w:val="1"/>
          <w:numId w:val="8"/>
        </w:numPr>
        <w:kinsoku w:val="0"/>
        <w:overflowPunct w:val="0"/>
        <w:snapToGrid w:val="0"/>
        <w:spacing w:beforeLines="50" w:line="360" w:lineRule="auto"/>
        <w:ind w:left="0" w:firstLine="0"/>
        <w:jc w:val="both"/>
        <w:rPr>
          <w:b w:val="0"/>
          <w:bCs w:val="0"/>
          <w:sz w:val="21"/>
          <w:szCs w:val="21"/>
        </w:rPr>
      </w:pPr>
      <w:bookmarkStart w:id="42" w:name="7.1_General_Study_Recommendations"/>
      <w:bookmarkStart w:id="43" w:name="bookmark12"/>
      <w:bookmarkStart w:id="44" w:name="_Toc496797918"/>
      <w:bookmarkEnd w:id="42"/>
      <w:bookmarkEnd w:id="43"/>
      <w:r w:rsidRPr="00EC3DB5">
        <w:rPr>
          <w:rFonts w:hAnsi="宋体" w:hint="eastAsia"/>
          <w:sz w:val="21"/>
          <w:szCs w:val="21"/>
        </w:rPr>
        <w:t>一般研究的建议</w:t>
      </w:r>
      <w:bookmarkEnd w:id="44"/>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提供充足的数据和统计评价以确定该器械在性能特性方面是否实质等同。您必须提供数据以证实该器械的预期用途声明或证明其临床意义，并验证新技术的使用（如适用）。通常，测试地点必须能够代表提交人意欲销售该器械的地点，例如：临床实验室。</w:t>
      </w:r>
    </w:p>
    <w:p w:rsidR="00FE0870" w:rsidRPr="00EC3DB5" w:rsidRDefault="00FE0870" w:rsidP="00D20CDC">
      <w:pPr>
        <w:pStyle w:val="3"/>
        <w:numPr>
          <w:ilvl w:val="1"/>
          <w:numId w:val="8"/>
        </w:numPr>
        <w:kinsoku w:val="0"/>
        <w:overflowPunct w:val="0"/>
        <w:snapToGrid w:val="0"/>
        <w:spacing w:beforeLines="50" w:line="360" w:lineRule="auto"/>
        <w:ind w:left="0" w:firstLine="0"/>
        <w:jc w:val="both"/>
        <w:rPr>
          <w:b w:val="0"/>
          <w:bCs w:val="0"/>
          <w:sz w:val="21"/>
          <w:szCs w:val="21"/>
        </w:rPr>
      </w:pPr>
      <w:bookmarkStart w:id="45" w:name="7.2_Analytical_Studies"/>
      <w:bookmarkStart w:id="46" w:name="bookmark13"/>
      <w:bookmarkStart w:id="47" w:name="_Toc496797919"/>
      <w:bookmarkEnd w:id="45"/>
      <w:bookmarkEnd w:id="46"/>
      <w:r w:rsidRPr="00EC3DB5">
        <w:rPr>
          <w:rFonts w:hAnsi="宋体" w:hint="eastAsia"/>
          <w:sz w:val="21"/>
          <w:szCs w:val="21"/>
        </w:rPr>
        <w:t>分析性研究</w:t>
      </w:r>
      <w:bookmarkEnd w:id="47"/>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您必须在</w:t>
      </w:r>
      <w:r w:rsidRPr="00EC3DB5">
        <w:rPr>
          <w:sz w:val="21"/>
          <w:szCs w:val="21"/>
        </w:rPr>
        <w:t>510</w:t>
      </w:r>
      <w:r w:rsidRPr="00EC3DB5">
        <w:rPr>
          <w:rFonts w:hAnsi="宋体" w:hint="eastAsia"/>
          <w:sz w:val="21"/>
          <w:szCs w:val="21"/>
        </w:rPr>
        <w:t>（</w:t>
      </w:r>
      <w:r w:rsidRPr="00EC3DB5">
        <w:rPr>
          <w:sz w:val="21"/>
          <w:szCs w:val="21"/>
        </w:rPr>
        <w:t>k</w:t>
      </w:r>
      <w:r w:rsidRPr="00EC3DB5">
        <w:rPr>
          <w:rFonts w:hAnsi="宋体" w:hint="eastAsia"/>
          <w:sz w:val="21"/>
          <w:szCs w:val="21"/>
        </w:rPr>
        <w:t>）中详细论述您用于评价如下所述的各项性能特性的研究设计。必须使用器械的最终版本实施各项分析性能研究。</w:t>
      </w:r>
    </w:p>
    <w:p w:rsidR="00FE0870" w:rsidRPr="00EC3DB5" w:rsidRDefault="00FE0870" w:rsidP="00D20CDC">
      <w:pPr>
        <w:pStyle w:val="3"/>
        <w:numPr>
          <w:ilvl w:val="2"/>
          <w:numId w:val="6"/>
        </w:numPr>
        <w:kinsoku w:val="0"/>
        <w:overflowPunct w:val="0"/>
        <w:snapToGrid w:val="0"/>
        <w:spacing w:beforeLines="50" w:line="360" w:lineRule="auto"/>
        <w:ind w:left="0" w:firstLine="0"/>
        <w:jc w:val="both"/>
        <w:rPr>
          <w:b w:val="0"/>
          <w:bCs w:val="0"/>
          <w:sz w:val="21"/>
          <w:szCs w:val="21"/>
        </w:rPr>
      </w:pPr>
      <w:bookmarkStart w:id="48" w:name="7.2.1_Assay_Cut-off"/>
      <w:bookmarkStart w:id="49" w:name="bookmark14"/>
      <w:bookmarkStart w:id="50" w:name="_Toc496797920"/>
      <w:bookmarkEnd w:id="48"/>
      <w:bookmarkEnd w:id="49"/>
      <w:r w:rsidRPr="00EC3DB5">
        <w:rPr>
          <w:rFonts w:hAnsi="宋体" w:hint="eastAsia"/>
          <w:sz w:val="21"/>
          <w:szCs w:val="21"/>
        </w:rPr>
        <w:t>测定</w:t>
      </w:r>
      <w:bookmarkEnd w:id="50"/>
      <w:r w:rsidR="00254EC3">
        <w:rPr>
          <w:rFonts w:hAnsi="宋体" w:hint="eastAsia"/>
          <w:sz w:val="21"/>
          <w:szCs w:val="21"/>
        </w:rPr>
        <w:t>临界值</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您必须提供数据并说明如何确定测定</w:t>
      </w:r>
      <w:r w:rsidR="00254EC3">
        <w:rPr>
          <w:rFonts w:hAnsi="宋体" w:hint="eastAsia"/>
          <w:sz w:val="21"/>
          <w:szCs w:val="21"/>
        </w:rPr>
        <w:t>临界值</w:t>
      </w:r>
      <w:r w:rsidRPr="00EC3DB5">
        <w:rPr>
          <w:rFonts w:hAnsi="宋体" w:hint="eastAsia"/>
          <w:sz w:val="21"/>
          <w:szCs w:val="21"/>
        </w:rPr>
        <w:t>及如何在临床上对其进行验证。必须在</w:t>
      </w:r>
      <w:r w:rsidRPr="00EC3DB5">
        <w:rPr>
          <w:sz w:val="21"/>
          <w:szCs w:val="21"/>
        </w:rPr>
        <w:t>510</w:t>
      </w:r>
      <w:r w:rsidRPr="00EC3DB5">
        <w:rPr>
          <w:rFonts w:hAnsi="宋体" w:hint="eastAsia"/>
          <w:sz w:val="21"/>
          <w:szCs w:val="21"/>
        </w:rPr>
        <w:t>（</w:t>
      </w:r>
      <w:r w:rsidRPr="00EC3DB5">
        <w:rPr>
          <w:sz w:val="21"/>
          <w:szCs w:val="21"/>
        </w:rPr>
        <w:t>k</w:t>
      </w:r>
      <w:r w:rsidRPr="00EC3DB5">
        <w:rPr>
          <w:rFonts w:hAnsi="宋体" w:hint="eastAsia"/>
          <w:sz w:val="21"/>
          <w:szCs w:val="21"/>
        </w:rPr>
        <w:t>）中说明如何确定阳性、阴性、无效或不确定的（若适用）结果及应如何对其进行解读。必须在</w:t>
      </w:r>
      <w:r w:rsidRPr="00EC3DB5">
        <w:rPr>
          <w:sz w:val="21"/>
          <w:szCs w:val="21"/>
        </w:rPr>
        <w:t>510</w:t>
      </w:r>
      <w:r w:rsidRPr="00EC3DB5">
        <w:rPr>
          <w:rFonts w:hAnsi="宋体" w:hint="eastAsia"/>
          <w:sz w:val="21"/>
          <w:szCs w:val="21"/>
        </w:rPr>
        <w:t>（</w:t>
      </w:r>
      <w:r w:rsidRPr="00EC3DB5">
        <w:rPr>
          <w:sz w:val="21"/>
          <w:szCs w:val="21"/>
        </w:rPr>
        <w:t>k</w:t>
      </w:r>
      <w:r w:rsidRPr="00EC3DB5">
        <w:rPr>
          <w:rFonts w:hAnsi="宋体" w:hint="eastAsia"/>
          <w:sz w:val="21"/>
          <w:szCs w:val="21"/>
        </w:rPr>
        <w:t>）的提交文件中，提供该器械所有输出的某一信号的</w:t>
      </w:r>
      <w:r w:rsidR="00254EC3">
        <w:rPr>
          <w:rFonts w:hAnsi="宋体" w:hint="eastAsia"/>
          <w:sz w:val="21"/>
          <w:szCs w:val="21"/>
        </w:rPr>
        <w:t>临界值</w:t>
      </w:r>
      <w:r w:rsidRPr="00EC3DB5">
        <w:rPr>
          <w:rFonts w:hAnsi="宋体" w:hint="eastAsia"/>
          <w:sz w:val="21"/>
          <w:szCs w:val="21"/>
        </w:rPr>
        <w:t>。作为这一操作的一部分，您必须：</w:t>
      </w:r>
    </w:p>
    <w:p w:rsidR="00FE0870" w:rsidRPr="00EC3DB5" w:rsidRDefault="00FE0870" w:rsidP="00D20CDC">
      <w:pPr>
        <w:pStyle w:val="a3"/>
        <w:numPr>
          <w:ilvl w:val="2"/>
          <w:numId w:val="8"/>
        </w:numPr>
        <w:kinsoku w:val="0"/>
        <w:overflowPunct w:val="0"/>
        <w:snapToGrid w:val="0"/>
        <w:spacing w:beforeLines="50" w:line="360" w:lineRule="auto"/>
        <w:ind w:leftChars="200" w:left="690" w:hangingChars="100" w:hanging="210"/>
        <w:jc w:val="both"/>
        <w:rPr>
          <w:sz w:val="21"/>
          <w:szCs w:val="21"/>
        </w:rPr>
      </w:pPr>
      <w:r w:rsidRPr="00EC3DB5">
        <w:rPr>
          <w:rFonts w:hAnsi="宋体" w:hint="eastAsia"/>
          <w:sz w:val="21"/>
          <w:szCs w:val="21"/>
        </w:rPr>
        <w:t>提供定义该器械的阴性结果的</w:t>
      </w:r>
      <w:r w:rsidR="00254EC3">
        <w:rPr>
          <w:rFonts w:hAnsi="宋体" w:hint="eastAsia"/>
          <w:sz w:val="21"/>
          <w:szCs w:val="21"/>
        </w:rPr>
        <w:t>临界值</w:t>
      </w:r>
      <w:r w:rsidRPr="00EC3DB5">
        <w:rPr>
          <w:rFonts w:hAnsi="宋体" w:hint="eastAsia"/>
          <w:sz w:val="21"/>
          <w:szCs w:val="21"/>
        </w:rPr>
        <w:t>。若该器械只有两种输出（阴性</w:t>
      </w:r>
      <w:r w:rsidRPr="00EC3DB5">
        <w:rPr>
          <w:sz w:val="21"/>
          <w:szCs w:val="21"/>
        </w:rPr>
        <w:t>/</w:t>
      </w:r>
      <w:r w:rsidRPr="00EC3DB5">
        <w:rPr>
          <w:rFonts w:hAnsi="宋体" w:hint="eastAsia"/>
          <w:sz w:val="21"/>
          <w:szCs w:val="21"/>
        </w:rPr>
        <w:t>阳性），则该</w:t>
      </w:r>
      <w:r w:rsidR="00254EC3">
        <w:rPr>
          <w:rFonts w:hAnsi="宋体" w:hint="eastAsia"/>
          <w:sz w:val="21"/>
          <w:szCs w:val="21"/>
        </w:rPr>
        <w:t>临界值</w:t>
      </w:r>
      <w:r w:rsidRPr="00EC3DB5">
        <w:rPr>
          <w:rFonts w:hAnsi="宋体" w:hint="eastAsia"/>
          <w:sz w:val="21"/>
          <w:szCs w:val="21"/>
        </w:rPr>
        <w:t>也能够定义该器械的阳性结果。</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若该器械存在不确定区域，则说明如何确定</w:t>
      </w:r>
      <w:r w:rsidR="00254EC3">
        <w:rPr>
          <w:rFonts w:hAnsi="宋体" w:hint="eastAsia"/>
          <w:sz w:val="21"/>
          <w:szCs w:val="21"/>
        </w:rPr>
        <w:t>临界值</w:t>
      </w:r>
      <w:r w:rsidRPr="00EC3DB5">
        <w:rPr>
          <w:rFonts w:hAnsi="宋体" w:hint="eastAsia"/>
          <w:sz w:val="21"/>
          <w:szCs w:val="21"/>
        </w:rPr>
        <w:t>及如何规定该不确定区域的</w:t>
      </w:r>
      <w:r w:rsidR="00254EC3">
        <w:rPr>
          <w:rFonts w:hAnsi="宋体" w:hint="eastAsia"/>
          <w:sz w:val="21"/>
          <w:szCs w:val="21"/>
        </w:rPr>
        <w:t>临界值</w:t>
      </w:r>
      <w:r w:rsidRPr="00EC3DB5">
        <w:rPr>
          <w:rFonts w:hAnsi="宋体" w:hint="eastAsia"/>
          <w:sz w:val="21"/>
          <w:szCs w:val="21"/>
        </w:rPr>
        <w:t>（限值）。</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若您对原始不确定结果的解读需要重新测试或需要应用验证性测定，则提供一种结合原始不确定结果和验证性测定结果定义最终结果的算法（注意：应在开始临床研究之前建立这一算法）。</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若器械的其中一项最终输出可能是一项可疑结果，则说明在取得该可疑结果后如何对其进行跟进并提供建议。</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若器械存在</w:t>
      </w:r>
      <w:r w:rsidRPr="00EC3DB5">
        <w:rPr>
          <w:sz w:val="21"/>
          <w:szCs w:val="21"/>
        </w:rPr>
        <w:t>“</w:t>
      </w:r>
      <w:r w:rsidRPr="00EC3DB5">
        <w:rPr>
          <w:rFonts w:hAnsi="宋体" w:hint="eastAsia"/>
          <w:sz w:val="21"/>
          <w:szCs w:val="21"/>
        </w:rPr>
        <w:t>无效</w:t>
      </w:r>
      <w:r w:rsidRPr="00EC3DB5">
        <w:rPr>
          <w:sz w:val="21"/>
          <w:szCs w:val="21"/>
        </w:rPr>
        <w:t>”</w:t>
      </w:r>
      <w:r w:rsidRPr="00EC3DB5">
        <w:rPr>
          <w:rFonts w:hAnsi="宋体" w:hint="eastAsia"/>
          <w:sz w:val="21"/>
          <w:szCs w:val="21"/>
        </w:rPr>
        <w:t>结果，则说明如何界定无效结果。如果内部控制是无效结果确定的一部分，则必须对对照结果的各种可能的组合进行解释。并就如何对无效结果进行跟进提供建议。</w:t>
      </w:r>
    </w:p>
    <w:p w:rsidR="00FE0870" w:rsidRPr="00EC3DB5" w:rsidRDefault="00216DA8" w:rsidP="00D20CDC">
      <w:pPr>
        <w:pStyle w:val="3"/>
        <w:numPr>
          <w:ilvl w:val="2"/>
          <w:numId w:val="6"/>
        </w:numPr>
        <w:kinsoku w:val="0"/>
        <w:overflowPunct w:val="0"/>
        <w:snapToGrid w:val="0"/>
        <w:spacing w:beforeLines="50" w:line="360" w:lineRule="auto"/>
        <w:ind w:left="0" w:firstLine="0"/>
        <w:jc w:val="both"/>
        <w:rPr>
          <w:b w:val="0"/>
          <w:bCs w:val="0"/>
          <w:sz w:val="21"/>
          <w:szCs w:val="21"/>
        </w:rPr>
      </w:pPr>
      <w:bookmarkStart w:id="51" w:name="7.2.2_Precision_Testing"/>
      <w:bookmarkStart w:id="52" w:name="bookmark15"/>
      <w:bookmarkStart w:id="53" w:name="_Toc496797921"/>
      <w:bookmarkEnd w:id="51"/>
      <w:bookmarkEnd w:id="52"/>
      <w:r>
        <w:rPr>
          <w:rFonts w:hAnsi="宋体" w:hint="eastAsia"/>
          <w:sz w:val="21"/>
          <w:szCs w:val="21"/>
        </w:rPr>
        <w:t>精密度</w:t>
      </w:r>
      <w:r w:rsidR="00FE0870" w:rsidRPr="00EC3DB5">
        <w:rPr>
          <w:rFonts w:hAnsi="宋体" w:hint="eastAsia"/>
          <w:sz w:val="21"/>
          <w:szCs w:val="21"/>
        </w:rPr>
        <w:t>检测</w:t>
      </w:r>
      <w:bookmarkEnd w:id="53"/>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您必须提供数据对器械的</w:t>
      </w:r>
      <w:r w:rsidR="00216DA8">
        <w:rPr>
          <w:rFonts w:hAnsi="宋体" w:hint="eastAsia"/>
          <w:sz w:val="21"/>
          <w:szCs w:val="21"/>
        </w:rPr>
        <w:t>精密度</w:t>
      </w:r>
      <w:r w:rsidRPr="00EC3DB5">
        <w:rPr>
          <w:rFonts w:hAnsi="宋体" w:hint="eastAsia"/>
          <w:sz w:val="21"/>
          <w:szCs w:val="21"/>
        </w:rPr>
        <w:t>进行评估（即：可重复性</w:t>
      </w:r>
      <w:r w:rsidRPr="00EC3DB5">
        <w:rPr>
          <w:sz w:val="21"/>
          <w:szCs w:val="21"/>
        </w:rPr>
        <w:t>/</w:t>
      </w:r>
      <w:r w:rsidRPr="00EC3DB5">
        <w:rPr>
          <w:rFonts w:hAnsi="宋体" w:hint="eastAsia"/>
          <w:sz w:val="21"/>
          <w:szCs w:val="21"/>
        </w:rPr>
        <w:t>再现性）。临床和实验室标准研究所（</w:t>
      </w:r>
      <w:r w:rsidRPr="00EC3DB5">
        <w:rPr>
          <w:sz w:val="21"/>
          <w:szCs w:val="21"/>
        </w:rPr>
        <w:t>CLSI</w:t>
      </w:r>
      <w:r w:rsidRPr="00EC3DB5">
        <w:rPr>
          <w:rFonts w:hAnsi="宋体" w:hint="eastAsia"/>
          <w:sz w:val="21"/>
          <w:szCs w:val="21"/>
        </w:rPr>
        <w:t>）文件，</w:t>
      </w:r>
      <w:r w:rsidRPr="00EC3DB5">
        <w:rPr>
          <w:sz w:val="21"/>
          <w:szCs w:val="21"/>
        </w:rPr>
        <w:t>“</w:t>
      </w:r>
      <w:r w:rsidRPr="00EC3DB5">
        <w:rPr>
          <w:rFonts w:hAnsi="宋体" w:hint="eastAsia"/>
          <w:sz w:val="21"/>
          <w:szCs w:val="21"/>
        </w:rPr>
        <w:t>临床化学器械的精确性评价</w:t>
      </w:r>
      <w:r w:rsidRPr="00EC3DB5">
        <w:rPr>
          <w:sz w:val="21"/>
          <w:szCs w:val="21"/>
        </w:rPr>
        <w:t>”</w:t>
      </w:r>
      <w:r w:rsidRPr="00EC3DB5">
        <w:rPr>
          <w:rFonts w:hAnsi="宋体" w:hint="eastAsia"/>
          <w:sz w:val="21"/>
          <w:szCs w:val="21"/>
        </w:rPr>
        <w:t>（</w:t>
      </w:r>
      <w:r w:rsidRPr="00EC3DB5">
        <w:rPr>
          <w:sz w:val="21"/>
          <w:szCs w:val="21"/>
        </w:rPr>
        <w:t xml:space="preserve">CLSI </w:t>
      </w:r>
      <w:r w:rsidRPr="00EC3DB5">
        <w:rPr>
          <w:rFonts w:hAnsi="宋体" w:hint="eastAsia"/>
          <w:sz w:val="21"/>
          <w:szCs w:val="21"/>
        </w:rPr>
        <w:t>文件</w:t>
      </w:r>
      <w:r w:rsidRPr="00EC3DB5">
        <w:rPr>
          <w:sz w:val="21"/>
          <w:szCs w:val="21"/>
        </w:rPr>
        <w:t xml:space="preserve"> EP05-A2</w:t>
      </w:r>
      <w:r w:rsidRPr="00EC3DB5">
        <w:rPr>
          <w:rFonts w:hAnsi="宋体" w:hint="eastAsia"/>
          <w:sz w:val="21"/>
          <w:szCs w:val="21"/>
        </w:rPr>
        <w:t>）【参考</w:t>
      </w:r>
      <w:r w:rsidRPr="00EC3DB5">
        <w:rPr>
          <w:sz w:val="21"/>
          <w:szCs w:val="21"/>
        </w:rPr>
        <w:t xml:space="preserve"> 9</w:t>
      </w:r>
      <w:r w:rsidRPr="00EC3DB5">
        <w:rPr>
          <w:rFonts w:hAnsi="宋体" w:hint="eastAsia"/>
          <w:sz w:val="21"/>
          <w:szCs w:val="21"/>
        </w:rPr>
        <w:t>】、</w:t>
      </w:r>
      <w:r w:rsidRPr="00EC3DB5">
        <w:rPr>
          <w:sz w:val="21"/>
          <w:szCs w:val="21"/>
        </w:rPr>
        <w:t>“</w:t>
      </w:r>
      <w:r w:rsidR="00216DA8">
        <w:rPr>
          <w:rFonts w:hAnsi="宋体" w:hint="eastAsia"/>
          <w:sz w:val="21"/>
          <w:szCs w:val="21"/>
        </w:rPr>
        <w:t>精密度</w:t>
      </w:r>
      <w:r w:rsidRPr="00EC3DB5">
        <w:rPr>
          <w:rFonts w:hAnsi="宋体" w:hint="eastAsia"/>
          <w:sz w:val="21"/>
          <w:szCs w:val="21"/>
        </w:rPr>
        <w:t>和真实性性能的用户验证</w:t>
      </w:r>
      <w:r w:rsidRPr="00EC3DB5">
        <w:rPr>
          <w:sz w:val="21"/>
          <w:szCs w:val="21"/>
        </w:rPr>
        <w:t>”</w:t>
      </w:r>
      <w:r w:rsidRPr="00EC3DB5">
        <w:rPr>
          <w:rFonts w:hAnsi="宋体" w:hint="eastAsia"/>
          <w:sz w:val="21"/>
          <w:szCs w:val="21"/>
        </w:rPr>
        <w:t>（</w:t>
      </w:r>
      <w:r w:rsidRPr="00EC3DB5">
        <w:rPr>
          <w:sz w:val="21"/>
          <w:szCs w:val="21"/>
        </w:rPr>
        <w:t xml:space="preserve">CLSI </w:t>
      </w:r>
      <w:r w:rsidRPr="00EC3DB5">
        <w:rPr>
          <w:rFonts w:hAnsi="宋体" w:hint="eastAsia"/>
          <w:sz w:val="21"/>
          <w:szCs w:val="21"/>
        </w:rPr>
        <w:t>文件</w:t>
      </w:r>
      <w:r w:rsidRPr="00EC3DB5">
        <w:rPr>
          <w:sz w:val="21"/>
          <w:szCs w:val="21"/>
        </w:rPr>
        <w:t>EP15-A</w:t>
      </w:r>
      <w:r w:rsidRPr="00EC3DB5">
        <w:rPr>
          <w:rFonts w:hAnsi="宋体" w:hint="eastAsia"/>
          <w:sz w:val="21"/>
          <w:szCs w:val="21"/>
        </w:rPr>
        <w:t>）【参考</w:t>
      </w:r>
      <w:r w:rsidRPr="00EC3DB5">
        <w:rPr>
          <w:sz w:val="21"/>
          <w:szCs w:val="21"/>
        </w:rPr>
        <w:t>10</w:t>
      </w:r>
      <w:r w:rsidRPr="00EC3DB5">
        <w:rPr>
          <w:rFonts w:hAnsi="宋体" w:hint="eastAsia"/>
          <w:sz w:val="21"/>
          <w:szCs w:val="21"/>
        </w:rPr>
        <w:t>】和</w:t>
      </w:r>
      <w:r w:rsidRPr="00EC3DB5">
        <w:rPr>
          <w:sz w:val="21"/>
          <w:szCs w:val="21"/>
        </w:rPr>
        <w:t>“</w:t>
      </w:r>
      <w:r w:rsidRPr="00EC3DB5">
        <w:rPr>
          <w:rFonts w:hAnsi="宋体" w:hint="eastAsia"/>
          <w:sz w:val="21"/>
          <w:szCs w:val="21"/>
        </w:rPr>
        <w:t>定性试验性能评价的用户协议</w:t>
      </w:r>
      <w:r w:rsidRPr="00EC3DB5">
        <w:rPr>
          <w:sz w:val="21"/>
          <w:szCs w:val="21"/>
        </w:rPr>
        <w:t>”</w:t>
      </w:r>
      <w:r w:rsidRPr="00EC3DB5">
        <w:rPr>
          <w:rFonts w:hAnsi="宋体" w:hint="eastAsia"/>
          <w:sz w:val="21"/>
          <w:szCs w:val="21"/>
        </w:rPr>
        <w:t>（</w:t>
      </w:r>
      <w:r w:rsidRPr="00EC3DB5">
        <w:rPr>
          <w:sz w:val="21"/>
          <w:szCs w:val="21"/>
        </w:rPr>
        <w:t xml:space="preserve">CLSI </w:t>
      </w:r>
      <w:r w:rsidRPr="00EC3DB5">
        <w:rPr>
          <w:rFonts w:hAnsi="宋体" w:hint="eastAsia"/>
          <w:sz w:val="21"/>
          <w:szCs w:val="21"/>
        </w:rPr>
        <w:t>文件</w:t>
      </w:r>
      <w:r w:rsidRPr="00EC3DB5">
        <w:rPr>
          <w:sz w:val="21"/>
          <w:szCs w:val="21"/>
        </w:rPr>
        <w:t>EP12-A2</w:t>
      </w:r>
      <w:r w:rsidRPr="00EC3DB5">
        <w:rPr>
          <w:rFonts w:hAnsi="宋体" w:hint="eastAsia"/>
          <w:sz w:val="21"/>
          <w:szCs w:val="21"/>
        </w:rPr>
        <w:t>）【参考</w:t>
      </w:r>
      <w:r w:rsidRPr="00EC3DB5">
        <w:rPr>
          <w:sz w:val="21"/>
          <w:szCs w:val="21"/>
        </w:rPr>
        <w:t>11</w:t>
      </w:r>
      <w:r w:rsidRPr="00EC3DB5">
        <w:rPr>
          <w:rFonts w:hAnsi="宋体" w:hint="eastAsia"/>
          <w:sz w:val="21"/>
          <w:szCs w:val="21"/>
        </w:rPr>
        <w:t>】包含可能有助于建立</w:t>
      </w:r>
      <w:r w:rsidR="00216DA8">
        <w:rPr>
          <w:rFonts w:hAnsi="宋体" w:hint="eastAsia"/>
          <w:sz w:val="21"/>
          <w:szCs w:val="21"/>
        </w:rPr>
        <w:t>精密度</w:t>
      </w:r>
      <w:r w:rsidRPr="00EC3DB5">
        <w:rPr>
          <w:rFonts w:hAnsi="宋体" w:hint="eastAsia"/>
          <w:sz w:val="21"/>
          <w:szCs w:val="21"/>
        </w:rPr>
        <w:t>研究的实验设计、计算和结果呈现格式的建议。您必须识别测定差异性来源，并将其纳入到</w:t>
      </w:r>
      <w:r w:rsidR="00216DA8">
        <w:rPr>
          <w:rFonts w:hAnsi="宋体" w:hint="eastAsia"/>
          <w:sz w:val="21"/>
          <w:szCs w:val="21"/>
        </w:rPr>
        <w:t>精密度</w:t>
      </w:r>
      <w:r w:rsidRPr="00EC3DB5">
        <w:rPr>
          <w:rFonts w:hAnsi="宋体" w:hint="eastAsia"/>
          <w:sz w:val="21"/>
          <w:szCs w:val="21"/>
        </w:rPr>
        <w:t>研究中。</w:t>
      </w:r>
      <w:r w:rsidRPr="00EC3DB5">
        <w:rPr>
          <w:rFonts w:hAnsi="宋体" w:hint="eastAsia"/>
          <w:sz w:val="21"/>
          <w:szCs w:val="21"/>
        </w:rPr>
        <w:lastRenderedPageBreak/>
        <w:t>必须使用器械的数值（例如：</w:t>
      </w:r>
      <w:r w:rsidR="00254EC3">
        <w:rPr>
          <w:rFonts w:hAnsi="宋体" w:hint="eastAsia"/>
          <w:sz w:val="21"/>
          <w:szCs w:val="21"/>
        </w:rPr>
        <w:t>临界值</w:t>
      </w:r>
      <w:r w:rsidRPr="00EC3DB5">
        <w:rPr>
          <w:rFonts w:hAnsi="宋体" w:hint="eastAsia"/>
          <w:sz w:val="21"/>
          <w:szCs w:val="21"/>
        </w:rPr>
        <w:t>的信号）和定性值（例如：阳性、阴性）对数据进行分析。</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您必须进行实验室内的</w:t>
      </w:r>
      <w:r w:rsidR="00216DA8">
        <w:rPr>
          <w:rFonts w:hAnsi="宋体" w:hint="eastAsia"/>
          <w:sz w:val="21"/>
          <w:szCs w:val="21"/>
        </w:rPr>
        <w:t>精密度</w:t>
      </w:r>
      <w:r w:rsidRPr="00EC3DB5">
        <w:rPr>
          <w:rFonts w:hAnsi="宋体" w:hint="eastAsia"/>
          <w:sz w:val="21"/>
          <w:szCs w:val="21"/>
        </w:rPr>
        <w:t>测试（即：在制造商场所）。若该器械预期仅在一间实验室中使用，则应包含来自该实验室的多名</w:t>
      </w:r>
      <w:r w:rsidR="00216DA8">
        <w:rPr>
          <w:rFonts w:hAnsi="宋体" w:hint="eastAsia"/>
          <w:sz w:val="21"/>
          <w:szCs w:val="21"/>
        </w:rPr>
        <w:t>操作员</w:t>
      </w:r>
      <w:r w:rsidRPr="00EC3DB5">
        <w:rPr>
          <w:rFonts w:hAnsi="宋体" w:hint="eastAsia"/>
          <w:sz w:val="21"/>
          <w:szCs w:val="21"/>
        </w:rPr>
        <w:t>。对重现性（批内分析不精密度），批间、日间和操作员间的不精密度分量进行评估。</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若该器械预期将在不止一间实验室中使用，则必须在三不同的地点（至少</w:t>
      </w:r>
      <w:r w:rsidRPr="00EC3DB5">
        <w:rPr>
          <w:sz w:val="21"/>
          <w:szCs w:val="21"/>
        </w:rPr>
        <w:t>2</w:t>
      </w:r>
      <w:r w:rsidRPr="00EC3DB5">
        <w:rPr>
          <w:rFonts w:hAnsi="宋体" w:hint="eastAsia"/>
          <w:sz w:val="21"/>
          <w:szCs w:val="21"/>
        </w:rPr>
        <w:t>个外部地点）实施重现性研究。针对这三个地点，对每一地点的</w:t>
      </w:r>
      <w:r w:rsidR="00216DA8">
        <w:rPr>
          <w:rFonts w:hAnsi="宋体" w:hint="eastAsia"/>
          <w:sz w:val="21"/>
          <w:szCs w:val="21"/>
        </w:rPr>
        <w:t>精密度</w:t>
      </w:r>
      <w:r w:rsidRPr="00EC3DB5">
        <w:rPr>
          <w:rFonts w:hAnsi="宋体" w:hint="eastAsia"/>
          <w:sz w:val="21"/>
          <w:szCs w:val="21"/>
        </w:rPr>
        <w:t>进行评价，并提供其重现性（批内分析不精密度），批间、日间和操作员间等不精密度分量。此外，还应使用合适的不精密度分量和站点间的分量提供综合数据的精密度。</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您必须使用患者样本、测定校准品和您提供或推荐用于该器械的质量控制材料进行这一表征。必须对相关浓度下的精密度进行评估，包括靠近医学诊断点的浓度（例如：在检测限处）。测试组必须包含至少三种</w:t>
      </w:r>
      <w:r w:rsidR="00216DA8">
        <w:rPr>
          <w:rFonts w:hAnsi="宋体" w:hint="eastAsia"/>
          <w:sz w:val="21"/>
          <w:szCs w:val="21"/>
        </w:rPr>
        <w:t>样本</w:t>
      </w:r>
      <w:r w:rsidRPr="00EC3DB5">
        <w:rPr>
          <w:rFonts w:hAnsi="宋体" w:hint="eastAsia"/>
          <w:sz w:val="21"/>
          <w:szCs w:val="21"/>
        </w:rPr>
        <w:t>：</w:t>
      </w:r>
    </w:p>
    <w:p w:rsidR="00FE0870" w:rsidRPr="00EC3DB5" w:rsidRDefault="00FE0870" w:rsidP="00D20CDC">
      <w:pPr>
        <w:pStyle w:val="a3"/>
        <w:numPr>
          <w:ilvl w:val="2"/>
          <w:numId w:val="8"/>
        </w:numPr>
        <w:kinsoku w:val="0"/>
        <w:overflowPunct w:val="0"/>
        <w:snapToGrid w:val="0"/>
        <w:spacing w:beforeLines="50" w:line="360" w:lineRule="auto"/>
        <w:ind w:leftChars="200" w:left="690" w:hangingChars="100" w:hanging="210"/>
        <w:jc w:val="both"/>
        <w:rPr>
          <w:sz w:val="21"/>
          <w:szCs w:val="21"/>
        </w:rPr>
      </w:pPr>
      <w:r w:rsidRPr="00EC3DB5">
        <w:rPr>
          <w:sz w:val="21"/>
          <w:szCs w:val="21"/>
        </w:rPr>
        <w:t xml:space="preserve"> “</w:t>
      </w:r>
      <w:r w:rsidRPr="00EC3DB5">
        <w:rPr>
          <w:rFonts w:hAnsi="宋体" w:hint="eastAsia"/>
          <w:sz w:val="21"/>
          <w:szCs w:val="21"/>
        </w:rPr>
        <w:t>高阴性</w:t>
      </w:r>
      <w:r w:rsidRPr="00EC3DB5">
        <w:rPr>
          <w:sz w:val="21"/>
          <w:szCs w:val="21"/>
        </w:rPr>
        <w:t>”</w:t>
      </w:r>
      <w:r w:rsidRPr="00EC3DB5">
        <w:rPr>
          <w:rFonts w:hAnsi="宋体" w:hint="eastAsia"/>
          <w:sz w:val="21"/>
          <w:szCs w:val="21"/>
        </w:rPr>
        <w:t>样本：具有低于临床上建立的</w:t>
      </w:r>
      <w:r w:rsidR="00254EC3">
        <w:rPr>
          <w:rFonts w:hAnsi="宋体" w:hint="eastAsia"/>
          <w:sz w:val="21"/>
          <w:szCs w:val="21"/>
        </w:rPr>
        <w:t>临界值</w:t>
      </w:r>
      <w:r w:rsidRPr="00EC3DB5">
        <w:rPr>
          <w:rFonts w:hAnsi="宋体" w:hint="eastAsia"/>
          <w:sz w:val="21"/>
          <w:szCs w:val="21"/>
        </w:rPr>
        <w:t>的病毒浓度的样本，该样本的重复测试结果在大约</w:t>
      </w:r>
      <w:r w:rsidRPr="00EC3DB5">
        <w:rPr>
          <w:sz w:val="21"/>
          <w:szCs w:val="21"/>
        </w:rPr>
        <w:t>95%</w:t>
      </w:r>
      <w:r w:rsidRPr="00EC3DB5">
        <w:rPr>
          <w:rFonts w:hAnsi="宋体" w:hint="eastAsia"/>
          <w:sz w:val="21"/>
          <w:szCs w:val="21"/>
        </w:rPr>
        <w:t>的时间内呈阴性，在大约</w:t>
      </w:r>
      <w:r w:rsidRPr="00EC3DB5">
        <w:rPr>
          <w:sz w:val="21"/>
          <w:szCs w:val="21"/>
        </w:rPr>
        <w:t>5%</w:t>
      </w:r>
      <w:r w:rsidRPr="00EC3DB5">
        <w:rPr>
          <w:rFonts w:hAnsi="宋体" w:hint="eastAsia"/>
          <w:sz w:val="21"/>
          <w:szCs w:val="21"/>
        </w:rPr>
        <w:t>的时间内呈阳性（</w:t>
      </w:r>
      <w:r w:rsidRPr="00EC3DB5">
        <w:rPr>
          <w:sz w:val="21"/>
          <w:szCs w:val="21"/>
        </w:rPr>
        <w:t>C5</w:t>
      </w:r>
      <w:r w:rsidRPr="00EC3DB5">
        <w:rPr>
          <w:rFonts w:hAnsi="宋体" w:hint="eastAsia"/>
          <w:sz w:val="21"/>
          <w:szCs w:val="21"/>
        </w:rPr>
        <w:t>浓度）。</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sz w:val="21"/>
          <w:szCs w:val="21"/>
        </w:rPr>
        <w:t xml:space="preserve"> “</w:t>
      </w:r>
      <w:r w:rsidRPr="00EC3DB5">
        <w:rPr>
          <w:rFonts w:hAnsi="宋体" w:hint="eastAsia"/>
          <w:sz w:val="21"/>
          <w:szCs w:val="21"/>
        </w:rPr>
        <w:t>低阳性</w:t>
      </w:r>
      <w:r w:rsidRPr="00EC3DB5">
        <w:rPr>
          <w:sz w:val="21"/>
          <w:szCs w:val="21"/>
        </w:rPr>
        <w:t>”</w:t>
      </w:r>
      <w:r w:rsidRPr="00EC3DB5">
        <w:rPr>
          <w:rFonts w:hAnsi="宋体" w:hint="eastAsia"/>
          <w:sz w:val="21"/>
          <w:szCs w:val="21"/>
        </w:rPr>
        <w:t>样本（接近检测限）：具有略高于</w:t>
      </w:r>
      <w:r w:rsidR="00254EC3">
        <w:rPr>
          <w:rFonts w:hAnsi="宋体" w:hint="eastAsia"/>
          <w:sz w:val="21"/>
          <w:szCs w:val="21"/>
        </w:rPr>
        <w:t>临界值</w:t>
      </w:r>
      <w:r w:rsidRPr="00EC3DB5">
        <w:rPr>
          <w:rFonts w:hAnsi="宋体" w:hint="eastAsia"/>
          <w:sz w:val="21"/>
          <w:szCs w:val="21"/>
        </w:rPr>
        <w:t>的待分析物浓度的样本，该样本的重复试验结果在大约</w:t>
      </w:r>
      <w:r w:rsidRPr="00EC3DB5">
        <w:rPr>
          <w:sz w:val="21"/>
          <w:szCs w:val="21"/>
        </w:rPr>
        <w:t>95%</w:t>
      </w:r>
      <w:r w:rsidRPr="00EC3DB5">
        <w:rPr>
          <w:rFonts w:hAnsi="宋体" w:hint="eastAsia"/>
          <w:sz w:val="21"/>
          <w:szCs w:val="21"/>
        </w:rPr>
        <w:t>的时间内呈阳性。</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sz w:val="21"/>
          <w:szCs w:val="21"/>
        </w:rPr>
        <w:t xml:space="preserve"> “</w:t>
      </w:r>
      <w:r w:rsidRPr="00EC3DB5">
        <w:rPr>
          <w:rFonts w:hAnsi="宋体" w:hint="eastAsia"/>
          <w:sz w:val="21"/>
          <w:szCs w:val="21"/>
        </w:rPr>
        <w:t>中度阳性</w:t>
      </w:r>
      <w:r w:rsidRPr="00EC3DB5">
        <w:rPr>
          <w:sz w:val="21"/>
          <w:szCs w:val="21"/>
        </w:rPr>
        <w:t>”</w:t>
      </w:r>
      <w:r w:rsidRPr="00EC3DB5">
        <w:rPr>
          <w:rFonts w:hAnsi="宋体" w:hint="eastAsia"/>
          <w:sz w:val="21"/>
          <w:szCs w:val="21"/>
        </w:rPr>
        <w:t>样本：具有在大约</w:t>
      </w:r>
      <w:r w:rsidRPr="00EC3DB5">
        <w:rPr>
          <w:sz w:val="21"/>
          <w:szCs w:val="21"/>
        </w:rPr>
        <w:t>100%</w:t>
      </w:r>
      <w:r w:rsidRPr="00EC3DB5">
        <w:rPr>
          <w:rFonts w:hAnsi="宋体" w:hint="eastAsia"/>
          <w:sz w:val="21"/>
          <w:szCs w:val="21"/>
        </w:rPr>
        <w:t>的时间内预期均会出现阳性结果的浓度的</w:t>
      </w:r>
      <w:r w:rsidR="00216DA8">
        <w:rPr>
          <w:rFonts w:hAnsi="宋体" w:hint="eastAsia"/>
          <w:sz w:val="21"/>
          <w:szCs w:val="21"/>
        </w:rPr>
        <w:t>样本</w:t>
      </w:r>
      <w:r w:rsidRPr="00EC3DB5">
        <w:rPr>
          <w:rFonts w:hAnsi="宋体" w:hint="eastAsia"/>
          <w:sz w:val="21"/>
          <w:szCs w:val="21"/>
        </w:rPr>
        <w:t>（例如：大约是临床规定</w:t>
      </w:r>
      <w:r w:rsidR="00254EC3">
        <w:rPr>
          <w:rFonts w:hAnsi="宋体" w:hint="eastAsia"/>
          <w:sz w:val="21"/>
          <w:szCs w:val="21"/>
        </w:rPr>
        <w:t>临界值</w:t>
      </w:r>
      <w:r w:rsidRPr="00EC3DB5">
        <w:rPr>
          <w:rFonts w:hAnsi="宋体" w:hint="eastAsia"/>
          <w:sz w:val="21"/>
          <w:szCs w:val="21"/>
        </w:rPr>
        <w:t>浓度的两到三倍）。</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您必须将以下各项包含到</w:t>
      </w:r>
      <w:r w:rsidRPr="00EC3DB5">
        <w:rPr>
          <w:sz w:val="21"/>
          <w:szCs w:val="21"/>
        </w:rPr>
        <w:t>510</w:t>
      </w:r>
      <w:r w:rsidRPr="00EC3DB5">
        <w:rPr>
          <w:rFonts w:hAnsi="宋体" w:hint="eastAsia"/>
          <w:sz w:val="21"/>
          <w:szCs w:val="21"/>
        </w:rPr>
        <w:t>（</w:t>
      </w:r>
      <w:r w:rsidRPr="00EC3DB5">
        <w:rPr>
          <w:sz w:val="21"/>
          <w:szCs w:val="21"/>
        </w:rPr>
        <w:t>k</w:t>
      </w:r>
      <w:r w:rsidRPr="00EC3DB5">
        <w:rPr>
          <w:rFonts w:hAnsi="宋体" w:hint="eastAsia"/>
          <w:sz w:val="21"/>
          <w:szCs w:val="21"/>
        </w:rPr>
        <w:t>）中：</w:t>
      </w:r>
    </w:p>
    <w:p w:rsidR="00FE0870" w:rsidRPr="00EC3DB5" w:rsidRDefault="00FE0870" w:rsidP="00D20CDC">
      <w:pPr>
        <w:pStyle w:val="a3"/>
        <w:numPr>
          <w:ilvl w:val="2"/>
          <w:numId w:val="8"/>
        </w:numPr>
        <w:kinsoku w:val="0"/>
        <w:overflowPunct w:val="0"/>
        <w:snapToGrid w:val="0"/>
        <w:spacing w:beforeLines="50" w:line="360" w:lineRule="auto"/>
        <w:ind w:leftChars="200" w:left="690" w:hangingChars="100" w:hanging="210"/>
        <w:jc w:val="both"/>
        <w:rPr>
          <w:sz w:val="21"/>
          <w:szCs w:val="21"/>
        </w:rPr>
      </w:pPr>
      <w:r w:rsidRPr="00EC3DB5">
        <w:rPr>
          <w:rFonts w:hAnsi="宋体" w:hint="eastAsia"/>
          <w:sz w:val="21"/>
          <w:szCs w:val="21"/>
        </w:rPr>
        <w:t>对</w:t>
      </w:r>
      <w:r w:rsidR="00216DA8">
        <w:rPr>
          <w:rFonts w:hAnsi="宋体" w:hint="eastAsia"/>
          <w:sz w:val="21"/>
          <w:szCs w:val="21"/>
        </w:rPr>
        <w:t>精密度</w:t>
      </w:r>
      <w:r w:rsidRPr="00EC3DB5">
        <w:rPr>
          <w:rFonts w:hAnsi="宋体" w:hint="eastAsia"/>
          <w:sz w:val="21"/>
          <w:szCs w:val="21"/>
        </w:rPr>
        <w:t>研究中包含的因素（天数、操作员数、仪表数、试剂批次、校准周期等）的详细描述。</w:t>
      </w:r>
    </w:p>
    <w:p w:rsidR="00FE0870" w:rsidRPr="00EC3DB5" w:rsidRDefault="00FE0870" w:rsidP="00533E3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对研究设计进行描述，包括哪些因素保持不变和哪些因素在评估期间会发生改变等。</w:t>
      </w:r>
    </w:p>
    <w:p w:rsidR="00FE0870" w:rsidRPr="00EC3DB5" w:rsidRDefault="00FE0870" w:rsidP="00EC3DB5">
      <w:pPr>
        <w:pStyle w:val="a3"/>
        <w:kinsoku w:val="0"/>
        <w:overflowPunct w:val="0"/>
        <w:snapToGrid w:val="0"/>
        <w:spacing w:line="360" w:lineRule="auto"/>
        <w:ind w:left="0"/>
        <w:jc w:val="both"/>
        <w:rPr>
          <w:sz w:val="21"/>
          <w:szCs w:val="21"/>
        </w:rPr>
      </w:pPr>
      <w:r w:rsidRPr="00EC3DB5">
        <w:rPr>
          <w:sz w:val="21"/>
          <w:szCs w:val="21"/>
        </w:rPr>
        <w:br w:type="page"/>
      </w:r>
      <w:r w:rsidRPr="00EC3DB5">
        <w:rPr>
          <w:rFonts w:hAnsi="宋体" w:hint="eastAsia"/>
          <w:sz w:val="21"/>
          <w:szCs w:val="21"/>
        </w:rPr>
        <w:lastRenderedPageBreak/>
        <w:t>我们建议您就</w:t>
      </w:r>
      <w:r w:rsidR="00216DA8">
        <w:rPr>
          <w:rFonts w:hAnsi="宋体" w:hint="eastAsia"/>
          <w:sz w:val="21"/>
          <w:szCs w:val="21"/>
        </w:rPr>
        <w:t>精密度</w:t>
      </w:r>
      <w:r w:rsidRPr="00EC3DB5">
        <w:rPr>
          <w:rFonts w:hAnsi="宋体" w:hint="eastAsia"/>
          <w:sz w:val="21"/>
          <w:szCs w:val="21"/>
        </w:rPr>
        <w:t>研究中的每一样本提供以下各项：</w:t>
      </w:r>
    </w:p>
    <w:p w:rsidR="00FE0870" w:rsidRPr="00EC3DB5" w:rsidRDefault="00FE0870" w:rsidP="00D20CDC">
      <w:pPr>
        <w:pStyle w:val="a3"/>
        <w:numPr>
          <w:ilvl w:val="2"/>
          <w:numId w:val="8"/>
        </w:numPr>
        <w:kinsoku w:val="0"/>
        <w:overflowPunct w:val="0"/>
        <w:snapToGrid w:val="0"/>
        <w:spacing w:beforeLines="50" w:line="360" w:lineRule="auto"/>
        <w:ind w:leftChars="200" w:left="690" w:hangingChars="100" w:hanging="210"/>
        <w:jc w:val="both"/>
        <w:rPr>
          <w:sz w:val="21"/>
          <w:szCs w:val="21"/>
        </w:rPr>
      </w:pPr>
      <w:r w:rsidRPr="00EC3DB5">
        <w:rPr>
          <w:rFonts w:hAnsi="宋体" w:hint="eastAsia"/>
          <w:sz w:val="21"/>
          <w:szCs w:val="21"/>
        </w:rPr>
        <w:t>数值的平均值。</w:t>
      </w:r>
    </w:p>
    <w:p w:rsidR="00FE0870" w:rsidRPr="00EC3DB5" w:rsidRDefault="00FE0870" w:rsidP="00BD2D9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各分量的方差及总不</w:t>
      </w:r>
      <w:r w:rsidR="00216DA8">
        <w:rPr>
          <w:rFonts w:hAnsi="宋体" w:hint="eastAsia"/>
          <w:sz w:val="21"/>
          <w:szCs w:val="21"/>
        </w:rPr>
        <w:t>精密度</w:t>
      </w:r>
      <w:r w:rsidRPr="00EC3DB5">
        <w:rPr>
          <w:rFonts w:hAnsi="宋体" w:hint="eastAsia"/>
          <w:sz w:val="21"/>
          <w:szCs w:val="21"/>
        </w:rPr>
        <w:t>（</w:t>
      </w:r>
      <w:r w:rsidR="00216DA8">
        <w:rPr>
          <w:rFonts w:hAnsi="宋体" w:hint="eastAsia"/>
          <w:sz w:val="21"/>
          <w:szCs w:val="21"/>
        </w:rPr>
        <w:t>标准偏差</w:t>
      </w:r>
      <w:r w:rsidRPr="00EC3DB5">
        <w:rPr>
          <w:rFonts w:hAnsi="宋体" w:hint="eastAsia"/>
          <w:sz w:val="21"/>
          <w:szCs w:val="21"/>
        </w:rPr>
        <w:t>和百分变差系数（</w:t>
      </w:r>
      <w:r w:rsidRPr="00EC3DB5">
        <w:rPr>
          <w:sz w:val="21"/>
          <w:szCs w:val="21"/>
        </w:rPr>
        <w:t>CV</w:t>
      </w:r>
      <w:r w:rsidRPr="00EC3DB5">
        <w:rPr>
          <w:rFonts w:hAnsi="宋体" w:hint="eastAsia"/>
          <w:sz w:val="21"/>
          <w:szCs w:val="21"/>
        </w:rPr>
        <w:t>））</w:t>
      </w:r>
      <w:r w:rsidRPr="00EC3DB5">
        <w:rPr>
          <w:sz w:val="21"/>
          <w:szCs w:val="21"/>
        </w:rPr>
        <w:t>.</w:t>
      </w:r>
    </w:p>
    <w:p w:rsidR="00FE0870" w:rsidRPr="00EC3DB5" w:rsidRDefault="00FE0870" w:rsidP="00BD2D9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各站点单独的阳性（高于</w:t>
      </w:r>
      <w:r w:rsidR="00254EC3">
        <w:rPr>
          <w:rFonts w:hAnsi="宋体" w:hint="eastAsia"/>
          <w:sz w:val="21"/>
          <w:szCs w:val="21"/>
        </w:rPr>
        <w:t>临界值</w:t>
      </w:r>
      <w:r w:rsidRPr="00EC3DB5">
        <w:rPr>
          <w:rFonts w:hAnsi="宋体" w:hint="eastAsia"/>
          <w:sz w:val="21"/>
          <w:szCs w:val="21"/>
        </w:rPr>
        <w:t>）和阴性（低于</w:t>
      </w:r>
      <w:r w:rsidR="00254EC3">
        <w:rPr>
          <w:rFonts w:hAnsi="宋体" w:hint="eastAsia"/>
          <w:sz w:val="21"/>
          <w:szCs w:val="21"/>
        </w:rPr>
        <w:t>临界值</w:t>
      </w:r>
      <w:r w:rsidRPr="00EC3DB5">
        <w:rPr>
          <w:rFonts w:hAnsi="宋体" w:hint="eastAsia"/>
          <w:sz w:val="21"/>
          <w:szCs w:val="21"/>
        </w:rPr>
        <w:t>）结果百分数及所有站点的总阳性（高于</w:t>
      </w:r>
      <w:r w:rsidR="00254EC3">
        <w:rPr>
          <w:rFonts w:hAnsi="宋体" w:hint="eastAsia"/>
          <w:sz w:val="21"/>
          <w:szCs w:val="21"/>
        </w:rPr>
        <w:t>临界值</w:t>
      </w:r>
      <w:r w:rsidRPr="00EC3DB5">
        <w:rPr>
          <w:rFonts w:hAnsi="宋体" w:hint="eastAsia"/>
          <w:sz w:val="21"/>
          <w:szCs w:val="21"/>
        </w:rPr>
        <w:t>）和阴性结果百分数。</w:t>
      </w:r>
    </w:p>
    <w:p w:rsidR="00FE0870" w:rsidRPr="00EC3DB5" w:rsidRDefault="00FE0870" w:rsidP="00BD2D9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各站点单独的无效结果百分数和所有站点的总无效结果百分数。</w:t>
      </w:r>
    </w:p>
    <w:p w:rsidR="00FE0870" w:rsidRPr="00EC3DB5" w:rsidRDefault="00FE0870" w:rsidP="00D20CDC">
      <w:pPr>
        <w:pStyle w:val="3"/>
        <w:numPr>
          <w:ilvl w:val="2"/>
          <w:numId w:val="6"/>
        </w:numPr>
        <w:kinsoku w:val="0"/>
        <w:overflowPunct w:val="0"/>
        <w:snapToGrid w:val="0"/>
        <w:spacing w:beforeLines="50" w:line="360" w:lineRule="auto"/>
        <w:ind w:left="0" w:firstLine="0"/>
        <w:jc w:val="both"/>
        <w:rPr>
          <w:b w:val="0"/>
          <w:bCs w:val="0"/>
          <w:sz w:val="21"/>
          <w:szCs w:val="21"/>
        </w:rPr>
      </w:pPr>
      <w:bookmarkStart w:id="54" w:name="7.2.3_Interference"/>
      <w:bookmarkStart w:id="55" w:name="bookmark16"/>
      <w:bookmarkStart w:id="56" w:name="_Toc496797922"/>
      <w:bookmarkEnd w:id="54"/>
      <w:bookmarkEnd w:id="55"/>
      <w:r w:rsidRPr="00EC3DB5">
        <w:rPr>
          <w:rFonts w:hAnsi="宋体" w:hint="eastAsia"/>
          <w:sz w:val="21"/>
          <w:szCs w:val="21"/>
        </w:rPr>
        <w:t>干扰</w:t>
      </w:r>
      <w:bookmarkEnd w:id="56"/>
    </w:p>
    <w:p w:rsidR="00FE0870" w:rsidRPr="00EC3DB5" w:rsidRDefault="00FE0870" w:rsidP="00D20CDC">
      <w:pPr>
        <w:snapToGrid w:val="0"/>
        <w:spacing w:beforeLines="50" w:line="360" w:lineRule="auto"/>
        <w:rPr>
          <w:sz w:val="21"/>
          <w:szCs w:val="21"/>
        </w:rPr>
      </w:pPr>
      <w:r w:rsidRPr="00EC3DB5">
        <w:rPr>
          <w:rFonts w:hAnsi="宋体" w:hint="eastAsia"/>
          <w:sz w:val="21"/>
          <w:szCs w:val="21"/>
        </w:rPr>
        <w:t>您必须描述潜在干扰物对测定性能的影响。</w:t>
      </w:r>
      <w:r w:rsidRPr="00EC3DB5">
        <w:rPr>
          <w:sz w:val="21"/>
          <w:szCs w:val="21"/>
        </w:rPr>
        <w:t>CLSI EP07-A2</w:t>
      </w:r>
      <w:r w:rsidRPr="00EC3DB5">
        <w:rPr>
          <w:rFonts w:hAnsi="宋体" w:hint="eastAsia"/>
          <w:sz w:val="21"/>
          <w:szCs w:val="21"/>
        </w:rPr>
        <w:t>【参考</w:t>
      </w:r>
      <w:r w:rsidRPr="00EC3DB5">
        <w:rPr>
          <w:sz w:val="21"/>
          <w:szCs w:val="21"/>
        </w:rPr>
        <w:t>12</w:t>
      </w:r>
      <w:r w:rsidRPr="00EC3DB5">
        <w:rPr>
          <w:rFonts w:hAnsi="宋体" w:hint="eastAsia"/>
          <w:sz w:val="21"/>
          <w:szCs w:val="21"/>
        </w:rPr>
        <w:t>】详细描述了实验设计的示例，包括与选择测试用干扰物相关的指南。内源性干扰的潜在来源可能包括血清和血清中常见的化合物，包括但不限于血红蛋白、脂类、胆红素、丙种球蛋白、胆固醇、总蛋白（清蛋白）和抗坏血酸等。您必须对预期使用人群可能会使用的伴随药物治疗等外源性物质的潜在干扰作用进行评估。</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您必须包含以下各项：</w:t>
      </w:r>
    </w:p>
    <w:p w:rsidR="00FE0870" w:rsidRPr="00EC3DB5" w:rsidRDefault="00FE0870" w:rsidP="00D20CDC">
      <w:pPr>
        <w:pStyle w:val="a3"/>
        <w:numPr>
          <w:ilvl w:val="2"/>
          <w:numId w:val="8"/>
        </w:numPr>
        <w:kinsoku w:val="0"/>
        <w:overflowPunct w:val="0"/>
        <w:snapToGrid w:val="0"/>
        <w:spacing w:beforeLines="50" w:line="360" w:lineRule="auto"/>
        <w:ind w:leftChars="200" w:left="690" w:hangingChars="100" w:hanging="210"/>
        <w:jc w:val="both"/>
        <w:rPr>
          <w:sz w:val="21"/>
          <w:szCs w:val="21"/>
        </w:rPr>
      </w:pPr>
      <w:r w:rsidRPr="00EC3DB5">
        <w:rPr>
          <w:rFonts w:hAnsi="宋体" w:hint="eastAsia"/>
          <w:sz w:val="21"/>
          <w:szCs w:val="21"/>
        </w:rPr>
        <w:t>所测试干扰物的类型和水平</w:t>
      </w:r>
    </w:p>
    <w:p w:rsidR="00FE0870" w:rsidRPr="00EC3DB5" w:rsidRDefault="00FE0870" w:rsidP="00BD2D9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样本中的抗体水平，包括对如何对抗体含量进行测定的说明。</w:t>
      </w:r>
    </w:p>
    <w:p w:rsidR="00FE0870" w:rsidRPr="00EC3DB5" w:rsidRDefault="00FE0870" w:rsidP="00BD2D9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所测试同种</w:t>
      </w:r>
      <w:r w:rsidR="00216DA8">
        <w:rPr>
          <w:rFonts w:hAnsi="宋体" w:hint="eastAsia"/>
          <w:sz w:val="21"/>
          <w:szCs w:val="21"/>
        </w:rPr>
        <w:t>样本</w:t>
      </w:r>
      <w:r w:rsidRPr="00EC3DB5">
        <w:rPr>
          <w:rFonts w:hAnsi="宋体" w:hint="eastAsia"/>
          <w:sz w:val="21"/>
          <w:szCs w:val="21"/>
        </w:rPr>
        <w:t>的数目</w:t>
      </w:r>
    </w:p>
    <w:p w:rsidR="00FE0870" w:rsidRPr="00EC3DB5" w:rsidRDefault="00FE0870" w:rsidP="00BD2D9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干扰计算的标准和方法</w:t>
      </w:r>
    </w:p>
    <w:p w:rsidR="00FE0870" w:rsidRPr="00EC3DB5" w:rsidRDefault="00FE0870" w:rsidP="00BD2D9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所观察到的干扰效应（回收率）的点估计值，以测试和控制</w:t>
      </w:r>
      <w:r w:rsidR="00216DA8">
        <w:rPr>
          <w:rFonts w:hAnsi="宋体" w:hint="eastAsia"/>
          <w:sz w:val="21"/>
          <w:szCs w:val="21"/>
        </w:rPr>
        <w:t>样本</w:t>
      </w:r>
      <w:r w:rsidRPr="00EC3DB5">
        <w:rPr>
          <w:rFonts w:hAnsi="宋体" w:hint="eastAsia"/>
          <w:sz w:val="21"/>
          <w:szCs w:val="21"/>
        </w:rPr>
        <w:t>均值之间的差值百分数表示。</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识别所观测到的任何偏差趋势（即：阴性或阳性）并注明在存在特定干扰物的情况下所观测到的回收率的范围。这种方法比单独列出平均回收率更有意义。您必须建立和阐述在研究开始之前用于确定非干扰的标准或水平。</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您可能不需要使用在文献中已识别或已通过其他来源识别的潜在测定干扰物进行额外的干扰测试。在这种情况下，通过在标签中进行适当地引用可能适合用于处理额外的潜在干扰物。</w:t>
      </w:r>
    </w:p>
    <w:p w:rsidR="00FE0870" w:rsidRPr="00EC3DB5" w:rsidRDefault="00FE0870" w:rsidP="00D20CDC">
      <w:pPr>
        <w:pStyle w:val="3"/>
        <w:numPr>
          <w:ilvl w:val="2"/>
          <w:numId w:val="6"/>
        </w:numPr>
        <w:kinsoku w:val="0"/>
        <w:overflowPunct w:val="0"/>
        <w:snapToGrid w:val="0"/>
        <w:spacing w:beforeLines="50" w:line="360" w:lineRule="auto"/>
        <w:ind w:left="0" w:firstLine="0"/>
        <w:jc w:val="both"/>
        <w:rPr>
          <w:b w:val="0"/>
          <w:bCs w:val="0"/>
          <w:sz w:val="21"/>
          <w:szCs w:val="21"/>
        </w:rPr>
      </w:pPr>
      <w:bookmarkStart w:id="57" w:name="7.2.4_Cross_reactivity"/>
      <w:bookmarkStart w:id="58" w:name="bookmark17"/>
      <w:bookmarkStart w:id="59" w:name="_Toc496797923"/>
      <w:bookmarkEnd w:id="57"/>
      <w:bookmarkEnd w:id="58"/>
      <w:r w:rsidRPr="00EC3DB5">
        <w:rPr>
          <w:rFonts w:hAnsi="宋体" w:hint="eastAsia"/>
          <w:sz w:val="21"/>
          <w:szCs w:val="21"/>
        </w:rPr>
        <w:t>交叉反应性</w:t>
      </w:r>
      <w:bookmarkEnd w:id="59"/>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通过测量器械与其他基因相关或临床相关病毒抗体、引起神经系统症状的微生物制剂或免疫受损患者体内可能存在的微生物菌剂的交叉反应活性纳入与测定分析特异性相关的数据。例如，对与以下制剂的抗体的潜在交叉反应性的评估：</w:t>
      </w:r>
    </w:p>
    <w:p w:rsidR="00FE0870" w:rsidRPr="00EC3DB5" w:rsidRDefault="00FE0870" w:rsidP="00BD2D9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sz w:val="21"/>
          <w:szCs w:val="21"/>
        </w:rPr>
        <w:br w:type="page"/>
      </w:r>
      <w:r w:rsidRPr="00EC3DB5">
        <w:rPr>
          <w:rFonts w:hAnsi="宋体" w:hint="eastAsia"/>
          <w:sz w:val="21"/>
          <w:szCs w:val="21"/>
        </w:rPr>
        <w:lastRenderedPageBreak/>
        <w:t>对</w:t>
      </w:r>
      <w:r w:rsidRPr="00EC3DB5">
        <w:rPr>
          <w:sz w:val="21"/>
          <w:szCs w:val="21"/>
        </w:rPr>
        <w:t>BKV</w:t>
      </w:r>
      <w:r w:rsidRPr="00EC3DB5">
        <w:rPr>
          <w:rFonts w:hAnsi="宋体" w:hint="eastAsia"/>
          <w:sz w:val="21"/>
          <w:szCs w:val="21"/>
        </w:rPr>
        <w:t>等其他多瘤病毒的抗体</w:t>
      </w:r>
    </w:p>
    <w:p w:rsidR="00FE0870" w:rsidRPr="00EC3DB5" w:rsidRDefault="00FE0870" w:rsidP="00BD2D9F">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对</w:t>
      </w:r>
      <w:r w:rsidRPr="00EC3DB5">
        <w:rPr>
          <w:sz w:val="21"/>
          <w:szCs w:val="21"/>
        </w:rPr>
        <w:t>HSV</w:t>
      </w:r>
      <w:r w:rsidRPr="00EC3DB5">
        <w:rPr>
          <w:rFonts w:hAnsi="宋体" w:hint="eastAsia"/>
          <w:sz w:val="21"/>
          <w:szCs w:val="21"/>
        </w:rPr>
        <w:t>、</w:t>
      </w:r>
      <w:r w:rsidRPr="00EC3DB5">
        <w:rPr>
          <w:sz w:val="21"/>
          <w:szCs w:val="21"/>
        </w:rPr>
        <w:t>HIV</w:t>
      </w:r>
      <w:r w:rsidRPr="00EC3DB5">
        <w:rPr>
          <w:rFonts w:hAnsi="宋体" w:hint="eastAsia"/>
          <w:sz w:val="21"/>
          <w:szCs w:val="21"/>
        </w:rPr>
        <w:t>、</w:t>
      </w:r>
      <w:r w:rsidRPr="00EC3DB5">
        <w:rPr>
          <w:sz w:val="21"/>
          <w:szCs w:val="21"/>
        </w:rPr>
        <w:t>CMV</w:t>
      </w:r>
      <w:r w:rsidRPr="00EC3DB5">
        <w:rPr>
          <w:rFonts w:hAnsi="宋体" w:hint="eastAsia"/>
          <w:sz w:val="21"/>
          <w:szCs w:val="21"/>
        </w:rPr>
        <w:t>、</w:t>
      </w:r>
      <w:r w:rsidRPr="00EC3DB5">
        <w:rPr>
          <w:sz w:val="21"/>
          <w:szCs w:val="21"/>
        </w:rPr>
        <w:t>VZV</w:t>
      </w:r>
      <w:r w:rsidRPr="00EC3DB5">
        <w:rPr>
          <w:rFonts w:hAnsi="宋体" w:hint="eastAsia"/>
          <w:sz w:val="21"/>
          <w:szCs w:val="21"/>
        </w:rPr>
        <w:t>、</w:t>
      </w:r>
      <w:r w:rsidRPr="00EC3DB5">
        <w:rPr>
          <w:sz w:val="21"/>
          <w:szCs w:val="21"/>
        </w:rPr>
        <w:t>HHV6</w:t>
      </w:r>
      <w:r w:rsidRPr="00EC3DB5">
        <w:rPr>
          <w:rFonts w:hAnsi="宋体" w:hint="eastAsia"/>
          <w:sz w:val="21"/>
          <w:szCs w:val="21"/>
        </w:rPr>
        <w:t>和</w:t>
      </w:r>
      <w:r w:rsidRPr="00EC3DB5">
        <w:rPr>
          <w:sz w:val="21"/>
          <w:szCs w:val="21"/>
        </w:rPr>
        <w:t>EBV</w:t>
      </w:r>
      <w:r w:rsidRPr="00EC3DB5">
        <w:rPr>
          <w:rFonts w:hAnsi="宋体" w:hint="eastAsia"/>
          <w:sz w:val="21"/>
          <w:szCs w:val="21"/>
        </w:rPr>
        <w:t>的抗体</w:t>
      </w:r>
    </w:p>
    <w:p w:rsidR="00FE0870" w:rsidRPr="00EC3DB5" w:rsidRDefault="00FE0870" w:rsidP="00BD2D9F">
      <w:pPr>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对</w:t>
      </w:r>
      <w:r w:rsidRPr="00EC3DB5">
        <w:rPr>
          <w:rFonts w:hAnsi="宋体" w:hint="eastAsia"/>
          <w:i/>
          <w:iCs/>
          <w:sz w:val="21"/>
          <w:szCs w:val="21"/>
        </w:rPr>
        <w:t>无乳链球菌</w:t>
      </w:r>
      <w:r w:rsidRPr="00EC3DB5">
        <w:rPr>
          <w:rFonts w:hAnsi="宋体" w:hint="eastAsia"/>
          <w:sz w:val="21"/>
          <w:szCs w:val="21"/>
        </w:rPr>
        <w:t>、</w:t>
      </w:r>
      <w:r w:rsidRPr="00EC3DB5">
        <w:rPr>
          <w:rFonts w:hAnsi="宋体" w:hint="eastAsia"/>
          <w:i/>
          <w:iCs/>
          <w:sz w:val="21"/>
          <w:szCs w:val="21"/>
        </w:rPr>
        <w:t>大肠杆菌、单核细胞增多性李斯特氏菌、沙眼衣原体、肺炎衣原体、肺炎支原体、解脲脲原体、肺炎克雷伯菌、金黄色酿脓葡萄球菌、表皮葡萄球菌、脑膜脓毒性金黄杆菌、结核分支杆菌、绿色链球菌、</w:t>
      </w:r>
      <w:r w:rsidRPr="00EC3DB5">
        <w:rPr>
          <w:rFonts w:hAnsi="宋体" w:hint="eastAsia"/>
          <w:sz w:val="21"/>
          <w:szCs w:val="21"/>
        </w:rPr>
        <w:t>革兰氏阴性杆菌、其他革兰氏阳性微生物、</w:t>
      </w:r>
      <w:r w:rsidRPr="00EC3DB5">
        <w:rPr>
          <w:rFonts w:hAnsi="宋体" w:hint="eastAsia"/>
          <w:i/>
          <w:iCs/>
          <w:sz w:val="21"/>
          <w:szCs w:val="21"/>
        </w:rPr>
        <w:t>梅毒螺旋体、</w:t>
      </w:r>
      <w:r w:rsidRPr="00EC3DB5">
        <w:rPr>
          <w:rFonts w:hAnsi="宋体" w:hint="eastAsia"/>
          <w:sz w:val="21"/>
          <w:szCs w:val="21"/>
        </w:rPr>
        <w:t>乳酸菌和厌氧菌、</w:t>
      </w:r>
      <w:r w:rsidRPr="00EC3DB5">
        <w:rPr>
          <w:rFonts w:hAnsi="宋体" w:hint="eastAsia"/>
          <w:i/>
          <w:iCs/>
          <w:sz w:val="21"/>
          <w:szCs w:val="21"/>
        </w:rPr>
        <w:t>白色念珠菌</w:t>
      </w:r>
      <w:r w:rsidRPr="00EC3DB5">
        <w:rPr>
          <w:rFonts w:hAnsi="宋体" w:hint="eastAsia"/>
          <w:sz w:val="21"/>
          <w:szCs w:val="21"/>
        </w:rPr>
        <w:t>和耶氏肺孢子虫等其他真菌的抗体。</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您必须在</w:t>
      </w:r>
      <w:r w:rsidRPr="00EC3DB5">
        <w:rPr>
          <w:sz w:val="21"/>
          <w:szCs w:val="21"/>
        </w:rPr>
        <w:t>510</w:t>
      </w:r>
      <w:r w:rsidRPr="00EC3DB5">
        <w:rPr>
          <w:rFonts w:hAnsi="宋体" w:hint="eastAsia"/>
          <w:sz w:val="21"/>
          <w:szCs w:val="21"/>
        </w:rPr>
        <w:t>（</w:t>
      </w:r>
      <w:r w:rsidRPr="00EC3DB5">
        <w:rPr>
          <w:sz w:val="21"/>
          <w:szCs w:val="21"/>
        </w:rPr>
        <w:t>k</w:t>
      </w:r>
      <w:r w:rsidRPr="00EC3DB5">
        <w:rPr>
          <w:rFonts w:hAnsi="宋体" w:hint="eastAsia"/>
          <w:sz w:val="21"/>
          <w:szCs w:val="21"/>
        </w:rPr>
        <w:t>）提交文件中说明如何测定某一特定的交叉反应物是否存在，并说明用于评价潜在的交叉反应性和预先确定的验收标准的方法。额外的交叉</w:t>
      </w:r>
      <w:r w:rsidR="00216DA8">
        <w:rPr>
          <w:rFonts w:hAnsi="宋体" w:hint="eastAsia"/>
          <w:sz w:val="21"/>
          <w:szCs w:val="21"/>
        </w:rPr>
        <w:t>反应性试验</w:t>
      </w:r>
      <w:r w:rsidRPr="00EC3DB5">
        <w:rPr>
          <w:rFonts w:hAnsi="宋体" w:hint="eastAsia"/>
          <w:sz w:val="21"/>
          <w:szCs w:val="21"/>
        </w:rPr>
        <w:t>或替代性测试必须有有效的科学依据予以支持。我们建议您与体外诊断和放射健康办公室微生物学器械部取得联络以讨论替代性交叉反应性研究。</w:t>
      </w:r>
    </w:p>
    <w:p w:rsidR="00FE0870" w:rsidRPr="00EC3DB5" w:rsidRDefault="00FE0870" w:rsidP="00D20CDC">
      <w:pPr>
        <w:pStyle w:val="3"/>
        <w:numPr>
          <w:ilvl w:val="2"/>
          <w:numId w:val="6"/>
        </w:numPr>
        <w:kinsoku w:val="0"/>
        <w:overflowPunct w:val="0"/>
        <w:snapToGrid w:val="0"/>
        <w:spacing w:beforeLines="50" w:line="360" w:lineRule="auto"/>
        <w:ind w:left="0" w:firstLine="0"/>
        <w:jc w:val="both"/>
        <w:rPr>
          <w:b w:val="0"/>
          <w:bCs w:val="0"/>
          <w:sz w:val="21"/>
          <w:szCs w:val="21"/>
        </w:rPr>
      </w:pPr>
      <w:bookmarkStart w:id="60" w:name="7.2.5_Matrix_Comparison_Studies"/>
      <w:bookmarkStart w:id="61" w:name="bookmark18"/>
      <w:bookmarkStart w:id="62" w:name="_Toc496797924"/>
      <w:bookmarkEnd w:id="60"/>
      <w:bookmarkEnd w:id="61"/>
      <w:r w:rsidRPr="00EC3DB5">
        <w:rPr>
          <w:rFonts w:hAnsi="宋体" w:hint="eastAsia"/>
          <w:sz w:val="21"/>
          <w:szCs w:val="21"/>
        </w:rPr>
        <w:t>基质比较研究</w:t>
      </w:r>
      <w:bookmarkEnd w:id="62"/>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在基质比较研究中必须对至少</w:t>
      </w:r>
      <w:r w:rsidRPr="00EC3DB5">
        <w:rPr>
          <w:sz w:val="21"/>
          <w:szCs w:val="21"/>
        </w:rPr>
        <w:t>40</w:t>
      </w:r>
      <w:r w:rsidRPr="00EC3DB5">
        <w:rPr>
          <w:rFonts w:hAnsi="宋体" w:hint="eastAsia"/>
          <w:sz w:val="21"/>
          <w:szCs w:val="21"/>
        </w:rPr>
        <w:t>组配对的血样和血清</w:t>
      </w:r>
      <w:r w:rsidR="00216DA8">
        <w:rPr>
          <w:rFonts w:hAnsi="宋体" w:hint="eastAsia"/>
          <w:sz w:val="21"/>
          <w:szCs w:val="21"/>
        </w:rPr>
        <w:t>样本</w:t>
      </w:r>
      <w:r w:rsidRPr="00EC3DB5">
        <w:rPr>
          <w:rFonts w:hAnsi="宋体" w:hint="eastAsia"/>
          <w:sz w:val="21"/>
          <w:szCs w:val="21"/>
        </w:rPr>
        <w:t>进行评估；血清样本的数值必须跨越器械数值的区间。在评价血清与血浆</w:t>
      </w:r>
      <w:r w:rsidR="00216DA8">
        <w:rPr>
          <w:rFonts w:hAnsi="宋体" w:hint="eastAsia"/>
          <w:sz w:val="21"/>
          <w:szCs w:val="21"/>
        </w:rPr>
        <w:t>样本</w:t>
      </w:r>
      <w:r w:rsidRPr="00EC3DB5">
        <w:rPr>
          <w:rFonts w:hAnsi="宋体" w:hint="eastAsia"/>
          <w:sz w:val="21"/>
          <w:szCs w:val="21"/>
        </w:rPr>
        <w:t>数值之间的系统差时，必须进行</w:t>
      </w:r>
      <w:r w:rsidRPr="00EC3DB5">
        <w:rPr>
          <w:sz w:val="21"/>
          <w:szCs w:val="21"/>
        </w:rPr>
        <w:t>Deming</w:t>
      </w:r>
      <w:r w:rsidRPr="00EC3DB5">
        <w:rPr>
          <w:rFonts w:hAnsi="宋体" w:hint="eastAsia"/>
          <w:sz w:val="21"/>
          <w:szCs w:val="21"/>
        </w:rPr>
        <w:t>或</w:t>
      </w:r>
      <w:r w:rsidRPr="00EC3DB5">
        <w:rPr>
          <w:sz w:val="21"/>
          <w:szCs w:val="21"/>
        </w:rPr>
        <w:t xml:space="preserve"> Passing-Bablok</w:t>
      </w:r>
      <w:r w:rsidRPr="00EC3DB5">
        <w:rPr>
          <w:rFonts w:hAnsi="宋体" w:hint="eastAsia"/>
          <w:sz w:val="21"/>
          <w:szCs w:val="21"/>
        </w:rPr>
        <w:t>回归。关于回归分析的更多信息，请参考</w:t>
      </w:r>
      <w:r w:rsidRPr="00EC3DB5">
        <w:rPr>
          <w:sz w:val="21"/>
          <w:szCs w:val="21"/>
        </w:rPr>
        <w:t xml:space="preserve">CLSI </w:t>
      </w:r>
      <w:r w:rsidRPr="00EC3DB5">
        <w:rPr>
          <w:rFonts w:hAnsi="宋体" w:hint="eastAsia"/>
          <w:sz w:val="21"/>
          <w:szCs w:val="21"/>
        </w:rPr>
        <w:t>文件</w:t>
      </w:r>
      <w:r w:rsidRPr="00EC3DB5">
        <w:rPr>
          <w:sz w:val="21"/>
          <w:szCs w:val="21"/>
        </w:rPr>
        <w:t>EP09-A2-IR“</w:t>
      </w:r>
      <w:r w:rsidRPr="00EC3DB5">
        <w:rPr>
          <w:rFonts w:hAnsi="宋体" w:hint="eastAsia"/>
          <w:sz w:val="21"/>
          <w:szCs w:val="21"/>
        </w:rPr>
        <w:t>使用患者样本的方法比较和偏差估计</w:t>
      </w:r>
      <w:r w:rsidRPr="00EC3DB5">
        <w:rPr>
          <w:sz w:val="21"/>
          <w:szCs w:val="21"/>
        </w:rPr>
        <w:t>”</w:t>
      </w:r>
      <w:r w:rsidRPr="00EC3DB5">
        <w:rPr>
          <w:rFonts w:hAnsi="宋体" w:hint="eastAsia"/>
          <w:sz w:val="21"/>
          <w:szCs w:val="21"/>
        </w:rPr>
        <w:t>【参考</w:t>
      </w:r>
      <w:r w:rsidRPr="00EC3DB5">
        <w:rPr>
          <w:sz w:val="21"/>
          <w:szCs w:val="21"/>
        </w:rPr>
        <w:t>13</w:t>
      </w:r>
      <w:r w:rsidRPr="00EC3DB5">
        <w:rPr>
          <w:rFonts w:hAnsi="宋体" w:hint="eastAsia"/>
          <w:sz w:val="21"/>
          <w:szCs w:val="21"/>
        </w:rPr>
        <w:t>】。必须提供结果的散点图及线性回归线和对角线。对于线性回归分析，应提供斜率并使用</w:t>
      </w:r>
      <w:r w:rsidRPr="00EC3DB5">
        <w:rPr>
          <w:sz w:val="21"/>
          <w:szCs w:val="21"/>
        </w:rPr>
        <w:t>95%</w:t>
      </w:r>
      <w:r w:rsidRPr="00EC3DB5">
        <w:rPr>
          <w:rFonts w:hAnsi="宋体" w:hint="eastAsia"/>
          <w:sz w:val="21"/>
          <w:szCs w:val="21"/>
        </w:rPr>
        <w:t>置信区间进行截断。使用线性回归方程在</w:t>
      </w:r>
      <w:r w:rsidR="00254EC3">
        <w:rPr>
          <w:rFonts w:hAnsi="宋体" w:hint="eastAsia"/>
          <w:sz w:val="21"/>
          <w:szCs w:val="21"/>
        </w:rPr>
        <w:t>临界值</w:t>
      </w:r>
      <w:r w:rsidRPr="00EC3DB5">
        <w:rPr>
          <w:rFonts w:hAnsi="宋体" w:hint="eastAsia"/>
          <w:sz w:val="21"/>
          <w:szCs w:val="21"/>
        </w:rPr>
        <w:t>点处对系统差进行估计。</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若就血清和血浆样本取得了重复的测量值，则对各样本类型的再现性进行估计。若经研究发现其再现性依赖于血清样本的数值，则可将区间划分成子区间，并就各子区间分别评价其再现性。在比较血清和血样样本的再现性时，应使用</w:t>
      </w:r>
      <w:r w:rsidRPr="00EC3DB5">
        <w:rPr>
          <w:sz w:val="21"/>
          <w:szCs w:val="21"/>
        </w:rPr>
        <w:t>95%</w:t>
      </w:r>
      <w:r w:rsidRPr="00EC3DB5">
        <w:rPr>
          <w:rFonts w:hAnsi="宋体" w:hint="eastAsia"/>
          <w:sz w:val="21"/>
          <w:szCs w:val="21"/>
        </w:rPr>
        <w:t>的置信区间（基于</w:t>
      </w:r>
      <w:r w:rsidRPr="00EC3DB5">
        <w:rPr>
          <w:sz w:val="21"/>
          <w:szCs w:val="21"/>
        </w:rPr>
        <w:t>F</w:t>
      </w:r>
      <w:r w:rsidRPr="00EC3DB5">
        <w:rPr>
          <w:rFonts w:hAnsi="宋体" w:hint="eastAsia"/>
          <w:sz w:val="21"/>
          <w:szCs w:val="21"/>
        </w:rPr>
        <w:t>分布）计算两个</w:t>
      </w:r>
      <w:r w:rsidR="00216DA8">
        <w:rPr>
          <w:rFonts w:hAnsi="宋体" w:hint="eastAsia"/>
          <w:sz w:val="21"/>
          <w:szCs w:val="21"/>
        </w:rPr>
        <w:t>标准偏差</w:t>
      </w:r>
      <w:r w:rsidRPr="00EC3DB5">
        <w:rPr>
          <w:rFonts w:hAnsi="宋体" w:hint="eastAsia"/>
          <w:sz w:val="21"/>
          <w:szCs w:val="21"/>
        </w:rPr>
        <w:t>的比值。此外，您还必须在二乘二表格中对血清和血浆样本的定性结果（例如：阳性、阴性）进行比较。</w:t>
      </w:r>
    </w:p>
    <w:p w:rsidR="00FE0870" w:rsidRPr="00EC3DB5" w:rsidRDefault="00FE0870" w:rsidP="00D20CDC">
      <w:pPr>
        <w:pStyle w:val="3"/>
        <w:numPr>
          <w:ilvl w:val="2"/>
          <w:numId w:val="6"/>
        </w:numPr>
        <w:kinsoku w:val="0"/>
        <w:overflowPunct w:val="0"/>
        <w:snapToGrid w:val="0"/>
        <w:spacing w:beforeLines="50" w:line="360" w:lineRule="auto"/>
        <w:ind w:left="0" w:firstLine="0"/>
        <w:jc w:val="both"/>
        <w:rPr>
          <w:b w:val="0"/>
          <w:bCs w:val="0"/>
          <w:sz w:val="21"/>
          <w:szCs w:val="21"/>
        </w:rPr>
      </w:pPr>
      <w:bookmarkStart w:id="63" w:name="7.2.6_High_Dose_Hook_Effect"/>
      <w:bookmarkStart w:id="64" w:name="bookmark19"/>
      <w:bookmarkStart w:id="65" w:name="_Toc496797925"/>
      <w:bookmarkEnd w:id="63"/>
      <w:bookmarkEnd w:id="64"/>
      <w:r w:rsidRPr="00EC3DB5">
        <w:rPr>
          <w:rFonts w:hAnsi="宋体" w:hint="eastAsia"/>
          <w:sz w:val="21"/>
          <w:szCs w:val="21"/>
        </w:rPr>
        <w:t>高剂量钩状效应</w:t>
      </w:r>
      <w:bookmarkEnd w:id="65"/>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sz w:val="21"/>
          <w:szCs w:val="21"/>
        </w:rPr>
        <w:br w:type="page"/>
      </w:r>
      <w:r w:rsidRPr="00EC3DB5">
        <w:rPr>
          <w:rFonts w:hAnsi="宋体" w:hint="eastAsia"/>
          <w:sz w:val="21"/>
          <w:szCs w:val="21"/>
        </w:rPr>
        <w:lastRenderedPageBreak/>
        <w:t>您必须证明多余的分析物不会产生弯钩（前带）效应或解释说明为什么该评价不适用于您的器械设计。</w:t>
      </w:r>
    </w:p>
    <w:p w:rsidR="00FE0870" w:rsidRPr="00EC3DB5" w:rsidRDefault="00FE0870" w:rsidP="00D20CDC">
      <w:pPr>
        <w:pStyle w:val="3"/>
        <w:numPr>
          <w:ilvl w:val="2"/>
          <w:numId w:val="6"/>
        </w:numPr>
        <w:kinsoku w:val="0"/>
        <w:overflowPunct w:val="0"/>
        <w:snapToGrid w:val="0"/>
        <w:spacing w:beforeLines="50" w:line="360" w:lineRule="auto"/>
        <w:ind w:left="0" w:firstLine="0"/>
        <w:jc w:val="both"/>
        <w:rPr>
          <w:b w:val="0"/>
          <w:bCs w:val="0"/>
          <w:sz w:val="21"/>
          <w:szCs w:val="21"/>
        </w:rPr>
      </w:pPr>
      <w:bookmarkStart w:id="66" w:name="7.2.7_Reagent_Stability"/>
      <w:bookmarkStart w:id="67" w:name="bookmark20"/>
      <w:bookmarkStart w:id="68" w:name="_Toc496797926"/>
      <w:bookmarkEnd w:id="66"/>
      <w:bookmarkEnd w:id="67"/>
      <w:r w:rsidRPr="00EC3DB5">
        <w:rPr>
          <w:rFonts w:hAnsi="宋体" w:hint="eastAsia"/>
          <w:sz w:val="21"/>
          <w:szCs w:val="21"/>
        </w:rPr>
        <w:t>试剂稳定性</w:t>
      </w:r>
      <w:bookmarkEnd w:id="68"/>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您必须对用于测定试剂稳定性的研究设计进行说明，并在适用的情况下，对测试的条件和结果进行描述。在各项研究中，您必须描述您的验收标准及您选择的理由。</w:t>
      </w:r>
      <w:r w:rsidRPr="00EC3DB5">
        <w:rPr>
          <w:sz w:val="21"/>
          <w:szCs w:val="21"/>
        </w:rPr>
        <w:t>CLSI</w:t>
      </w:r>
      <w:r w:rsidRPr="00EC3DB5">
        <w:rPr>
          <w:rFonts w:hAnsi="宋体" w:hint="eastAsia"/>
          <w:sz w:val="21"/>
          <w:szCs w:val="21"/>
        </w:rPr>
        <w:t>文件</w:t>
      </w:r>
      <w:r w:rsidRPr="00EC3DB5">
        <w:rPr>
          <w:sz w:val="21"/>
          <w:szCs w:val="21"/>
        </w:rPr>
        <w:t>“</w:t>
      </w:r>
      <w:r w:rsidRPr="00EC3DB5">
        <w:rPr>
          <w:rFonts w:hAnsi="宋体" w:hint="eastAsia"/>
          <w:sz w:val="21"/>
          <w:szCs w:val="21"/>
        </w:rPr>
        <w:t>体外诊断试剂稳定性评价</w:t>
      </w:r>
      <w:r w:rsidRPr="00EC3DB5">
        <w:rPr>
          <w:sz w:val="21"/>
          <w:szCs w:val="21"/>
        </w:rPr>
        <w:t>”</w:t>
      </w:r>
      <w:r w:rsidRPr="00EC3DB5">
        <w:rPr>
          <w:rFonts w:hAnsi="宋体" w:hint="eastAsia"/>
          <w:sz w:val="21"/>
          <w:szCs w:val="21"/>
        </w:rPr>
        <w:t>（</w:t>
      </w:r>
      <w:r w:rsidRPr="00EC3DB5">
        <w:rPr>
          <w:sz w:val="21"/>
          <w:szCs w:val="21"/>
        </w:rPr>
        <w:t xml:space="preserve"> CLSI</w:t>
      </w:r>
      <w:r w:rsidRPr="00EC3DB5">
        <w:rPr>
          <w:rFonts w:hAnsi="宋体" w:hint="eastAsia"/>
          <w:sz w:val="21"/>
          <w:szCs w:val="21"/>
        </w:rPr>
        <w:t>文件</w:t>
      </w:r>
      <w:r w:rsidRPr="00EC3DB5">
        <w:rPr>
          <w:sz w:val="21"/>
          <w:szCs w:val="21"/>
        </w:rPr>
        <w:t>EP25-A</w:t>
      </w:r>
      <w:r w:rsidRPr="00EC3DB5">
        <w:rPr>
          <w:rFonts w:hAnsi="宋体" w:hint="eastAsia"/>
          <w:sz w:val="21"/>
          <w:szCs w:val="21"/>
        </w:rPr>
        <w:t>）【参考</w:t>
      </w:r>
      <w:r w:rsidRPr="00EC3DB5">
        <w:rPr>
          <w:sz w:val="21"/>
          <w:szCs w:val="21"/>
        </w:rPr>
        <w:t>14</w:t>
      </w:r>
      <w:r w:rsidRPr="00EC3DB5">
        <w:rPr>
          <w:rFonts w:hAnsi="宋体" w:hint="eastAsia"/>
          <w:sz w:val="21"/>
          <w:szCs w:val="21"/>
        </w:rPr>
        <w:t>】包含可能有助于建立稳定性研究的实验设计、计算和结果呈现方式的建议。</w:t>
      </w:r>
    </w:p>
    <w:p w:rsidR="00FE0870" w:rsidRPr="00EC3DB5" w:rsidRDefault="00216DA8" w:rsidP="00D20CDC">
      <w:pPr>
        <w:pStyle w:val="3"/>
        <w:numPr>
          <w:ilvl w:val="2"/>
          <w:numId w:val="6"/>
        </w:numPr>
        <w:kinsoku w:val="0"/>
        <w:overflowPunct w:val="0"/>
        <w:snapToGrid w:val="0"/>
        <w:spacing w:beforeLines="50" w:line="360" w:lineRule="auto"/>
        <w:ind w:left="0" w:firstLine="0"/>
        <w:jc w:val="both"/>
        <w:rPr>
          <w:b w:val="0"/>
          <w:bCs w:val="0"/>
          <w:sz w:val="21"/>
          <w:szCs w:val="21"/>
        </w:rPr>
      </w:pPr>
      <w:bookmarkStart w:id="69" w:name="7.2.8_Specimen_Collection_and_Handling_C"/>
      <w:bookmarkStart w:id="70" w:name="bookmark21"/>
      <w:bookmarkStart w:id="71" w:name="_Toc496797927"/>
      <w:bookmarkEnd w:id="69"/>
      <w:bookmarkEnd w:id="70"/>
      <w:r>
        <w:rPr>
          <w:rFonts w:hAnsi="宋体" w:hint="eastAsia"/>
          <w:sz w:val="21"/>
          <w:szCs w:val="21"/>
        </w:rPr>
        <w:t>样本</w:t>
      </w:r>
      <w:r w:rsidR="00FE0870" w:rsidRPr="00EC3DB5">
        <w:rPr>
          <w:rFonts w:hAnsi="宋体" w:hint="eastAsia"/>
          <w:sz w:val="21"/>
          <w:szCs w:val="21"/>
        </w:rPr>
        <w:t>收集与处理条件</w:t>
      </w:r>
      <w:bookmarkEnd w:id="71"/>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您必须通过评估样本使用您的器械（例如：</w:t>
      </w:r>
      <w:r w:rsidR="00254EC3">
        <w:rPr>
          <w:rFonts w:hAnsi="宋体" w:hint="eastAsia"/>
          <w:sz w:val="21"/>
          <w:szCs w:val="21"/>
        </w:rPr>
        <w:t>临界值</w:t>
      </w:r>
      <w:r w:rsidRPr="00EC3DB5">
        <w:rPr>
          <w:rFonts w:hAnsi="宋体" w:hint="eastAsia"/>
          <w:sz w:val="21"/>
          <w:szCs w:val="21"/>
        </w:rPr>
        <w:t>处的再现性）在推荐给使用者的温度和存储时间下是否能够保持合格的性能来证实标签中与样本存储和运输相关的声明。例如，一项适当的研究可能包含对存储在向器械使用者推荐的时间、温度、存储、运输或冻结</w:t>
      </w:r>
      <w:r w:rsidRPr="00EC3DB5">
        <w:rPr>
          <w:sz w:val="21"/>
          <w:szCs w:val="21"/>
        </w:rPr>
        <w:t>/</w:t>
      </w:r>
      <w:r w:rsidRPr="00EC3DB5">
        <w:rPr>
          <w:rFonts w:hAnsi="宋体" w:hint="eastAsia"/>
          <w:sz w:val="21"/>
          <w:szCs w:val="21"/>
        </w:rPr>
        <w:t>解冻周期数条件下的各等分的分析。您必须描述在推荐的存储和处理条件下回收率的可接受范围标准【参考</w:t>
      </w:r>
      <w:r w:rsidRPr="00EC3DB5">
        <w:rPr>
          <w:sz w:val="21"/>
          <w:szCs w:val="21"/>
        </w:rPr>
        <w:t>15</w:t>
      </w:r>
      <w:r w:rsidRPr="00EC3DB5">
        <w:rPr>
          <w:rFonts w:hAnsi="宋体" w:hint="eastAsia"/>
          <w:sz w:val="21"/>
          <w:szCs w:val="21"/>
        </w:rPr>
        <w:t>】。</w:t>
      </w:r>
    </w:p>
    <w:p w:rsidR="00FE0870" w:rsidRPr="00EC3DB5" w:rsidRDefault="00FE0870" w:rsidP="00D20CDC">
      <w:pPr>
        <w:pStyle w:val="3"/>
        <w:numPr>
          <w:ilvl w:val="2"/>
          <w:numId w:val="6"/>
        </w:numPr>
        <w:kinsoku w:val="0"/>
        <w:overflowPunct w:val="0"/>
        <w:snapToGrid w:val="0"/>
        <w:spacing w:beforeLines="50" w:line="360" w:lineRule="auto"/>
        <w:ind w:left="0" w:firstLine="0"/>
        <w:jc w:val="both"/>
        <w:rPr>
          <w:b w:val="0"/>
          <w:bCs w:val="0"/>
          <w:sz w:val="21"/>
          <w:szCs w:val="21"/>
        </w:rPr>
      </w:pPr>
      <w:bookmarkStart w:id="72" w:name="7.2.9_Other_Analytical_Studies"/>
      <w:bookmarkStart w:id="73" w:name="bookmark22"/>
      <w:bookmarkStart w:id="74" w:name="_Toc496797928"/>
      <w:bookmarkEnd w:id="72"/>
      <w:bookmarkEnd w:id="73"/>
      <w:r w:rsidRPr="00EC3DB5">
        <w:rPr>
          <w:rFonts w:hAnsi="宋体" w:hint="eastAsia"/>
          <w:sz w:val="21"/>
          <w:szCs w:val="21"/>
        </w:rPr>
        <w:t>其他分析性研究</w:t>
      </w:r>
      <w:bookmarkEnd w:id="74"/>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建议您实施适用于您的器械的各项额外的分析性能研究。适用时，我们建议您在试验组中包含良好表征的抗</w:t>
      </w:r>
      <w:r w:rsidRPr="00EC3DB5">
        <w:rPr>
          <w:sz w:val="21"/>
          <w:szCs w:val="21"/>
        </w:rPr>
        <w:t>JCV</w:t>
      </w:r>
      <w:r w:rsidRPr="00EC3DB5">
        <w:rPr>
          <w:rFonts w:hAnsi="宋体" w:hint="eastAsia"/>
          <w:sz w:val="21"/>
          <w:szCs w:val="21"/>
        </w:rPr>
        <w:t>血清或血浆样本（如有）。若您意欲实施此类研究，建议您与体外诊断和放射健康办公室的微生物学器械部取得联系。</w:t>
      </w:r>
    </w:p>
    <w:p w:rsidR="00FE0870" w:rsidRPr="00EC3DB5" w:rsidRDefault="00FE0870" w:rsidP="00D20CDC">
      <w:pPr>
        <w:pStyle w:val="3"/>
        <w:numPr>
          <w:ilvl w:val="1"/>
          <w:numId w:val="5"/>
        </w:numPr>
        <w:kinsoku w:val="0"/>
        <w:overflowPunct w:val="0"/>
        <w:snapToGrid w:val="0"/>
        <w:spacing w:beforeLines="50" w:line="360" w:lineRule="auto"/>
        <w:ind w:left="0" w:firstLine="0"/>
        <w:jc w:val="both"/>
        <w:rPr>
          <w:b w:val="0"/>
          <w:bCs w:val="0"/>
          <w:sz w:val="21"/>
          <w:szCs w:val="21"/>
        </w:rPr>
      </w:pPr>
      <w:bookmarkStart w:id="75" w:name="7.3_Clinical_Performance"/>
      <w:bookmarkStart w:id="76" w:name="bookmark23"/>
      <w:bookmarkStart w:id="77" w:name="_Toc496797929"/>
      <w:bookmarkEnd w:id="75"/>
      <w:bookmarkEnd w:id="76"/>
      <w:r w:rsidRPr="00EC3DB5">
        <w:rPr>
          <w:rFonts w:hAnsi="宋体" w:hint="eastAsia"/>
          <w:sz w:val="21"/>
          <w:szCs w:val="21"/>
        </w:rPr>
        <w:t>临床表现</w:t>
      </w:r>
      <w:bookmarkEnd w:id="77"/>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来自临床研究的数据必须支持您的器械的使用适应症和声明。临床验证研究必须使用通过预期使用</w:t>
      </w:r>
      <w:r w:rsidR="00216DA8">
        <w:rPr>
          <w:rFonts w:hAnsi="宋体" w:hint="eastAsia"/>
          <w:sz w:val="21"/>
          <w:szCs w:val="21"/>
        </w:rPr>
        <w:t>人群</w:t>
      </w:r>
      <w:r w:rsidRPr="00EC3DB5">
        <w:rPr>
          <w:rFonts w:hAnsi="宋体" w:hint="eastAsia"/>
          <w:sz w:val="21"/>
          <w:szCs w:val="21"/>
        </w:rPr>
        <w:t>取得的患者样本。您必须描述各临床研究的协议，包括入选和排除标准、研究设计和统计分析方法等。</w:t>
      </w:r>
    </w:p>
    <w:p w:rsidR="00FE0870" w:rsidRPr="00EC3DB5" w:rsidRDefault="00FE0870" w:rsidP="00D20CDC">
      <w:pPr>
        <w:pStyle w:val="3"/>
        <w:numPr>
          <w:ilvl w:val="2"/>
          <w:numId w:val="5"/>
        </w:numPr>
        <w:kinsoku w:val="0"/>
        <w:overflowPunct w:val="0"/>
        <w:snapToGrid w:val="0"/>
        <w:spacing w:beforeLines="50" w:line="360" w:lineRule="auto"/>
        <w:ind w:left="0" w:firstLine="0"/>
        <w:jc w:val="both"/>
        <w:rPr>
          <w:b w:val="0"/>
          <w:bCs w:val="0"/>
          <w:sz w:val="21"/>
          <w:szCs w:val="21"/>
        </w:rPr>
      </w:pPr>
      <w:bookmarkStart w:id="78" w:name="7.3.1_Expected_Values"/>
      <w:bookmarkStart w:id="79" w:name="bookmark24"/>
      <w:bookmarkStart w:id="80" w:name="_Toc496797930"/>
      <w:bookmarkEnd w:id="78"/>
      <w:bookmarkEnd w:id="79"/>
      <w:r w:rsidRPr="00EC3DB5">
        <w:rPr>
          <w:rFonts w:hAnsi="宋体" w:hint="eastAsia"/>
          <w:sz w:val="21"/>
          <w:szCs w:val="21"/>
        </w:rPr>
        <w:t>期望值</w:t>
      </w:r>
      <w:bookmarkEnd w:id="80"/>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您必须建立代表器械预期使用</w:t>
      </w:r>
      <w:r w:rsidR="00216DA8">
        <w:rPr>
          <w:rFonts w:hAnsi="宋体" w:hint="eastAsia"/>
          <w:sz w:val="21"/>
          <w:szCs w:val="21"/>
        </w:rPr>
        <w:t>人群</w:t>
      </w:r>
      <w:r w:rsidRPr="00EC3DB5">
        <w:rPr>
          <w:rFonts w:hAnsi="宋体" w:hint="eastAsia"/>
          <w:sz w:val="21"/>
          <w:szCs w:val="21"/>
        </w:rPr>
        <w:t>和样本类型的患者</w:t>
      </w:r>
      <w:r w:rsidR="00216DA8">
        <w:rPr>
          <w:rFonts w:hAnsi="宋体" w:hint="eastAsia"/>
          <w:sz w:val="21"/>
          <w:szCs w:val="21"/>
        </w:rPr>
        <w:t>人群</w:t>
      </w:r>
      <w:r w:rsidRPr="00EC3DB5">
        <w:rPr>
          <w:rFonts w:hAnsi="宋体" w:hint="eastAsia"/>
          <w:sz w:val="21"/>
          <w:szCs w:val="21"/>
        </w:rPr>
        <w:t>中</w:t>
      </w:r>
      <w:r w:rsidRPr="00EC3DB5">
        <w:rPr>
          <w:sz w:val="21"/>
          <w:szCs w:val="21"/>
        </w:rPr>
        <w:t>JCV</w:t>
      </w:r>
      <w:r w:rsidRPr="00EC3DB5">
        <w:rPr>
          <w:rFonts w:hAnsi="宋体" w:hint="eastAsia"/>
          <w:sz w:val="21"/>
          <w:szCs w:val="21"/>
        </w:rPr>
        <w:t>抗体的期望值（所观测到的阳性率）。必须基于您的器械（而非实质等同比较的器械）提供此类结果。必须提供与研究</w:t>
      </w:r>
      <w:r w:rsidR="00216DA8">
        <w:rPr>
          <w:rFonts w:hAnsi="宋体" w:hint="eastAsia"/>
          <w:sz w:val="21"/>
          <w:szCs w:val="21"/>
        </w:rPr>
        <w:t>人群</w:t>
      </w:r>
      <w:r w:rsidRPr="00EC3DB5">
        <w:rPr>
          <w:rFonts w:hAnsi="宋体" w:hint="eastAsia"/>
          <w:sz w:val="21"/>
          <w:szCs w:val="21"/>
        </w:rPr>
        <w:t>相关的人口统计信息，如年龄、性别和地理区域等。必须提供按年龄分组、性别和地理区域进行分层的阳性、阴性和可疑（若适用）结果的百分数和数量。不得将献血者用于此项研究。</w:t>
      </w:r>
    </w:p>
    <w:p w:rsidR="00FE0870" w:rsidRPr="00EC3DB5" w:rsidRDefault="00FE0870" w:rsidP="00EC3DB5">
      <w:pPr>
        <w:pStyle w:val="3"/>
        <w:numPr>
          <w:ilvl w:val="2"/>
          <w:numId w:val="5"/>
        </w:numPr>
        <w:kinsoku w:val="0"/>
        <w:overflowPunct w:val="0"/>
        <w:snapToGrid w:val="0"/>
        <w:spacing w:line="360" w:lineRule="auto"/>
        <w:ind w:left="0" w:firstLine="0"/>
        <w:jc w:val="both"/>
        <w:rPr>
          <w:b w:val="0"/>
          <w:bCs w:val="0"/>
          <w:sz w:val="21"/>
          <w:szCs w:val="21"/>
        </w:rPr>
      </w:pPr>
      <w:bookmarkStart w:id="81" w:name="7.3.2_Clinical_Studies"/>
      <w:bookmarkStart w:id="82" w:name="bookmark25"/>
      <w:bookmarkEnd w:id="81"/>
      <w:bookmarkEnd w:id="82"/>
      <w:r w:rsidRPr="00EC3DB5">
        <w:rPr>
          <w:sz w:val="21"/>
          <w:szCs w:val="21"/>
        </w:rPr>
        <w:br w:type="page"/>
      </w:r>
      <w:bookmarkStart w:id="83" w:name="_Toc496797931"/>
      <w:r w:rsidRPr="00EC3DB5">
        <w:rPr>
          <w:rFonts w:hAnsi="宋体" w:hint="eastAsia"/>
          <w:sz w:val="21"/>
          <w:szCs w:val="21"/>
        </w:rPr>
        <w:lastRenderedPageBreak/>
        <w:t>临床研究</w:t>
      </w:r>
      <w:bookmarkEnd w:id="83"/>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您必须在提交文件中提供用于评估器械以解决以下各项要点的数据：</w:t>
      </w:r>
    </w:p>
    <w:p w:rsidR="00FE0870" w:rsidRPr="00EC3DB5" w:rsidRDefault="00FE0870" w:rsidP="00D20CDC">
      <w:pPr>
        <w:pStyle w:val="a3"/>
        <w:numPr>
          <w:ilvl w:val="0"/>
          <w:numId w:val="4"/>
        </w:numPr>
        <w:kinsoku w:val="0"/>
        <w:overflowPunct w:val="0"/>
        <w:snapToGrid w:val="0"/>
        <w:spacing w:beforeLines="50" w:line="360" w:lineRule="auto"/>
        <w:ind w:leftChars="200" w:left="690" w:hangingChars="100" w:hanging="210"/>
        <w:jc w:val="both"/>
        <w:rPr>
          <w:sz w:val="21"/>
          <w:szCs w:val="21"/>
        </w:rPr>
      </w:pPr>
      <w:r w:rsidRPr="00EC3DB5">
        <w:rPr>
          <w:rFonts w:hAnsi="宋体" w:hint="eastAsia"/>
          <w:sz w:val="21"/>
          <w:szCs w:val="21"/>
        </w:rPr>
        <w:t>您的器械所产生的阳性抗</w:t>
      </w:r>
      <w:r w:rsidRPr="00EC3DB5">
        <w:rPr>
          <w:sz w:val="21"/>
          <w:szCs w:val="21"/>
        </w:rPr>
        <w:t>JCV</w:t>
      </w:r>
      <w:r w:rsidRPr="00EC3DB5">
        <w:rPr>
          <w:rFonts w:hAnsi="宋体" w:hint="eastAsia"/>
          <w:sz w:val="21"/>
          <w:szCs w:val="21"/>
        </w:rPr>
        <w:t>结果是否是预期使用患者中</w:t>
      </w:r>
      <w:r w:rsidRPr="00EC3DB5">
        <w:rPr>
          <w:sz w:val="21"/>
          <w:szCs w:val="21"/>
        </w:rPr>
        <w:t>PML</w:t>
      </w:r>
      <w:r w:rsidRPr="00EC3DB5">
        <w:rPr>
          <w:rFonts w:hAnsi="宋体" w:hint="eastAsia"/>
          <w:sz w:val="21"/>
          <w:szCs w:val="21"/>
        </w:rPr>
        <w:t>发病的一个风险因素；</w:t>
      </w:r>
    </w:p>
    <w:p w:rsidR="00FE0870" w:rsidRPr="00EC3DB5" w:rsidRDefault="00FE0870" w:rsidP="00BD2D9F">
      <w:pPr>
        <w:pStyle w:val="a3"/>
        <w:numPr>
          <w:ilvl w:val="0"/>
          <w:numId w:val="4"/>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您的器械所产生的抗</w:t>
      </w:r>
      <w:r w:rsidRPr="00EC3DB5">
        <w:rPr>
          <w:sz w:val="21"/>
          <w:szCs w:val="21"/>
        </w:rPr>
        <w:t>JCV</w:t>
      </w:r>
      <w:r w:rsidRPr="00EC3DB5">
        <w:rPr>
          <w:rFonts w:hAnsi="宋体" w:hint="eastAsia"/>
          <w:sz w:val="21"/>
          <w:szCs w:val="21"/>
        </w:rPr>
        <w:t>结果是否能够在当前已知风险因素之外提供与</w:t>
      </w:r>
      <w:r w:rsidRPr="00EC3DB5">
        <w:rPr>
          <w:sz w:val="21"/>
          <w:szCs w:val="21"/>
        </w:rPr>
        <w:t>PML</w:t>
      </w:r>
      <w:r w:rsidRPr="00EC3DB5">
        <w:rPr>
          <w:rFonts w:hAnsi="宋体" w:hint="eastAsia"/>
          <w:sz w:val="21"/>
          <w:szCs w:val="21"/>
        </w:rPr>
        <w:t>风险相关的额外信息。</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器械的性能是通过敏感性和特异性，阳性和阴性似然比或阳性测试结果的</w:t>
      </w:r>
      <w:r w:rsidRPr="00EC3DB5">
        <w:rPr>
          <w:sz w:val="21"/>
          <w:szCs w:val="21"/>
        </w:rPr>
        <w:t>PML</w:t>
      </w:r>
      <w:r w:rsidRPr="00EC3DB5">
        <w:rPr>
          <w:rFonts w:hAnsi="宋体" w:hint="eastAsia"/>
          <w:sz w:val="21"/>
          <w:szCs w:val="21"/>
        </w:rPr>
        <w:t>风险、阴性测试结果的</w:t>
      </w:r>
      <w:r w:rsidRPr="00EC3DB5">
        <w:rPr>
          <w:sz w:val="21"/>
          <w:szCs w:val="21"/>
        </w:rPr>
        <w:t>PML</w:t>
      </w:r>
      <w:r w:rsidRPr="00EC3DB5">
        <w:rPr>
          <w:rFonts w:hAnsi="宋体" w:hint="eastAsia"/>
          <w:sz w:val="21"/>
          <w:szCs w:val="21"/>
        </w:rPr>
        <w:t>风险和检测前的</w:t>
      </w:r>
      <w:r w:rsidRPr="00EC3DB5">
        <w:rPr>
          <w:sz w:val="21"/>
          <w:szCs w:val="21"/>
        </w:rPr>
        <w:t>PML</w:t>
      </w:r>
      <w:r w:rsidRPr="00EC3DB5">
        <w:rPr>
          <w:rFonts w:hAnsi="宋体" w:hint="eastAsia"/>
          <w:sz w:val="21"/>
          <w:szCs w:val="21"/>
        </w:rPr>
        <w:t>风险等进行描述的。若阳性结果的</w:t>
      </w:r>
      <w:r w:rsidRPr="00EC3DB5">
        <w:rPr>
          <w:sz w:val="21"/>
          <w:szCs w:val="21"/>
        </w:rPr>
        <w:t>PML</w:t>
      </w:r>
      <w:r w:rsidRPr="00EC3DB5">
        <w:rPr>
          <w:rFonts w:hAnsi="宋体" w:hint="eastAsia"/>
          <w:sz w:val="21"/>
          <w:szCs w:val="21"/>
        </w:rPr>
        <w:t>风险高于检测前的</w:t>
      </w:r>
      <w:r w:rsidRPr="00EC3DB5">
        <w:rPr>
          <w:sz w:val="21"/>
          <w:szCs w:val="21"/>
        </w:rPr>
        <w:t>PML</w:t>
      </w:r>
      <w:r w:rsidRPr="00EC3DB5">
        <w:rPr>
          <w:rFonts w:hAnsi="宋体" w:hint="eastAsia"/>
          <w:sz w:val="21"/>
          <w:szCs w:val="21"/>
        </w:rPr>
        <w:t>风险，或阴性测试结果的</w:t>
      </w:r>
      <w:r w:rsidRPr="00EC3DB5">
        <w:rPr>
          <w:sz w:val="21"/>
          <w:szCs w:val="21"/>
        </w:rPr>
        <w:t>PML</w:t>
      </w:r>
      <w:r w:rsidRPr="00EC3DB5">
        <w:rPr>
          <w:rFonts w:hAnsi="宋体" w:hint="eastAsia"/>
          <w:sz w:val="21"/>
          <w:szCs w:val="21"/>
        </w:rPr>
        <w:t>风险低于检测前的</w:t>
      </w:r>
      <w:r w:rsidRPr="00EC3DB5">
        <w:rPr>
          <w:sz w:val="21"/>
          <w:szCs w:val="21"/>
        </w:rPr>
        <w:t>PML</w:t>
      </w:r>
      <w:r w:rsidRPr="00EC3DB5">
        <w:rPr>
          <w:rFonts w:hAnsi="宋体" w:hint="eastAsia"/>
          <w:sz w:val="21"/>
          <w:szCs w:val="21"/>
        </w:rPr>
        <w:t>风险，则阳性检测结果是一项风险因素。</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阳性检测结果的</w:t>
      </w:r>
      <w:r w:rsidRPr="00EC3DB5">
        <w:rPr>
          <w:sz w:val="21"/>
          <w:szCs w:val="21"/>
        </w:rPr>
        <w:t>PML</w:t>
      </w:r>
      <w:r w:rsidRPr="00EC3DB5">
        <w:rPr>
          <w:rFonts w:hAnsi="宋体" w:hint="eastAsia"/>
          <w:sz w:val="21"/>
          <w:szCs w:val="21"/>
        </w:rPr>
        <w:t>概率等于</w:t>
      </w:r>
      <w:r w:rsidRPr="00EC3DB5">
        <w:rPr>
          <w:sz w:val="21"/>
          <w:szCs w:val="21"/>
        </w:rPr>
        <w:t>PML</w:t>
      </w:r>
      <w:r w:rsidRPr="00EC3DB5">
        <w:rPr>
          <w:rFonts w:hAnsi="宋体" w:hint="eastAsia"/>
          <w:sz w:val="21"/>
          <w:szCs w:val="21"/>
        </w:rPr>
        <w:t>受试者的阳性率乘以检测前的</w:t>
      </w:r>
      <w:r w:rsidRPr="00EC3DB5">
        <w:rPr>
          <w:sz w:val="21"/>
          <w:szCs w:val="21"/>
        </w:rPr>
        <w:t>PML</w:t>
      </w:r>
      <w:r w:rsidRPr="00EC3DB5">
        <w:rPr>
          <w:rFonts w:hAnsi="宋体" w:hint="eastAsia"/>
          <w:sz w:val="21"/>
          <w:szCs w:val="21"/>
        </w:rPr>
        <w:t>风险，除以预期使用</w:t>
      </w:r>
      <w:r w:rsidR="00216DA8">
        <w:rPr>
          <w:rFonts w:hAnsi="宋体" w:hint="eastAsia"/>
          <w:sz w:val="21"/>
          <w:szCs w:val="21"/>
        </w:rPr>
        <w:t>人群</w:t>
      </w:r>
      <w:r w:rsidRPr="00EC3DB5">
        <w:rPr>
          <w:rFonts w:hAnsi="宋体" w:hint="eastAsia"/>
          <w:sz w:val="21"/>
          <w:szCs w:val="21"/>
        </w:rPr>
        <w:t>所有受试者的阳性率。</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阳性检测结果</w:t>
      </w:r>
      <w:r w:rsidRPr="00EC3DB5">
        <w:rPr>
          <w:sz w:val="21"/>
          <w:szCs w:val="21"/>
        </w:rPr>
        <w:t>PML</w:t>
      </w:r>
      <w:r w:rsidRPr="00EC3DB5">
        <w:rPr>
          <w:rFonts w:hAnsi="宋体" w:hint="eastAsia"/>
          <w:sz w:val="21"/>
          <w:szCs w:val="21"/>
        </w:rPr>
        <w:t>风险与检测前</w:t>
      </w:r>
      <w:r w:rsidRPr="00EC3DB5">
        <w:rPr>
          <w:sz w:val="21"/>
          <w:szCs w:val="21"/>
        </w:rPr>
        <w:t>PML</w:t>
      </w:r>
      <w:r w:rsidRPr="00EC3DB5">
        <w:rPr>
          <w:rFonts w:hAnsi="宋体" w:hint="eastAsia"/>
          <w:sz w:val="21"/>
          <w:szCs w:val="21"/>
        </w:rPr>
        <w:t>风险相比的增加值等于</w:t>
      </w:r>
      <w:r w:rsidRPr="00EC3DB5">
        <w:rPr>
          <w:sz w:val="21"/>
          <w:szCs w:val="21"/>
        </w:rPr>
        <w:t>PML</w:t>
      </w:r>
      <w:r w:rsidRPr="00EC3DB5">
        <w:rPr>
          <w:rFonts w:hAnsi="宋体" w:hint="eastAsia"/>
          <w:sz w:val="21"/>
          <w:szCs w:val="21"/>
        </w:rPr>
        <w:t>受试者阳性率与全部受试者阳性率之比。敏感性和特异性的估计值均为二项式比率；因此，在计算中可将</w:t>
      </w:r>
      <w:r w:rsidRPr="00EC3DB5">
        <w:rPr>
          <w:sz w:val="21"/>
          <w:szCs w:val="21"/>
        </w:rPr>
        <w:t>PMA</w:t>
      </w:r>
      <w:r w:rsidRPr="00EC3DB5">
        <w:rPr>
          <w:rFonts w:hAnsi="宋体" w:hint="eastAsia"/>
          <w:sz w:val="21"/>
          <w:szCs w:val="21"/>
        </w:rPr>
        <w:t>的概率看作是一个常数。</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如果</w:t>
      </w:r>
      <w:r w:rsidRPr="00EC3DB5">
        <w:rPr>
          <w:sz w:val="21"/>
          <w:szCs w:val="21"/>
        </w:rPr>
        <w:t>PML</w:t>
      </w:r>
      <w:r w:rsidRPr="00EC3DB5">
        <w:rPr>
          <w:rFonts w:hAnsi="宋体" w:hint="eastAsia"/>
          <w:sz w:val="21"/>
          <w:szCs w:val="21"/>
        </w:rPr>
        <w:t>受试者器械的阳性率在统计学上高于预期使用</w:t>
      </w:r>
      <w:r w:rsidR="00216DA8">
        <w:rPr>
          <w:rFonts w:hAnsi="宋体" w:hint="eastAsia"/>
          <w:sz w:val="21"/>
          <w:szCs w:val="21"/>
        </w:rPr>
        <w:t>人群</w:t>
      </w:r>
      <w:r w:rsidRPr="00EC3DB5">
        <w:rPr>
          <w:rFonts w:hAnsi="宋体" w:hint="eastAsia"/>
          <w:sz w:val="21"/>
          <w:szCs w:val="21"/>
        </w:rPr>
        <w:t>器械的阳性率，则认为该器械具有统计学意义。为了证明这一点，您必须提供以下数据：</w:t>
      </w:r>
    </w:p>
    <w:p w:rsidR="00FE0870" w:rsidRPr="00EC3DB5" w:rsidRDefault="00FE0870" w:rsidP="00D20CDC">
      <w:pPr>
        <w:pStyle w:val="a3"/>
        <w:numPr>
          <w:ilvl w:val="1"/>
          <w:numId w:val="4"/>
        </w:numPr>
        <w:kinsoku w:val="0"/>
        <w:overflowPunct w:val="0"/>
        <w:snapToGrid w:val="0"/>
        <w:spacing w:beforeLines="50" w:line="360" w:lineRule="auto"/>
        <w:ind w:leftChars="200" w:left="690" w:hangingChars="100" w:hanging="210"/>
        <w:jc w:val="both"/>
        <w:rPr>
          <w:sz w:val="21"/>
          <w:szCs w:val="21"/>
        </w:rPr>
      </w:pPr>
      <w:r w:rsidRPr="00EC3DB5">
        <w:rPr>
          <w:rFonts w:hAnsi="宋体" w:hint="eastAsia"/>
          <w:sz w:val="21"/>
          <w:szCs w:val="21"/>
        </w:rPr>
        <w:t>在</w:t>
      </w:r>
      <w:r w:rsidRPr="00EC3DB5">
        <w:rPr>
          <w:sz w:val="21"/>
          <w:szCs w:val="21"/>
        </w:rPr>
        <w:t>PML</w:t>
      </w:r>
      <w:r w:rsidRPr="00EC3DB5">
        <w:rPr>
          <w:rFonts w:hAnsi="宋体" w:hint="eastAsia"/>
          <w:sz w:val="21"/>
          <w:szCs w:val="21"/>
        </w:rPr>
        <w:t>临床诊断之前通过已确诊的</w:t>
      </w:r>
      <w:r w:rsidRPr="00EC3DB5">
        <w:rPr>
          <w:sz w:val="21"/>
          <w:szCs w:val="21"/>
        </w:rPr>
        <w:t>PML</w:t>
      </w:r>
      <w:r w:rsidRPr="00EC3DB5">
        <w:rPr>
          <w:rFonts w:hAnsi="宋体" w:hint="eastAsia"/>
          <w:sz w:val="21"/>
          <w:szCs w:val="21"/>
        </w:rPr>
        <w:t>患者采集的样本的器械结果。您必须就每一名</w:t>
      </w:r>
      <w:r w:rsidRPr="00EC3DB5">
        <w:rPr>
          <w:sz w:val="21"/>
          <w:szCs w:val="21"/>
        </w:rPr>
        <w:t>PML</w:t>
      </w:r>
      <w:r w:rsidRPr="00EC3DB5">
        <w:rPr>
          <w:rFonts w:hAnsi="宋体" w:hint="eastAsia"/>
          <w:sz w:val="21"/>
          <w:szCs w:val="21"/>
        </w:rPr>
        <w:t>患者提供与样本采集时间和其他风险因素状况相关的信息。使用</w:t>
      </w:r>
      <w:r w:rsidRPr="00EC3DB5">
        <w:rPr>
          <w:sz w:val="21"/>
          <w:szCs w:val="21"/>
        </w:rPr>
        <w:t>95%</w:t>
      </w:r>
      <w:r w:rsidRPr="00EC3DB5">
        <w:rPr>
          <w:rFonts w:hAnsi="宋体" w:hint="eastAsia"/>
          <w:sz w:val="21"/>
          <w:szCs w:val="21"/>
        </w:rPr>
        <w:t>的置信区间计算您的器械在用于</w:t>
      </w:r>
      <w:r w:rsidRPr="00EC3DB5">
        <w:rPr>
          <w:sz w:val="21"/>
          <w:szCs w:val="21"/>
        </w:rPr>
        <w:t>PML</w:t>
      </w:r>
      <w:r w:rsidRPr="00EC3DB5">
        <w:rPr>
          <w:rFonts w:hAnsi="宋体" w:hint="eastAsia"/>
          <w:sz w:val="21"/>
          <w:szCs w:val="21"/>
        </w:rPr>
        <w:t>患者时的阳性结果百分数（敏感性）。在计算比值的置信区间时，推荐使用</w:t>
      </w:r>
      <w:r w:rsidRPr="00EC3DB5">
        <w:rPr>
          <w:sz w:val="21"/>
          <w:szCs w:val="21"/>
        </w:rPr>
        <w:t>CLSI</w:t>
      </w:r>
      <w:r w:rsidRPr="00EC3DB5">
        <w:rPr>
          <w:rFonts w:hAnsi="宋体" w:hint="eastAsia"/>
          <w:sz w:val="21"/>
          <w:szCs w:val="21"/>
        </w:rPr>
        <w:t>文件</w:t>
      </w:r>
      <w:r w:rsidRPr="00EC3DB5">
        <w:rPr>
          <w:sz w:val="21"/>
          <w:szCs w:val="21"/>
        </w:rPr>
        <w:t>EP12-A2</w:t>
      </w:r>
      <w:r w:rsidRPr="00EC3DB5">
        <w:rPr>
          <w:rFonts w:hAnsi="宋体" w:hint="eastAsia"/>
          <w:sz w:val="21"/>
          <w:szCs w:val="21"/>
        </w:rPr>
        <w:t>中描述的评分方法【参考</w:t>
      </w:r>
      <w:r w:rsidRPr="00EC3DB5">
        <w:rPr>
          <w:sz w:val="21"/>
          <w:szCs w:val="21"/>
        </w:rPr>
        <w:t>11</w:t>
      </w:r>
      <w:r w:rsidRPr="00EC3DB5">
        <w:rPr>
          <w:rFonts w:hAnsi="宋体" w:hint="eastAsia"/>
          <w:sz w:val="21"/>
          <w:szCs w:val="21"/>
        </w:rPr>
        <w:t>】。</w:t>
      </w:r>
    </w:p>
    <w:p w:rsidR="00FE0870" w:rsidRPr="00EC3DB5" w:rsidRDefault="00FE0870" w:rsidP="00BD2D9F">
      <w:pPr>
        <w:pStyle w:val="a3"/>
        <w:numPr>
          <w:ilvl w:val="1"/>
          <w:numId w:val="4"/>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通过代表预期使用</w:t>
      </w:r>
      <w:r w:rsidR="00216DA8">
        <w:rPr>
          <w:rFonts w:hAnsi="宋体" w:hint="eastAsia"/>
          <w:sz w:val="21"/>
          <w:szCs w:val="21"/>
        </w:rPr>
        <w:t>人群</w:t>
      </w:r>
      <w:r w:rsidRPr="00EC3DB5">
        <w:rPr>
          <w:rFonts w:hAnsi="宋体" w:hint="eastAsia"/>
          <w:sz w:val="21"/>
          <w:szCs w:val="21"/>
        </w:rPr>
        <w:t>的患者所采集的样本的器械结果。提供这些患者的人口统计学特征及其他相关临床信息。使用</w:t>
      </w:r>
      <w:r w:rsidRPr="00EC3DB5">
        <w:rPr>
          <w:sz w:val="21"/>
          <w:szCs w:val="21"/>
        </w:rPr>
        <w:t>95%</w:t>
      </w:r>
      <w:r w:rsidRPr="00EC3DB5">
        <w:rPr>
          <w:rFonts w:hAnsi="宋体" w:hint="eastAsia"/>
          <w:sz w:val="21"/>
          <w:szCs w:val="21"/>
        </w:rPr>
        <w:t>的置信区间计算器械在预期使用</w:t>
      </w:r>
      <w:r w:rsidR="00216DA8">
        <w:rPr>
          <w:rFonts w:hAnsi="宋体" w:hint="eastAsia"/>
          <w:sz w:val="21"/>
          <w:szCs w:val="21"/>
        </w:rPr>
        <w:t>人群</w:t>
      </w:r>
      <w:r w:rsidRPr="00EC3DB5">
        <w:rPr>
          <w:rFonts w:hAnsi="宋体" w:hint="eastAsia"/>
          <w:sz w:val="21"/>
          <w:szCs w:val="21"/>
        </w:rPr>
        <w:t>中阳性结果的百分数。</w:t>
      </w:r>
    </w:p>
    <w:p w:rsidR="00FE0870" w:rsidRPr="00EC3DB5" w:rsidRDefault="00FE0870" w:rsidP="00EC3DB5">
      <w:pPr>
        <w:pStyle w:val="a3"/>
        <w:kinsoku w:val="0"/>
        <w:overflowPunct w:val="0"/>
        <w:snapToGrid w:val="0"/>
        <w:spacing w:line="360" w:lineRule="auto"/>
        <w:ind w:left="0"/>
        <w:jc w:val="both"/>
        <w:rPr>
          <w:sz w:val="21"/>
          <w:szCs w:val="21"/>
        </w:rPr>
      </w:pPr>
      <w:r w:rsidRPr="00EC3DB5">
        <w:rPr>
          <w:sz w:val="21"/>
          <w:szCs w:val="21"/>
        </w:rPr>
        <w:br w:type="page"/>
      </w:r>
    </w:p>
    <w:p w:rsidR="00FE0870" w:rsidRPr="00EC3DB5" w:rsidRDefault="00FE0870" w:rsidP="00EC3DB5">
      <w:pPr>
        <w:pStyle w:val="a3"/>
        <w:numPr>
          <w:ilvl w:val="1"/>
          <w:numId w:val="4"/>
        </w:numPr>
        <w:kinsoku w:val="0"/>
        <w:overflowPunct w:val="0"/>
        <w:snapToGrid w:val="0"/>
        <w:spacing w:line="360" w:lineRule="auto"/>
        <w:ind w:left="424" w:hangingChars="202" w:hanging="424"/>
        <w:jc w:val="both"/>
        <w:rPr>
          <w:sz w:val="21"/>
          <w:szCs w:val="21"/>
        </w:rPr>
      </w:pPr>
      <w:r w:rsidRPr="00EC3DB5">
        <w:rPr>
          <w:sz w:val="21"/>
          <w:szCs w:val="21"/>
        </w:rPr>
        <w:lastRenderedPageBreak/>
        <w:t>PML</w:t>
      </w:r>
      <w:r w:rsidRPr="00EC3DB5">
        <w:rPr>
          <w:rFonts w:hAnsi="宋体" w:hint="eastAsia"/>
          <w:sz w:val="21"/>
          <w:szCs w:val="21"/>
        </w:rPr>
        <w:t>受试者阳性率的计算比值和预期使用</w:t>
      </w:r>
      <w:r w:rsidR="00216DA8">
        <w:rPr>
          <w:rFonts w:hAnsi="宋体" w:hint="eastAsia"/>
          <w:sz w:val="21"/>
          <w:szCs w:val="21"/>
        </w:rPr>
        <w:t>人群</w:t>
      </w:r>
      <w:r w:rsidRPr="00EC3DB5">
        <w:rPr>
          <w:rFonts w:hAnsi="宋体" w:hint="eastAsia"/>
          <w:sz w:val="21"/>
          <w:szCs w:val="21"/>
        </w:rPr>
        <w:t>使用</w:t>
      </w:r>
      <w:r w:rsidRPr="00EC3DB5">
        <w:rPr>
          <w:sz w:val="21"/>
          <w:szCs w:val="21"/>
        </w:rPr>
        <w:t>95%</w:t>
      </w:r>
      <w:r w:rsidRPr="00EC3DB5">
        <w:rPr>
          <w:rFonts w:hAnsi="宋体" w:hint="eastAsia"/>
          <w:sz w:val="21"/>
          <w:szCs w:val="21"/>
        </w:rPr>
        <w:t>置信区间的阳性率。您的数据必须能够证明</w:t>
      </w:r>
      <w:r w:rsidRPr="00EC3DB5">
        <w:rPr>
          <w:sz w:val="21"/>
          <w:szCs w:val="21"/>
        </w:rPr>
        <w:t>PML</w:t>
      </w:r>
      <w:r w:rsidRPr="00EC3DB5">
        <w:rPr>
          <w:rFonts w:hAnsi="宋体" w:hint="eastAsia"/>
          <w:sz w:val="21"/>
          <w:szCs w:val="21"/>
        </w:rPr>
        <w:t>受试者的阳性率在统计学上高于预期使用</w:t>
      </w:r>
      <w:r w:rsidR="00216DA8">
        <w:rPr>
          <w:rFonts w:hAnsi="宋体" w:hint="eastAsia"/>
          <w:sz w:val="21"/>
          <w:szCs w:val="21"/>
        </w:rPr>
        <w:t>人群</w:t>
      </w:r>
      <w:r w:rsidRPr="00EC3DB5">
        <w:rPr>
          <w:rFonts w:hAnsi="宋体" w:hint="eastAsia"/>
          <w:sz w:val="21"/>
          <w:szCs w:val="21"/>
        </w:rPr>
        <w:t>的阳性率，且这些阳性率值在临床上均是可接受的。</w:t>
      </w:r>
    </w:p>
    <w:p w:rsidR="00FE0870" w:rsidRPr="00EC3DB5" w:rsidRDefault="00FE0870" w:rsidP="00EC3DB5">
      <w:pPr>
        <w:pStyle w:val="a3"/>
        <w:numPr>
          <w:ilvl w:val="1"/>
          <w:numId w:val="4"/>
        </w:numPr>
        <w:kinsoku w:val="0"/>
        <w:overflowPunct w:val="0"/>
        <w:snapToGrid w:val="0"/>
        <w:spacing w:line="360" w:lineRule="auto"/>
        <w:ind w:left="424" w:hangingChars="202" w:hanging="424"/>
        <w:jc w:val="both"/>
        <w:rPr>
          <w:sz w:val="21"/>
          <w:szCs w:val="21"/>
        </w:rPr>
      </w:pPr>
      <w:r w:rsidRPr="00EC3DB5">
        <w:rPr>
          <w:rFonts w:hAnsi="宋体" w:hint="eastAsia"/>
          <w:sz w:val="21"/>
          <w:szCs w:val="21"/>
        </w:rPr>
        <w:t>考虑敏感性估计值（您的器械用于</w:t>
      </w:r>
      <w:r w:rsidRPr="00EC3DB5">
        <w:rPr>
          <w:sz w:val="21"/>
          <w:szCs w:val="21"/>
        </w:rPr>
        <w:t>PML</w:t>
      </w:r>
      <w:r w:rsidRPr="00EC3DB5">
        <w:rPr>
          <w:rFonts w:hAnsi="宋体" w:hint="eastAsia"/>
          <w:sz w:val="21"/>
          <w:szCs w:val="21"/>
        </w:rPr>
        <w:t>的阳性率）、您的器械在预期使用</w:t>
      </w:r>
      <w:r w:rsidR="00216DA8">
        <w:rPr>
          <w:rFonts w:hAnsi="宋体" w:hint="eastAsia"/>
          <w:sz w:val="21"/>
          <w:szCs w:val="21"/>
        </w:rPr>
        <w:t>人群</w:t>
      </w:r>
      <w:r w:rsidRPr="00EC3DB5">
        <w:rPr>
          <w:rFonts w:hAnsi="宋体" w:hint="eastAsia"/>
          <w:sz w:val="21"/>
          <w:szCs w:val="21"/>
        </w:rPr>
        <w:t>中的阳性率和</w:t>
      </w:r>
      <w:r w:rsidRPr="00EC3DB5">
        <w:rPr>
          <w:sz w:val="21"/>
          <w:szCs w:val="21"/>
        </w:rPr>
        <w:t>PML</w:t>
      </w:r>
      <w:r w:rsidRPr="00EC3DB5">
        <w:rPr>
          <w:rFonts w:hAnsi="宋体" w:hint="eastAsia"/>
          <w:sz w:val="21"/>
          <w:szCs w:val="21"/>
        </w:rPr>
        <w:t>的发生率，基于统计建模的器械性能。</w:t>
      </w:r>
      <w:r w:rsidRPr="00EC3DB5">
        <w:rPr>
          <w:sz w:val="21"/>
          <w:szCs w:val="21"/>
        </w:rPr>
        <w:t>FDA</w:t>
      </w:r>
      <w:r w:rsidRPr="00EC3DB5">
        <w:rPr>
          <w:rFonts w:hAnsi="宋体" w:hint="eastAsia"/>
          <w:sz w:val="21"/>
          <w:szCs w:val="21"/>
        </w:rPr>
        <w:t>将使用您的建模数据和风险估计值及使用</w:t>
      </w:r>
      <w:r w:rsidRPr="00EC3DB5">
        <w:rPr>
          <w:sz w:val="21"/>
          <w:szCs w:val="21"/>
        </w:rPr>
        <w:t>95%</w:t>
      </w:r>
      <w:r w:rsidRPr="00EC3DB5">
        <w:rPr>
          <w:rFonts w:hAnsi="宋体" w:hint="eastAsia"/>
          <w:sz w:val="21"/>
          <w:szCs w:val="21"/>
        </w:rPr>
        <w:t>置信区间的相对风险</w:t>
      </w:r>
      <w:r w:rsidR="00216DA8">
        <w:rPr>
          <w:rFonts w:hAnsi="宋体" w:hint="eastAsia"/>
          <w:sz w:val="21"/>
          <w:szCs w:val="21"/>
        </w:rPr>
        <w:t>填写</w:t>
      </w:r>
      <w:r w:rsidRPr="00EC3DB5">
        <w:rPr>
          <w:rFonts w:hAnsi="宋体" w:hint="eastAsia"/>
          <w:sz w:val="21"/>
          <w:szCs w:val="21"/>
        </w:rPr>
        <w:t>表</w:t>
      </w:r>
      <w:r w:rsidRPr="00EC3DB5">
        <w:rPr>
          <w:sz w:val="21"/>
          <w:szCs w:val="21"/>
        </w:rPr>
        <w:t>2</w:t>
      </w:r>
      <w:r w:rsidRPr="00EC3DB5">
        <w:rPr>
          <w:rFonts w:hAnsi="宋体" w:hint="eastAsia"/>
          <w:sz w:val="21"/>
          <w:szCs w:val="21"/>
        </w:rPr>
        <w:t>和表</w:t>
      </w:r>
      <w:r w:rsidRPr="00EC3DB5">
        <w:rPr>
          <w:sz w:val="21"/>
          <w:szCs w:val="21"/>
        </w:rPr>
        <w:t>3</w:t>
      </w:r>
      <w:r w:rsidRPr="00EC3DB5">
        <w:rPr>
          <w:rFonts w:hAnsi="宋体" w:hint="eastAsia"/>
          <w:sz w:val="21"/>
          <w:szCs w:val="21"/>
        </w:rPr>
        <w:t>：</w:t>
      </w:r>
    </w:p>
    <w:p w:rsidR="00FE0870" w:rsidRPr="00EC3DB5" w:rsidRDefault="00FE0870" w:rsidP="00EC3DB5">
      <w:pPr>
        <w:widowControl/>
        <w:autoSpaceDE/>
        <w:autoSpaceDN/>
        <w:snapToGrid w:val="0"/>
        <w:spacing w:line="360" w:lineRule="auto"/>
        <w:rPr>
          <w:sz w:val="21"/>
          <w:szCs w:val="21"/>
        </w:rPr>
      </w:pPr>
      <w:r w:rsidRPr="00EC3DB5">
        <w:rPr>
          <w:sz w:val="21"/>
          <w:szCs w:val="21"/>
        </w:rPr>
        <w:br w:type="page"/>
      </w:r>
    </w:p>
    <w:p w:rsidR="00FE0870" w:rsidRPr="00EC3DB5" w:rsidRDefault="00FE0870" w:rsidP="00EC3DB5">
      <w:pPr>
        <w:pStyle w:val="a3"/>
        <w:kinsoku w:val="0"/>
        <w:overflowPunct w:val="0"/>
        <w:snapToGrid w:val="0"/>
        <w:spacing w:line="360" w:lineRule="auto"/>
        <w:ind w:left="0"/>
        <w:jc w:val="center"/>
        <w:rPr>
          <w:sz w:val="21"/>
          <w:szCs w:val="21"/>
        </w:rPr>
      </w:pPr>
      <w:r w:rsidRPr="00EC3DB5">
        <w:rPr>
          <w:rFonts w:hAnsi="宋体" w:hint="eastAsia"/>
          <w:sz w:val="21"/>
          <w:szCs w:val="21"/>
        </w:rPr>
        <w:lastRenderedPageBreak/>
        <w:t>表</w:t>
      </w:r>
      <w:r w:rsidRPr="00EC3DB5">
        <w:rPr>
          <w:sz w:val="21"/>
          <w:szCs w:val="21"/>
        </w:rPr>
        <w:t>2</w:t>
      </w:r>
    </w:p>
    <w:tbl>
      <w:tblPr>
        <w:tblW w:w="5000" w:type="pct"/>
        <w:tblCellMar>
          <w:left w:w="0" w:type="dxa"/>
          <w:right w:w="0" w:type="dxa"/>
        </w:tblCellMar>
        <w:tblLook w:val="0000"/>
      </w:tblPr>
      <w:tblGrid>
        <w:gridCol w:w="2120"/>
        <w:gridCol w:w="2121"/>
        <w:gridCol w:w="2121"/>
        <w:gridCol w:w="2121"/>
      </w:tblGrid>
      <w:tr w:rsidR="00FE0870" w:rsidRPr="00BD2D9F" w:rsidTr="009902FD">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pStyle w:val="TableParagraph"/>
              <w:kinsoku w:val="0"/>
              <w:overflowPunct w:val="0"/>
              <w:snapToGrid w:val="0"/>
              <w:spacing w:line="360" w:lineRule="auto"/>
              <w:jc w:val="both"/>
              <w:rPr>
                <w:sz w:val="18"/>
                <w:szCs w:val="18"/>
              </w:rPr>
            </w:pPr>
            <w:r w:rsidRPr="00BD2D9F">
              <w:rPr>
                <w:rFonts w:hAnsi="宋体" w:hint="eastAsia"/>
                <w:sz w:val="18"/>
                <w:szCs w:val="18"/>
              </w:rPr>
              <w:t>患</w:t>
            </w:r>
            <w:r w:rsidRPr="00BD2D9F">
              <w:rPr>
                <w:sz w:val="18"/>
                <w:szCs w:val="18"/>
              </w:rPr>
              <w:t>PML</w:t>
            </w:r>
            <w:r w:rsidRPr="00BD2D9F">
              <w:rPr>
                <w:rFonts w:hAnsi="宋体" w:hint="eastAsia"/>
                <w:sz w:val="18"/>
                <w:szCs w:val="18"/>
              </w:rPr>
              <w:t>数</w:t>
            </w:r>
          </w:p>
        </w:tc>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pStyle w:val="TableParagraph"/>
              <w:kinsoku w:val="0"/>
              <w:overflowPunct w:val="0"/>
              <w:snapToGrid w:val="0"/>
              <w:spacing w:line="360" w:lineRule="auto"/>
              <w:jc w:val="both"/>
              <w:rPr>
                <w:sz w:val="18"/>
                <w:szCs w:val="18"/>
              </w:rPr>
            </w:pPr>
            <w:r w:rsidRPr="00BD2D9F">
              <w:rPr>
                <w:rFonts w:hAnsi="宋体" w:hint="eastAsia"/>
                <w:sz w:val="18"/>
                <w:szCs w:val="18"/>
              </w:rPr>
              <w:t>无</w:t>
            </w:r>
            <w:r w:rsidRPr="00BD2D9F">
              <w:rPr>
                <w:sz w:val="18"/>
                <w:szCs w:val="18"/>
              </w:rPr>
              <w:t>PML</w:t>
            </w:r>
            <w:r w:rsidRPr="00BD2D9F">
              <w:rPr>
                <w:rFonts w:hAnsi="宋体" w:hint="eastAsia"/>
                <w:sz w:val="18"/>
                <w:szCs w:val="18"/>
              </w:rPr>
              <w:t>数</w:t>
            </w:r>
          </w:p>
        </w:tc>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pStyle w:val="TableParagraph"/>
              <w:kinsoku w:val="0"/>
              <w:overflowPunct w:val="0"/>
              <w:snapToGrid w:val="0"/>
              <w:spacing w:line="360" w:lineRule="auto"/>
              <w:jc w:val="both"/>
              <w:rPr>
                <w:sz w:val="18"/>
                <w:szCs w:val="18"/>
              </w:rPr>
            </w:pPr>
            <w:r w:rsidRPr="00BD2D9F">
              <w:rPr>
                <w:rFonts w:hAnsi="宋体" w:hint="eastAsia"/>
                <w:sz w:val="18"/>
                <w:szCs w:val="18"/>
              </w:rPr>
              <w:t>总治疗患者数</w:t>
            </w:r>
          </w:p>
        </w:tc>
      </w:tr>
      <w:tr w:rsidR="00FE0870" w:rsidRPr="00BD2D9F" w:rsidTr="009902FD">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pStyle w:val="TableParagraph"/>
              <w:kinsoku w:val="0"/>
              <w:overflowPunct w:val="0"/>
              <w:snapToGrid w:val="0"/>
              <w:spacing w:line="360" w:lineRule="auto"/>
              <w:jc w:val="both"/>
              <w:rPr>
                <w:sz w:val="18"/>
                <w:szCs w:val="18"/>
              </w:rPr>
            </w:pPr>
            <w:r w:rsidRPr="00BD2D9F">
              <w:rPr>
                <w:rFonts w:hAnsi="宋体" w:hint="eastAsia"/>
                <w:sz w:val="18"/>
                <w:szCs w:val="18"/>
              </w:rPr>
              <w:t>器械阳性</w:t>
            </w:r>
          </w:p>
        </w:tc>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r>
      <w:tr w:rsidR="00FE0870" w:rsidRPr="00BD2D9F" w:rsidTr="009902FD">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pStyle w:val="TableParagraph"/>
              <w:kinsoku w:val="0"/>
              <w:overflowPunct w:val="0"/>
              <w:snapToGrid w:val="0"/>
              <w:spacing w:line="360" w:lineRule="auto"/>
              <w:jc w:val="both"/>
              <w:rPr>
                <w:sz w:val="18"/>
                <w:szCs w:val="18"/>
              </w:rPr>
            </w:pPr>
            <w:r w:rsidRPr="00BD2D9F">
              <w:rPr>
                <w:rFonts w:hAnsi="宋体" w:hint="eastAsia"/>
                <w:sz w:val="18"/>
                <w:szCs w:val="18"/>
              </w:rPr>
              <w:t>器械阴性</w:t>
            </w:r>
          </w:p>
        </w:tc>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r>
      <w:tr w:rsidR="00FE0870" w:rsidRPr="00BD2D9F" w:rsidTr="009902FD">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pStyle w:val="TableParagraph"/>
              <w:kinsoku w:val="0"/>
              <w:overflowPunct w:val="0"/>
              <w:snapToGrid w:val="0"/>
              <w:spacing w:line="360" w:lineRule="auto"/>
              <w:jc w:val="both"/>
              <w:rPr>
                <w:sz w:val="18"/>
                <w:szCs w:val="18"/>
              </w:rPr>
            </w:pPr>
            <w:r w:rsidRPr="00BD2D9F">
              <w:rPr>
                <w:rFonts w:hAnsi="宋体" w:hint="eastAsia"/>
                <w:sz w:val="18"/>
                <w:szCs w:val="18"/>
              </w:rPr>
              <w:t>总计</w:t>
            </w:r>
          </w:p>
        </w:tc>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c>
          <w:tcPr>
            <w:tcW w:w="12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r>
    </w:tbl>
    <w:p w:rsidR="00FE0870" w:rsidRPr="00BD2D9F" w:rsidRDefault="00FE0870" w:rsidP="00D20CDC">
      <w:pPr>
        <w:pStyle w:val="a3"/>
        <w:kinsoku w:val="0"/>
        <w:overflowPunct w:val="0"/>
        <w:snapToGrid w:val="0"/>
        <w:spacing w:beforeLines="100" w:line="360" w:lineRule="auto"/>
        <w:ind w:left="0"/>
        <w:jc w:val="center"/>
        <w:rPr>
          <w:sz w:val="18"/>
          <w:szCs w:val="18"/>
        </w:rPr>
      </w:pPr>
      <w:r w:rsidRPr="00BD2D9F">
        <w:rPr>
          <w:rFonts w:hAnsi="宋体" w:hint="eastAsia"/>
          <w:sz w:val="18"/>
          <w:szCs w:val="18"/>
        </w:rPr>
        <w:t>表</w:t>
      </w:r>
      <w:r w:rsidRPr="00BD2D9F">
        <w:rPr>
          <w:sz w:val="18"/>
          <w:szCs w:val="18"/>
        </w:rPr>
        <w:t>3</w:t>
      </w:r>
    </w:p>
    <w:tbl>
      <w:tblPr>
        <w:tblW w:w="5000" w:type="pct"/>
        <w:tblCellMar>
          <w:left w:w="0" w:type="dxa"/>
          <w:right w:w="0" w:type="dxa"/>
        </w:tblCellMar>
        <w:tblLook w:val="0000"/>
      </w:tblPr>
      <w:tblGrid>
        <w:gridCol w:w="4241"/>
        <w:gridCol w:w="4242"/>
      </w:tblGrid>
      <w:tr w:rsidR="00FE0870" w:rsidRPr="00BD2D9F" w:rsidTr="009902FD">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pStyle w:val="TableParagraph"/>
              <w:kinsoku w:val="0"/>
              <w:overflowPunct w:val="0"/>
              <w:snapToGrid w:val="0"/>
              <w:spacing w:line="360" w:lineRule="auto"/>
              <w:jc w:val="both"/>
              <w:rPr>
                <w:sz w:val="18"/>
                <w:szCs w:val="18"/>
              </w:rPr>
            </w:pPr>
            <w:r w:rsidRPr="00BD2D9F">
              <w:rPr>
                <w:rFonts w:hAnsi="宋体" w:hint="eastAsia"/>
                <w:sz w:val="18"/>
                <w:szCs w:val="18"/>
              </w:rPr>
              <w:t>器械性能</w:t>
            </w:r>
          </w:p>
        </w:tc>
      </w:tr>
      <w:tr w:rsidR="00FE0870" w:rsidRPr="00BD2D9F" w:rsidTr="009902FD">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pStyle w:val="TableParagraph"/>
              <w:kinsoku w:val="0"/>
              <w:overflowPunct w:val="0"/>
              <w:snapToGrid w:val="0"/>
              <w:spacing w:line="360" w:lineRule="auto"/>
              <w:jc w:val="both"/>
              <w:rPr>
                <w:sz w:val="18"/>
                <w:szCs w:val="18"/>
              </w:rPr>
            </w:pPr>
            <w:r w:rsidRPr="00BD2D9F">
              <w:rPr>
                <w:rFonts w:hAnsi="宋体" w:hint="eastAsia"/>
                <w:sz w:val="18"/>
                <w:szCs w:val="18"/>
              </w:rPr>
              <w:t>阳性结果的</w:t>
            </w:r>
            <w:r w:rsidRPr="00BD2D9F">
              <w:rPr>
                <w:sz w:val="18"/>
                <w:szCs w:val="18"/>
              </w:rPr>
              <w:t>PML</w:t>
            </w:r>
            <w:r w:rsidRPr="00BD2D9F">
              <w:rPr>
                <w:rFonts w:hAnsi="宋体" w:hint="eastAsia"/>
                <w:sz w:val="18"/>
                <w:szCs w:val="18"/>
              </w:rPr>
              <w:t>风险</w:t>
            </w:r>
          </w:p>
        </w:tc>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r>
      <w:tr w:rsidR="00FE0870" w:rsidRPr="00BD2D9F" w:rsidTr="009902FD">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pStyle w:val="TableParagraph"/>
              <w:kinsoku w:val="0"/>
              <w:overflowPunct w:val="0"/>
              <w:snapToGrid w:val="0"/>
              <w:spacing w:line="360" w:lineRule="auto"/>
              <w:jc w:val="both"/>
              <w:rPr>
                <w:sz w:val="18"/>
                <w:szCs w:val="18"/>
              </w:rPr>
            </w:pPr>
            <w:r w:rsidRPr="00BD2D9F">
              <w:rPr>
                <w:rFonts w:hAnsi="宋体" w:hint="eastAsia"/>
                <w:sz w:val="18"/>
                <w:szCs w:val="18"/>
              </w:rPr>
              <w:t>阴性结果的</w:t>
            </w:r>
            <w:r w:rsidRPr="00BD2D9F">
              <w:rPr>
                <w:sz w:val="18"/>
                <w:szCs w:val="18"/>
              </w:rPr>
              <w:t>PML</w:t>
            </w:r>
            <w:r w:rsidRPr="00BD2D9F">
              <w:rPr>
                <w:rFonts w:hAnsi="宋体" w:hint="eastAsia"/>
                <w:sz w:val="18"/>
                <w:szCs w:val="18"/>
              </w:rPr>
              <w:t>风险</w:t>
            </w:r>
          </w:p>
        </w:tc>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r>
      <w:tr w:rsidR="00FE0870" w:rsidRPr="00BD2D9F" w:rsidTr="009902FD">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pStyle w:val="TableParagraph"/>
              <w:kinsoku w:val="0"/>
              <w:overflowPunct w:val="0"/>
              <w:snapToGrid w:val="0"/>
              <w:spacing w:line="360" w:lineRule="auto"/>
              <w:jc w:val="both"/>
              <w:rPr>
                <w:sz w:val="18"/>
                <w:szCs w:val="18"/>
              </w:rPr>
            </w:pPr>
            <w:r w:rsidRPr="00BD2D9F">
              <w:rPr>
                <w:rFonts w:hAnsi="宋体" w:hint="eastAsia"/>
                <w:sz w:val="18"/>
                <w:szCs w:val="18"/>
              </w:rPr>
              <w:t>相对风险</w:t>
            </w:r>
          </w:p>
        </w:tc>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FE0870" w:rsidRPr="00BD2D9F" w:rsidRDefault="00FE0870" w:rsidP="00EC3DB5">
            <w:pPr>
              <w:snapToGrid w:val="0"/>
              <w:spacing w:line="360" w:lineRule="auto"/>
              <w:jc w:val="both"/>
              <w:rPr>
                <w:sz w:val="18"/>
                <w:szCs w:val="18"/>
              </w:rPr>
            </w:pPr>
          </w:p>
        </w:tc>
      </w:tr>
    </w:tbl>
    <w:p w:rsidR="00FE0870" w:rsidRPr="00EC3DB5" w:rsidRDefault="00FE0870" w:rsidP="00EC3DB5">
      <w:pPr>
        <w:kinsoku w:val="0"/>
        <w:overflowPunct w:val="0"/>
        <w:snapToGrid w:val="0"/>
        <w:spacing w:line="360" w:lineRule="auto"/>
        <w:jc w:val="both"/>
        <w:rPr>
          <w:sz w:val="21"/>
          <w:szCs w:val="21"/>
          <w:vertAlign w:val="superscript"/>
        </w:rPr>
      </w:pPr>
    </w:p>
    <w:p w:rsidR="00FE0870" w:rsidRPr="00EC3DB5" w:rsidRDefault="00FE0870" w:rsidP="00EC3DB5">
      <w:pPr>
        <w:pStyle w:val="a3"/>
        <w:kinsoku w:val="0"/>
        <w:overflowPunct w:val="0"/>
        <w:snapToGrid w:val="0"/>
        <w:spacing w:line="360" w:lineRule="auto"/>
        <w:ind w:left="0"/>
        <w:jc w:val="both"/>
        <w:rPr>
          <w:sz w:val="21"/>
          <w:szCs w:val="21"/>
        </w:rPr>
      </w:pPr>
      <w:r w:rsidRPr="00EC3DB5">
        <w:rPr>
          <w:rFonts w:hAnsi="宋体" w:hint="eastAsia"/>
          <w:sz w:val="21"/>
          <w:szCs w:val="21"/>
        </w:rPr>
        <w:t>此外，您还必须提供数据证明器械结果能够在当前已知的风险因素之外带来与</w:t>
      </w:r>
      <w:r w:rsidRPr="00EC3DB5">
        <w:rPr>
          <w:sz w:val="21"/>
          <w:szCs w:val="21"/>
        </w:rPr>
        <w:t>PML</w:t>
      </w:r>
      <w:r w:rsidRPr="00EC3DB5">
        <w:rPr>
          <w:rFonts w:hAnsi="宋体" w:hint="eastAsia"/>
          <w:sz w:val="21"/>
          <w:szCs w:val="21"/>
        </w:rPr>
        <w:t>风险相关的额外信息：预先的免疫抑制剂治疗和接受那他珠单抗治疗的时间。为此，您可以提供数据以确定器械阳性率与治疗持续之间的关系和器械阳性率与预先免疫抑制剂治疗情况之间的关系。</w:t>
      </w:r>
    </w:p>
    <w:p w:rsidR="00FE0870" w:rsidRPr="00EC3DB5" w:rsidRDefault="00FE0870" w:rsidP="00D20CDC">
      <w:pPr>
        <w:pStyle w:val="3"/>
        <w:kinsoku w:val="0"/>
        <w:overflowPunct w:val="0"/>
        <w:snapToGrid w:val="0"/>
        <w:spacing w:beforeLines="50" w:line="360" w:lineRule="auto"/>
        <w:ind w:left="422" w:hangingChars="200" w:hanging="422"/>
        <w:jc w:val="both"/>
        <w:rPr>
          <w:b w:val="0"/>
          <w:bCs w:val="0"/>
          <w:sz w:val="21"/>
          <w:szCs w:val="21"/>
        </w:rPr>
      </w:pPr>
      <w:bookmarkStart w:id="84" w:name="7.4_Detectability_and_Comparative_Perfor"/>
      <w:bookmarkStart w:id="85" w:name="bookmark26"/>
      <w:bookmarkStart w:id="86" w:name="_Toc496797932"/>
      <w:bookmarkEnd w:id="84"/>
      <w:bookmarkEnd w:id="85"/>
      <w:r w:rsidRPr="00EC3DB5">
        <w:rPr>
          <w:sz w:val="21"/>
          <w:szCs w:val="21"/>
        </w:rPr>
        <w:t>7.4</w:t>
      </w:r>
      <w:r w:rsidRPr="00EC3DB5">
        <w:rPr>
          <w:sz w:val="21"/>
          <w:szCs w:val="21"/>
        </w:rPr>
        <w:tab/>
      </w:r>
      <w:r w:rsidRPr="00EC3DB5">
        <w:rPr>
          <w:rFonts w:hAnsi="宋体" w:hint="eastAsia"/>
          <w:sz w:val="21"/>
          <w:szCs w:val="21"/>
        </w:rPr>
        <w:t>可检测性和对比性能</w:t>
      </w:r>
      <w:bookmarkEnd w:id="86"/>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您必须使用代表预期使用</w:t>
      </w:r>
      <w:r w:rsidR="00216DA8">
        <w:rPr>
          <w:rFonts w:hAnsi="宋体" w:hint="eastAsia"/>
          <w:sz w:val="21"/>
          <w:szCs w:val="21"/>
        </w:rPr>
        <w:t>人群</w:t>
      </w:r>
      <w:r w:rsidRPr="00EC3DB5">
        <w:rPr>
          <w:rFonts w:hAnsi="宋体" w:hint="eastAsia"/>
          <w:sz w:val="21"/>
          <w:szCs w:val="21"/>
        </w:rPr>
        <w:t>的临床样本通过与有效实质等同比较器械的对比性能确定抗</w:t>
      </w:r>
      <w:r w:rsidRPr="00EC3DB5">
        <w:rPr>
          <w:sz w:val="21"/>
          <w:szCs w:val="21"/>
        </w:rPr>
        <w:t>JCV</w:t>
      </w:r>
      <w:r w:rsidRPr="00EC3DB5">
        <w:rPr>
          <w:rFonts w:hAnsi="宋体" w:hint="eastAsia"/>
          <w:sz w:val="21"/>
          <w:szCs w:val="21"/>
        </w:rPr>
        <w:t>抗体的可检测性。必须对所采集的样本进行前瞻性地检测。样本组必须包含跨越试验检测范围的样本。阳性样本必须包含至少</w:t>
      </w:r>
      <w:r w:rsidRPr="00EC3DB5">
        <w:rPr>
          <w:sz w:val="21"/>
          <w:szCs w:val="21"/>
        </w:rPr>
        <w:t>30-50%</w:t>
      </w:r>
      <w:r w:rsidRPr="00EC3DB5">
        <w:rPr>
          <w:rFonts w:hAnsi="宋体" w:hint="eastAsia"/>
          <w:sz w:val="21"/>
          <w:szCs w:val="21"/>
        </w:rPr>
        <w:t>靠近检测器械</w:t>
      </w:r>
      <w:r w:rsidR="00254EC3">
        <w:rPr>
          <w:rFonts w:hAnsi="宋体" w:hint="eastAsia"/>
          <w:sz w:val="21"/>
          <w:szCs w:val="21"/>
        </w:rPr>
        <w:t>临界值</w:t>
      </w:r>
      <w:r w:rsidRPr="00EC3DB5">
        <w:rPr>
          <w:rFonts w:hAnsi="宋体" w:hint="eastAsia"/>
          <w:sz w:val="21"/>
          <w:szCs w:val="21"/>
        </w:rPr>
        <w:t>的样本。您在研究中包含的用于证实</w:t>
      </w:r>
      <w:r w:rsidRPr="00EC3DB5">
        <w:rPr>
          <w:sz w:val="21"/>
          <w:szCs w:val="21"/>
        </w:rPr>
        <w:t>JCV</w:t>
      </w:r>
      <w:r w:rsidRPr="00EC3DB5">
        <w:rPr>
          <w:rFonts w:hAnsi="宋体" w:hint="eastAsia"/>
          <w:sz w:val="21"/>
          <w:szCs w:val="21"/>
        </w:rPr>
        <w:t>抗体的检测声明的总样本类型数将取决于</w:t>
      </w:r>
      <w:r w:rsidRPr="00EC3DB5">
        <w:rPr>
          <w:sz w:val="21"/>
          <w:szCs w:val="21"/>
        </w:rPr>
        <w:t>JCV</w:t>
      </w:r>
      <w:r w:rsidRPr="00EC3DB5">
        <w:rPr>
          <w:rFonts w:hAnsi="宋体" w:hint="eastAsia"/>
          <w:sz w:val="21"/>
          <w:szCs w:val="21"/>
        </w:rPr>
        <w:t>抗体在您的临床研究患者</w:t>
      </w:r>
      <w:r w:rsidR="00216DA8">
        <w:rPr>
          <w:rFonts w:hAnsi="宋体" w:hint="eastAsia"/>
          <w:sz w:val="21"/>
          <w:szCs w:val="21"/>
        </w:rPr>
        <w:t>人群</w:t>
      </w:r>
      <w:r w:rsidRPr="00EC3DB5">
        <w:rPr>
          <w:rFonts w:hAnsi="宋体" w:hint="eastAsia"/>
          <w:sz w:val="21"/>
          <w:szCs w:val="21"/>
        </w:rPr>
        <w:t>中的流行率和器械的性能。所有</w:t>
      </w:r>
      <w:r w:rsidRPr="00EC3DB5">
        <w:rPr>
          <w:sz w:val="21"/>
          <w:szCs w:val="21"/>
        </w:rPr>
        <w:t>JCV</w:t>
      </w:r>
      <w:r w:rsidRPr="00EC3DB5">
        <w:rPr>
          <w:rFonts w:hAnsi="宋体" w:hint="eastAsia"/>
          <w:sz w:val="21"/>
          <w:szCs w:val="21"/>
        </w:rPr>
        <w:t>抗体器械均必须证明阳性和阴性百分比的一致结果，点估计值至少为</w:t>
      </w:r>
      <w:r w:rsidRPr="00EC3DB5">
        <w:rPr>
          <w:sz w:val="21"/>
          <w:szCs w:val="21"/>
        </w:rPr>
        <w:t>95%</w:t>
      </w:r>
      <w:r w:rsidRPr="00EC3DB5">
        <w:rPr>
          <w:rFonts w:hAnsi="宋体" w:hint="eastAsia"/>
          <w:sz w:val="21"/>
          <w:szCs w:val="21"/>
        </w:rPr>
        <w:t>或临床相关的百分比值。</w:t>
      </w:r>
      <w:r w:rsidRPr="00EC3DB5">
        <w:rPr>
          <w:sz w:val="21"/>
          <w:szCs w:val="21"/>
        </w:rPr>
        <w:t>95%</w:t>
      </w:r>
      <w:r w:rsidRPr="00EC3DB5">
        <w:rPr>
          <w:rFonts w:hAnsi="宋体" w:hint="eastAsia"/>
          <w:sz w:val="21"/>
          <w:szCs w:val="21"/>
        </w:rPr>
        <w:t>（双侧）置信区间的下限必须大于</w:t>
      </w:r>
      <w:r w:rsidRPr="00EC3DB5">
        <w:rPr>
          <w:sz w:val="21"/>
          <w:szCs w:val="21"/>
        </w:rPr>
        <w:t>90%</w:t>
      </w:r>
      <w:r w:rsidRPr="00EC3DB5">
        <w:rPr>
          <w:rFonts w:hAnsi="宋体" w:hint="eastAsia"/>
          <w:sz w:val="21"/>
          <w:szCs w:val="21"/>
        </w:rPr>
        <w:t>。您必须提交来自研究的所有原始直线数据供审查。必须使用</w:t>
      </w:r>
      <w:r w:rsidRPr="00EC3DB5">
        <w:rPr>
          <w:sz w:val="21"/>
          <w:szCs w:val="21"/>
        </w:rPr>
        <w:t>Microsoft Excel</w:t>
      </w:r>
      <w:r w:rsidRPr="00EC3DB5">
        <w:rPr>
          <w:rFonts w:hAnsi="宋体" w:hint="eastAsia"/>
          <w:sz w:val="21"/>
          <w:szCs w:val="21"/>
        </w:rPr>
        <w:t>、分隔的文本文件或</w:t>
      </w:r>
      <w:r w:rsidRPr="00EC3DB5">
        <w:rPr>
          <w:sz w:val="21"/>
          <w:szCs w:val="21"/>
        </w:rPr>
        <w:t>SAS</w:t>
      </w:r>
      <w:r w:rsidRPr="00EC3DB5">
        <w:rPr>
          <w:rFonts w:hAnsi="宋体" w:hint="eastAsia"/>
          <w:sz w:val="21"/>
          <w:szCs w:val="21"/>
        </w:rPr>
        <w:t>文件提供该信息的电子版本。必须在一个二乘二的表格中提供您的计算结果。在确定样本容量时及在无法获取接近检测</w:t>
      </w:r>
      <w:r w:rsidR="00254EC3">
        <w:rPr>
          <w:rFonts w:hAnsi="宋体" w:hint="eastAsia"/>
          <w:sz w:val="21"/>
          <w:szCs w:val="21"/>
        </w:rPr>
        <w:t>临界值</w:t>
      </w:r>
      <w:r w:rsidRPr="00EC3DB5">
        <w:rPr>
          <w:rFonts w:hAnsi="宋体" w:hint="eastAsia"/>
          <w:sz w:val="21"/>
          <w:szCs w:val="21"/>
        </w:rPr>
        <w:t>的前瞻性样本时，建议您与体外诊断和放射健康办公室的微生物学器械部取得联络。</w:t>
      </w:r>
    </w:p>
    <w:p w:rsidR="00FE0870" w:rsidRPr="00EC3DB5" w:rsidRDefault="00FE0870" w:rsidP="00D20CDC">
      <w:pPr>
        <w:pStyle w:val="2"/>
        <w:numPr>
          <w:ilvl w:val="0"/>
          <w:numId w:val="8"/>
        </w:numPr>
        <w:kinsoku w:val="0"/>
        <w:overflowPunct w:val="0"/>
        <w:snapToGrid w:val="0"/>
        <w:spacing w:beforeLines="50" w:line="360" w:lineRule="auto"/>
        <w:ind w:left="420" w:hangingChars="200" w:hanging="420"/>
        <w:jc w:val="both"/>
        <w:rPr>
          <w:b w:val="0"/>
          <w:bCs w:val="0"/>
          <w:sz w:val="21"/>
          <w:szCs w:val="21"/>
        </w:rPr>
      </w:pPr>
      <w:bookmarkStart w:id="87" w:name="8._Labeling"/>
      <w:bookmarkStart w:id="88" w:name="bookmark27"/>
      <w:bookmarkEnd w:id="87"/>
      <w:bookmarkEnd w:id="88"/>
      <w:r w:rsidRPr="00EC3DB5">
        <w:rPr>
          <w:b w:val="0"/>
          <w:bCs w:val="0"/>
          <w:sz w:val="21"/>
          <w:szCs w:val="21"/>
          <w:vertAlign w:val="superscript"/>
        </w:rPr>
        <w:br w:type="page"/>
      </w:r>
      <w:bookmarkStart w:id="89" w:name="_Toc496797933"/>
      <w:r w:rsidRPr="00EC3DB5">
        <w:rPr>
          <w:rFonts w:hAnsi="宋体" w:hint="eastAsia"/>
          <w:sz w:val="21"/>
          <w:szCs w:val="21"/>
        </w:rPr>
        <w:lastRenderedPageBreak/>
        <w:t>标签</w:t>
      </w:r>
      <w:bookmarkEnd w:id="89"/>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您的</w:t>
      </w:r>
      <w:r w:rsidRPr="00EC3DB5">
        <w:rPr>
          <w:sz w:val="21"/>
          <w:szCs w:val="21"/>
        </w:rPr>
        <w:t>21 CFR 809.10</w:t>
      </w:r>
      <w:r w:rsidR="00216DA8">
        <w:rPr>
          <w:rFonts w:hAnsi="宋体" w:hint="eastAsia"/>
          <w:sz w:val="21"/>
          <w:szCs w:val="21"/>
        </w:rPr>
        <w:t>合规</w:t>
      </w:r>
      <w:r w:rsidRPr="00EC3DB5">
        <w:rPr>
          <w:rFonts w:hAnsi="宋体" w:hint="eastAsia"/>
          <w:sz w:val="21"/>
          <w:szCs w:val="21"/>
        </w:rPr>
        <w:t>标签还必须包含以下各项信息。</w:t>
      </w:r>
    </w:p>
    <w:p w:rsidR="00FE0870" w:rsidRPr="00EC3DB5" w:rsidRDefault="00FE0870" w:rsidP="00D20CDC">
      <w:pPr>
        <w:pStyle w:val="3"/>
        <w:numPr>
          <w:ilvl w:val="1"/>
          <w:numId w:val="8"/>
        </w:numPr>
        <w:kinsoku w:val="0"/>
        <w:overflowPunct w:val="0"/>
        <w:snapToGrid w:val="0"/>
        <w:spacing w:beforeLines="50" w:line="360" w:lineRule="auto"/>
        <w:ind w:left="422" w:hangingChars="200" w:hanging="422"/>
        <w:jc w:val="both"/>
        <w:rPr>
          <w:b w:val="0"/>
          <w:bCs w:val="0"/>
          <w:sz w:val="21"/>
          <w:szCs w:val="21"/>
        </w:rPr>
      </w:pPr>
      <w:bookmarkStart w:id="90" w:name="8.1_Instructions_for_Use"/>
      <w:bookmarkStart w:id="91" w:name="bookmark28"/>
      <w:bookmarkStart w:id="92" w:name="_Toc496797934"/>
      <w:bookmarkEnd w:id="90"/>
      <w:bookmarkEnd w:id="91"/>
      <w:r w:rsidRPr="00EC3DB5">
        <w:rPr>
          <w:rFonts w:hAnsi="宋体" w:hint="eastAsia"/>
          <w:sz w:val="21"/>
          <w:szCs w:val="21"/>
        </w:rPr>
        <w:t>使用说明</w:t>
      </w:r>
      <w:bookmarkEnd w:id="92"/>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您必须提供简明扼要的使用说明，描述该特定器械的技术特征及如何使用该器械对患者进行检测。使用说明必须鼓励旨在使用户熟练掌握该器械的特征和其安全有效的使用方式的地方</w:t>
      </w:r>
      <w:r w:rsidRPr="00EC3DB5">
        <w:rPr>
          <w:sz w:val="21"/>
          <w:szCs w:val="21"/>
        </w:rPr>
        <w:t>/</w:t>
      </w:r>
      <w:r w:rsidRPr="00EC3DB5">
        <w:rPr>
          <w:rFonts w:hAnsi="宋体" w:hint="eastAsia"/>
          <w:sz w:val="21"/>
          <w:szCs w:val="21"/>
        </w:rPr>
        <w:t>机构培训项目。</w:t>
      </w:r>
    </w:p>
    <w:p w:rsidR="00FE0870" w:rsidRPr="00EC3DB5" w:rsidRDefault="00FE0870" w:rsidP="00D20CDC">
      <w:pPr>
        <w:pStyle w:val="3"/>
        <w:numPr>
          <w:ilvl w:val="1"/>
          <w:numId w:val="8"/>
        </w:numPr>
        <w:kinsoku w:val="0"/>
        <w:overflowPunct w:val="0"/>
        <w:snapToGrid w:val="0"/>
        <w:spacing w:beforeLines="50" w:line="360" w:lineRule="auto"/>
        <w:ind w:left="422" w:hangingChars="200" w:hanging="422"/>
        <w:jc w:val="both"/>
        <w:rPr>
          <w:b w:val="0"/>
          <w:bCs w:val="0"/>
          <w:sz w:val="21"/>
          <w:szCs w:val="21"/>
        </w:rPr>
      </w:pPr>
      <w:bookmarkStart w:id="93" w:name="8.2_Quality_Control"/>
      <w:bookmarkStart w:id="94" w:name="bookmark29"/>
      <w:bookmarkStart w:id="95" w:name="_Toc496797935"/>
      <w:bookmarkEnd w:id="93"/>
      <w:bookmarkEnd w:id="94"/>
      <w:r w:rsidRPr="00EC3DB5">
        <w:rPr>
          <w:rFonts w:hAnsi="宋体" w:hint="eastAsia"/>
          <w:sz w:val="21"/>
          <w:szCs w:val="21"/>
        </w:rPr>
        <w:t>质量控制</w:t>
      </w:r>
      <w:bookmarkEnd w:id="95"/>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您必须对标签中的质量控制（</w:t>
      </w:r>
      <w:r w:rsidRPr="00EC3DB5">
        <w:rPr>
          <w:sz w:val="21"/>
          <w:szCs w:val="21"/>
        </w:rPr>
        <w:t>QC</w:t>
      </w:r>
      <w:r w:rsidRPr="00EC3DB5">
        <w:rPr>
          <w:rFonts w:hAnsi="宋体" w:hint="eastAsia"/>
          <w:sz w:val="21"/>
          <w:szCs w:val="21"/>
        </w:rPr>
        <w:t>）建议进行说明，并具体说明您的质量控制材料将测量的项目。您的标签必须提供使用说明，其中包括对所有质量控制措施实施日常检测。您必须通过阐明针对所有超出范围的检测结果所采取的措施描述初始及重复的质量控制结果。必须在器械包装说明书中提议相同的质量控制材料。包装说明书的质量控制部分还必须包含以下声明</w:t>
      </w:r>
      <w:r w:rsidRPr="00EC3DB5">
        <w:rPr>
          <w:sz w:val="21"/>
          <w:szCs w:val="21"/>
        </w:rPr>
        <w:t>“</w:t>
      </w:r>
      <w:r w:rsidRPr="00EC3DB5">
        <w:rPr>
          <w:rFonts w:hAnsi="宋体" w:hint="eastAsia"/>
          <w:sz w:val="21"/>
          <w:szCs w:val="21"/>
        </w:rPr>
        <w:t>应根据适用的州和</w:t>
      </w:r>
      <w:r w:rsidRPr="00EC3DB5">
        <w:rPr>
          <w:sz w:val="21"/>
          <w:szCs w:val="21"/>
        </w:rPr>
        <w:t>/</w:t>
      </w:r>
      <w:r w:rsidRPr="00EC3DB5">
        <w:rPr>
          <w:rFonts w:hAnsi="宋体" w:hint="eastAsia"/>
          <w:sz w:val="21"/>
          <w:szCs w:val="21"/>
        </w:rPr>
        <w:t>或联邦认证要求实施质量控制程序</w:t>
      </w:r>
      <w:r w:rsidRPr="00EC3DB5">
        <w:rPr>
          <w:sz w:val="21"/>
          <w:szCs w:val="21"/>
        </w:rPr>
        <w:t>”</w:t>
      </w:r>
      <w:r w:rsidRPr="00EC3DB5">
        <w:rPr>
          <w:rFonts w:hAnsi="宋体" w:hint="eastAsia"/>
          <w:sz w:val="21"/>
          <w:szCs w:val="21"/>
        </w:rPr>
        <w:t>。</w:t>
      </w:r>
    </w:p>
    <w:p w:rsidR="00FE0870" w:rsidRPr="00EC3DB5" w:rsidRDefault="00FE0870" w:rsidP="00D20CDC">
      <w:pPr>
        <w:pStyle w:val="3"/>
        <w:numPr>
          <w:ilvl w:val="1"/>
          <w:numId w:val="8"/>
        </w:numPr>
        <w:kinsoku w:val="0"/>
        <w:overflowPunct w:val="0"/>
        <w:snapToGrid w:val="0"/>
        <w:spacing w:beforeLines="50" w:line="360" w:lineRule="auto"/>
        <w:ind w:left="422" w:hangingChars="200" w:hanging="422"/>
        <w:jc w:val="both"/>
        <w:rPr>
          <w:b w:val="0"/>
          <w:bCs w:val="0"/>
          <w:sz w:val="21"/>
          <w:szCs w:val="21"/>
        </w:rPr>
      </w:pPr>
      <w:bookmarkStart w:id="96" w:name="8.3_Warnings_and_Precautions"/>
      <w:bookmarkStart w:id="97" w:name="bookmark30"/>
      <w:bookmarkStart w:id="98" w:name="_Toc496797936"/>
      <w:bookmarkEnd w:id="96"/>
      <w:bookmarkEnd w:id="97"/>
      <w:r w:rsidRPr="00EC3DB5">
        <w:rPr>
          <w:rFonts w:hAnsi="宋体" w:hint="eastAsia"/>
          <w:sz w:val="21"/>
          <w:szCs w:val="21"/>
        </w:rPr>
        <w:t>警告和注意事项</w:t>
      </w:r>
      <w:bookmarkEnd w:id="98"/>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您的标签中必须包含</w:t>
      </w:r>
      <w:r w:rsidRPr="00EC3DB5">
        <w:rPr>
          <w:sz w:val="21"/>
          <w:szCs w:val="21"/>
        </w:rPr>
        <w:t>16 CFR</w:t>
      </w:r>
      <w:r w:rsidRPr="00EC3DB5">
        <w:rPr>
          <w:rFonts w:hAnsi="宋体" w:hint="eastAsia"/>
          <w:sz w:val="21"/>
          <w:szCs w:val="21"/>
        </w:rPr>
        <w:t>第</w:t>
      </w:r>
      <w:r w:rsidRPr="00EC3DB5">
        <w:rPr>
          <w:sz w:val="21"/>
          <w:szCs w:val="21"/>
        </w:rPr>
        <w:t>1500</w:t>
      </w:r>
      <w:r w:rsidRPr="00EC3DB5">
        <w:rPr>
          <w:rFonts w:hAnsi="宋体" w:hint="eastAsia"/>
          <w:sz w:val="21"/>
          <w:szCs w:val="21"/>
        </w:rPr>
        <w:t>部分法规中所规定的适用于用户的警告或注意事项及任何其他适用于产品所带来的风险的警告；及</w:t>
      </w:r>
      <w:r w:rsidRPr="00EC3DB5">
        <w:rPr>
          <w:sz w:val="21"/>
          <w:szCs w:val="21"/>
        </w:rPr>
        <w:t>“</w:t>
      </w:r>
      <w:r w:rsidRPr="00EC3DB5">
        <w:rPr>
          <w:rFonts w:hAnsi="宋体" w:hint="eastAsia"/>
          <w:sz w:val="21"/>
          <w:szCs w:val="21"/>
        </w:rPr>
        <w:t>供体外诊断使用</w:t>
      </w:r>
      <w:r w:rsidRPr="00EC3DB5">
        <w:rPr>
          <w:sz w:val="21"/>
          <w:szCs w:val="21"/>
        </w:rPr>
        <w:t>”</w:t>
      </w:r>
      <w:r w:rsidRPr="00EC3DB5">
        <w:rPr>
          <w:rFonts w:hAnsi="宋体" w:hint="eastAsia"/>
          <w:sz w:val="21"/>
          <w:szCs w:val="21"/>
        </w:rPr>
        <w:t>的声明和适用于该器械的所有程序警告和注意事项。您必须使用如下声明或信息描述与检测的安全使用相关的问题：</w:t>
      </w:r>
    </w:p>
    <w:p w:rsidR="00FE0870" w:rsidRPr="00EC3DB5" w:rsidRDefault="00FE0870" w:rsidP="00D20CDC">
      <w:pPr>
        <w:pStyle w:val="a3"/>
        <w:numPr>
          <w:ilvl w:val="2"/>
          <w:numId w:val="8"/>
        </w:numPr>
        <w:kinsoku w:val="0"/>
        <w:overflowPunct w:val="0"/>
        <w:snapToGrid w:val="0"/>
        <w:spacing w:beforeLines="50" w:line="360" w:lineRule="auto"/>
        <w:ind w:leftChars="200" w:left="690" w:hangingChars="100" w:hanging="210"/>
        <w:jc w:val="both"/>
        <w:rPr>
          <w:sz w:val="21"/>
          <w:szCs w:val="21"/>
        </w:rPr>
      </w:pPr>
      <w:r w:rsidRPr="00EC3DB5">
        <w:rPr>
          <w:sz w:val="21"/>
          <w:szCs w:val="21"/>
        </w:rPr>
        <w:t>“</w:t>
      </w:r>
      <w:r w:rsidRPr="00EC3DB5">
        <w:rPr>
          <w:rFonts w:hAnsi="宋体" w:hint="eastAsia"/>
          <w:sz w:val="21"/>
          <w:szCs w:val="21"/>
        </w:rPr>
        <w:t>遵循标准预防措施。所有患者样本和阳性对照组均应视为具有潜在的传染性并进行相应的处理</w:t>
      </w:r>
      <w:r w:rsidRPr="00EC3DB5">
        <w:rPr>
          <w:sz w:val="21"/>
          <w:szCs w:val="21"/>
        </w:rPr>
        <w:t>”</w:t>
      </w:r>
      <w:r w:rsidRPr="00EC3DB5">
        <w:rPr>
          <w:rFonts w:hAnsi="宋体" w:hint="eastAsia"/>
          <w:sz w:val="21"/>
          <w:szCs w:val="21"/>
        </w:rPr>
        <w:t>的声明</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sz w:val="21"/>
          <w:szCs w:val="21"/>
        </w:rPr>
        <w:t>“</w:t>
      </w:r>
      <w:r w:rsidRPr="00EC3DB5">
        <w:rPr>
          <w:rFonts w:hAnsi="宋体" w:hint="eastAsia"/>
          <w:sz w:val="21"/>
          <w:szCs w:val="21"/>
        </w:rPr>
        <w:t>应视为所有血液制品都具有潜在的传染性。提取该产品（包括对照物）所用的来源材料已经通过</w:t>
      </w:r>
      <w:r w:rsidRPr="00EC3DB5">
        <w:rPr>
          <w:sz w:val="21"/>
          <w:szCs w:val="21"/>
        </w:rPr>
        <w:t>FDA</w:t>
      </w:r>
      <w:r w:rsidRPr="00EC3DB5">
        <w:rPr>
          <w:rFonts w:hAnsi="宋体" w:hint="eastAsia"/>
          <w:sz w:val="21"/>
          <w:szCs w:val="21"/>
        </w:rPr>
        <w:t>批准的方法筛除了乙型肝炎表面抗原、丙型肝炎抗体和</w:t>
      </w:r>
      <w:r w:rsidRPr="00EC3DB5">
        <w:rPr>
          <w:sz w:val="21"/>
          <w:szCs w:val="21"/>
        </w:rPr>
        <w:t xml:space="preserve">HIV-1/2 </w:t>
      </w:r>
      <w:r w:rsidRPr="00EC3DB5">
        <w:rPr>
          <w:rFonts w:hAnsi="宋体" w:hint="eastAsia"/>
          <w:sz w:val="21"/>
          <w:szCs w:val="21"/>
        </w:rPr>
        <w:t>（</w:t>
      </w:r>
      <w:r w:rsidRPr="00EC3DB5">
        <w:rPr>
          <w:sz w:val="21"/>
          <w:szCs w:val="21"/>
        </w:rPr>
        <w:t>AIDS</w:t>
      </w:r>
      <w:r w:rsidRPr="00EC3DB5">
        <w:rPr>
          <w:rFonts w:hAnsi="宋体" w:hint="eastAsia"/>
          <w:sz w:val="21"/>
          <w:szCs w:val="21"/>
        </w:rPr>
        <w:t>）抗体，且经证明呈阴性。但是，由于没有任何已知的检测方法能够</w:t>
      </w:r>
      <w:r w:rsidRPr="00EC3DB5">
        <w:rPr>
          <w:sz w:val="21"/>
          <w:szCs w:val="21"/>
        </w:rPr>
        <w:t>100%</w:t>
      </w:r>
      <w:r w:rsidRPr="00EC3DB5">
        <w:rPr>
          <w:rFonts w:hAnsi="宋体" w:hint="eastAsia"/>
          <w:sz w:val="21"/>
          <w:szCs w:val="21"/>
        </w:rPr>
        <w:t>地保证通过人类血液所制取的这些产品不传播传染性病原体，因此与这些样本接触的所有对照物、血清</w:t>
      </w:r>
      <w:r w:rsidR="00216DA8">
        <w:rPr>
          <w:rFonts w:hAnsi="宋体" w:hint="eastAsia"/>
          <w:sz w:val="21"/>
          <w:szCs w:val="21"/>
        </w:rPr>
        <w:t>样本</w:t>
      </w:r>
      <w:r w:rsidRPr="00EC3DB5">
        <w:rPr>
          <w:rFonts w:hAnsi="宋体" w:hint="eastAsia"/>
          <w:sz w:val="21"/>
          <w:szCs w:val="21"/>
        </w:rPr>
        <w:t>和</w:t>
      </w:r>
      <w:r w:rsidR="00216DA8">
        <w:rPr>
          <w:rFonts w:hAnsi="宋体" w:hint="eastAsia"/>
          <w:sz w:val="21"/>
          <w:szCs w:val="21"/>
        </w:rPr>
        <w:t>器械</w:t>
      </w:r>
      <w:r w:rsidRPr="00EC3DB5">
        <w:rPr>
          <w:rFonts w:hAnsi="宋体" w:hint="eastAsia"/>
          <w:sz w:val="21"/>
          <w:szCs w:val="21"/>
        </w:rPr>
        <w:t>均应视为具有潜在的传染性，并应通过合适的生物危害预防措施予以清除或处置。</w:t>
      </w:r>
      <w:r w:rsidRPr="00EC3DB5">
        <w:rPr>
          <w:sz w:val="21"/>
          <w:szCs w:val="21"/>
        </w:rPr>
        <w:t>CDC</w:t>
      </w:r>
      <w:r w:rsidRPr="00EC3DB5">
        <w:rPr>
          <w:rFonts w:hAnsi="宋体" w:hint="eastAsia"/>
          <w:sz w:val="21"/>
          <w:szCs w:val="21"/>
        </w:rPr>
        <w:t>与国立卫生研究院建议在生物安全等级</w:t>
      </w:r>
      <w:r w:rsidRPr="00EC3DB5">
        <w:rPr>
          <w:sz w:val="21"/>
          <w:szCs w:val="21"/>
        </w:rPr>
        <w:t>2</w:t>
      </w:r>
      <w:r w:rsidRPr="00EC3DB5">
        <w:rPr>
          <w:rFonts w:hAnsi="宋体" w:hint="eastAsia"/>
          <w:sz w:val="21"/>
          <w:szCs w:val="21"/>
        </w:rPr>
        <w:t>级水平上对潜在的传染性病原体进行处置。</w:t>
      </w:r>
      <w:r w:rsidRPr="00EC3DB5">
        <w:rPr>
          <w:sz w:val="21"/>
          <w:szCs w:val="21"/>
        </w:rPr>
        <w:t>”</w:t>
      </w:r>
      <w:r w:rsidRPr="00EC3DB5">
        <w:rPr>
          <w:rFonts w:hAnsi="宋体" w:hint="eastAsia"/>
          <w:sz w:val="21"/>
          <w:szCs w:val="21"/>
        </w:rPr>
        <w:t>【参考</w:t>
      </w:r>
      <w:r w:rsidRPr="00EC3DB5">
        <w:rPr>
          <w:sz w:val="21"/>
          <w:szCs w:val="21"/>
        </w:rPr>
        <w:t>16</w:t>
      </w:r>
      <w:r w:rsidRPr="00EC3DB5">
        <w:rPr>
          <w:rFonts w:hAnsi="宋体" w:hint="eastAsia"/>
          <w:sz w:val="21"/>
          <w:szCs w:val="21"/>
        </w:rPr>
        <w:t>】的声明</w:t>
      </w:r>
    </w:p>
    <w:p w:rsidR="00FE0870" w:rsidRPr="00EC3DB5" w:rsidRDefault="00FE0870" w:rsidP="00545977">
      <w:pPr>
        <w:pStyle w:val="a3"/>
        <w:kinsoku w:val="0"/>
        <w:overflowPunct w:val="0"/>
        <w:snapToGrid w:val="0"/>
        <w:spacing w:line="360" w:lineRule="auto"/>
        <w:ind w:left="0"/>
        <w:jc w:val="both"/>
        <w:rPr>
          <w:sz w:val="21"/>
          <w:szCs w:val="21"/>
        </w:rPr>
      </w:pPr>
      <w:r w:rsidRPr="00EC3DB5">
        <w:rPr>
          <w:sz w:val="21"/>
          <w:szCs w:val="21"/>
        </w:rPr>
        <w:br w:type="page"/>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sz w:val="21"/>
          <w:szCs w:val="21"/>
        </w:rPr>
        <w:lastRenderedPageBreak/>
        <w:t>“</w:t>
      </w:r>
      <w:r w:rsidRPr="00EC3DB5">
        <w:rPr>
          <w:rFonts w:hAnsi="宋体" w:hint="eastAsia"/>
          <w:sz w:val="21"/>
          <w:szCs w:val="21"/>
        </w:rPr>
        <w:t>在增加患者或对照</w:t>
      </w:r>
      <w:r w:rsidR="00216DA8">
        <w:rPr>
          <w:rFonts w:hAnsi="宋体" w:hint="eastAsia"/>
          <w:sz w:val="21"/>
          <w:szCs w:val="21"/>
        </w:rPr>
        <w:t>样本</w:t>
      </w:r>
      <w:r w:rsidRPr="00EC3DB5">
        <w:rPr>
          <w:rFonts w:hAnsi="宋体" w:hint="eastAsia"/>
          <w:sz w:val="21"/>
          <w:szCs w:val="21"/>
        </w:rPr>
        <w:t>后，应认为试管或试板具有潜在传染性并相应地进行处理。</w:t>
      </w:r>
      <w:r w:rsidRPr="00EC3DB5">
        <w:rPr>
          <w:sz w:val="21"/>
          <w:szCs w:val="21"/>
        </w:rPr>
        <w:t>”</w:t>
      </w:r>
      <w:r w:rsidRPr="00EC3DB5">
        <w:rPr>
          <w:rFonts w:hAnsi="宋体" w:hint="eastAsia"/>
          <w:sz w:val="21"/>
          <w:szCs w:val="21"/>
        </w:rPr>
        <w:t>的声明。</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提供与试剂中包含的各种危险物质（例如：保存剂）相关的详细信息，推荐的处置预防措施和事故发生时的</w:t>
      </w:r>
      <w:r w:rsidR="00216DA8">
        <w:rPr>
          <w:rFonts w:hAnsi="宋体" w:hint="eastAsia"/>
          <w:sz w:val="21"/>
          <w:szCs w:val="21"/>
        </w:rPr>
        <w:t>缓解</w:t>
      </w:r>
      <w:r w:rsidRPr="00EC3DB5">
        <w:rPr>
          <w:rFonts w:hAnsi="宋体" w:hint="eastAsia"/>
          <w:sz w:val="21"/>
          <w:szCs w:val="21"/>
        </w:rPr>
        <w:t>措施。</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sz w:val="21"/>
          <w:szCs w:val="21"/>
        </w:rPr>
        <w:t xml:space="preserve"> “</w:t>
      </w:r>
      <w:r w:rsidRPr="00EC3DB5">
        <w:rPr>
          <w:rFonts w:hAnsi="宋体" w:hint="eastAsia"/>
          <w:sz w:val="21"/>
          <w:szCs w:val="21"/>
        </w:rPr>
        <w:t>仅遵循包装说明书中描述的协议。对协议的修改可能会产生错误的结果。</w:t>
      </w:r>
      <w:r w:rsidRPr="00EC3DB5">
        <w:rPr>
          <w:sz w:val="21"/>
          <w:szCs w:val="21"/>
        </w:rPr>
        <w:t>”</w:t>
      </w:r>
      <w:r w:rsidRPr="00EC3DB5">
        <w:rPr>
          <w:rFonts w:hAnsi="宋体" w:hint="eastAsia"/>
          <w:sz w:val="21"/>
          <w:szCs w:val="21"/>
        </w:rPr>
        <w:t>的声明</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sz w:val="21"/>
          <w:szCs w:val="21"/>
        </w:rPr>
        <w:t xml:space="preserve"> “</w:t>
      </w:r>
      <w:r w:rsidRPr="00EC3DB5">
        <w:rPr>
          <w:rFonts w:hAnsi="宋体" w:hint="eastAsia"/>
          <w:sz w:val="21"/>
          <w:szCs w:val="21"/>
        </w:rPr>
        <w:t>患者</w:t>
      </w:r>
      <w:r w:rsidR="00216DA8">
        <w:rPr>
          <w:rFonts w:hAnsi="宋体" w:hint="eastAsia"/>
          <w:sz w:val="21"/>
          <w:szCs w:val="21"/>
        </w:rPr>
        <w:t>样本</w:t>
      </w:r>
      <w:r w:rsidRPr="00EC3DB5">
        <w:rPr>
          <w:rFonts w:hAnsi="宋体" w:hint="eastAsia"/>
          <w:sz w:val="21"/>
          <w:szCs w:val="21"/>
        </w:rPr>
        <w:t>的交叉感染可能会产生错误的结果。</w:t>
      </w:r>
      <w:r w:rsidRPr="00EC3DB5">
        <w:rPr>
          <w:sz w:val="21"/>
          <w:szCs w:val="21"/>
        </w:rPr>
        <w:t>”</w:t>
      </w:r>
      <w:r w:rsidRPr="00EC3DB5">
        <w:rPr>
          <w:rFonts w:hAnsi="宋体" w:hint="eastAsia"/>
          <w:sz w:val="21"/>
          <w:szCs w:val="21"/>
        </w:rPr>
        <w:t>的声明。提供指导说明以避免弄混</w:t>
      </w:r>
      <w:r w:rsidR="00216DA8">
        <w:rPr>
          <w:rFonts w:hAnsi="宋体" w:hint="eastAsia"/>
          <w:sz w:val="21"/>
          <w:szCs w:val="21"/>
        </w:rPr>
        <w:t>样本</w:t>
      </w:r>
      <w:r w:rsidRPr="00EC3DB5">
        <w:rPr>
          <w:rFonts w:hAnsi="宋体" w:hint="eastAsia"/>
          <w:sz w:val="21"/>
          <w:szCs w:val="21"/>
        </w:rPr>
        <w:t>，并尽可能地减少污染。</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sz w:val="21"/>
          <w:szCs w:val="21"/>
        </w:rPr>
        <w:t xml:space="preserve"> “</w:t>
      </w:r>
      <w:r w:rsidRPr="00EC3DB5">
        <w:rPr>
          <w:rFonts w:hAnsi="宋体" w:hint="eastAsia"/>
          <w:sz w:val="21"/>
          <w:szCs w:val="21"/>
        </w:rPr>
        <w:t>血清或血浆</w:t>
      </w:r>
      <w:r w:rsidR="00216DA8">
        <w:rPr>
          <w:rFonts w:hAnsi="宋体" w:hint="eastAsia"/>
          <w:sz w:val="21"/>
          <w:szCs w:val="21"/>
        </w:rPr>
        <w:t>样本</w:t>
      </w:r>
      <w:r w:rsidRPr="00EC3DB5">
        <w:rPr>
          <w:rFonts w:hAnsi="宋体" w:hint="eastAsia"/>
          <w:sz w:val="21"/>
          <w:szCs w:val="21"/>
        </w:rPr>
        <w:t>或试剂的细菌污染可能会产生错误的结果。</w:t>
      </w:r>
      <w:r w:rsidRPr="00EC3DB5">
        <w:rPr>
          <w:sz w:val="21"/>
          <w:szCs w:val="21"/>
        </w:rPr>
        <w:t>”</w:t>
      </w:r>
      <w:r w:rsidRPr="00EC3DB5">
        <w:rPr>
          <w:rFonts w:hAnsi="宋体" w:hint="eastAsia"/>
          <w:sz w:val="21"/>
          <w:szCs w:val="21"/>
        </w:rPr>
        <w:t>的声明。就无菌</w:t>
      </w:r>
      <w:r w:rsidR="00216DA8">
        <w:rPr>
          <w:rFonts w:hAnsi="宋体" w:hint="eastAsia"/>
          <w:sz w:val="21"/>
          <w:szCs w:val="21"/>
        </w:rPr>
        <w:t>样本</w:t>
      </w:r>
      <w:r w:rsidRPr="00EC3DB5">
        <w:rPr>
          <w:rFonts w:hAnsi="宋体" w:hint="eastAsia"/>
          <w:sz w:val="21"/>
          <w:szCs w:val="21"/>
        </w:rPr>
        <w:t>的采集提供指导说明和建议。</w:t>
      </w:r>
    </w:p>
    <w:p w:rsidR="00FE0870" w:rsidRPr="00EC3DB5" w:rsidRDefault="00FE0870" w:rsidP="00D20CDC">
      <w:pPr>
        <w:pStyle w:val="3"/>
        <w:numPr>
          <w:ilvl w:val="1"/>
          <w:numId w:val="8"/>
        </w:numPr>
        <w:kinsoku w:val="0"/>
        <w:overflowPunct w:val="0"/>
        <w:snapToGrid w:val="0"/>
        <w:spacing w:beforeLines="50" w:line="360" w:lineRule="auto"/>
        <w:ind w:left="0" w:firstLine="0"/>
        <w:jc w:val="both"/>
        <w:rPr>
          <w:b w:val="0"/>
          <w:bCs w:val="0"/>
          <w:sz w:val="21"/>
          <w:szCs w:val="21"/>
        </w:rPr>
      </w:pPr>
      <w:bookmarkStart w:id="99" w:name="_Toc496797937"/>
      <w:r w:rsidRPr="00EC3DB5">
        <w:rPr>
          <w:rFonts w:hAnsi="宋体" w:hint="eastAsia"/>
          <w:sz w:val="21"/>
          <w:szCs w:val="21"/>
        </w:rPr>
        <w:t>检测结果的解释和报告</w:t>
      </w:r>
      <w:bookmarkEnd w:id="99"/>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若试验提供了非定量结果，您必须对期望的结果进行充分地说明。</w:t>
      </w:r>
      <w:r w:rsidRPr="00EC3DB5">
        <w:rPr>
          <w:sz w:val="21"/>
          <w:szCs w:val="21"/>
        </w:rPr>
        <w:t>21 CFR 809.10</w:t>
      </w:r>
      <w:r w:rsidRPr="00EC3DB5">
        <w:rPr>
          <w:rFonts w:hAnsi="宋体" w:hint="eastAsia"/>
          <w:sz w:val="21"/>
          <w:szCs w:val="21"/>
        </w:rPr>
        <w:t>（</w:t>
      </w:r>
      <w:r w:rsidRPr="00EC3DB5">
        <w:rPr>
          <w:sz w:val="21"/>
          <w:szCs w:val="21"/>
        </w:rPr>
        <w:t>b</w:t>
      </w:r>
      <w:r w:rsidRPr="00EC3DB5">
        <w:rPr>
          <w:rFonts w:hAnsi="宋体" w:hint="eastAsia"/>
          <w:sz w:val="21"/>
          <w:szCs w:val="21"/>
        </w:rPr>
        <w:t>）（</w:t>
      </w:r>
      <w:r w:rsidRPr="00EC3DB5">
        <w:rPr>
          <w:sz w:val="21"/>
          <w:szCs w:val="21"/>
        </w:rPr>
        <w:t>9</w:t>
      </w:r>
      <w:r w:rsidRPr="00EC3DB5">
        <w:rPr>
          <w:rFonts w:hAnsi="宋体" w:hint="eastAsia"/>
          <w:sz w:val="21"/>
          <w:szCs w:val="21"/>
        </w:rPr>
        <w:t>）。必须以表格形式提供对结果的解释。在性能未确定的情况下，不得对结果进行报告。</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您必须在结果呈现中说明如何确定阳性、阴性、可疑（若适用）或无效的结果及如何对其进行解释和报告。您必须在标签的结果表中提供您的器械所产生的实际输出结果的示例和适当的解释及对于重新测试和报告的详细建议。例如，必须明确地声明阴性结果表明在所检测的</w:t>
      </w:r>
      <w:r w:rsidR="00216DA8">
        <w:rPr>
          <w:rFonts w:hAnsi="宋体" w:hint="eastAsia"/>
          <w:sz w:val="21"/>
          <w:szCs w:val="21"/>
        </w:rPr>
        <w:t>样本</w:t>
      </w:r>
      <w:r w:rsidRPr="00EC3DB5">
        <w:rPr>
          <w:rFonts w:hAnsi="宋体" w:hint="eastAsia"/>
          <w:sz w:val="21"/>
          <w:szCs w:val="21"/>
        </w:rPr>
        <w:t>中未检测到抗</w:t>
      </w:r>
      <w:r w:rsidRPr="00EC3DB5">
        <w:rPr>
          <w:sz w:val="21"/>
          <w:szCs w:val="21"/>
        </w:rPr>
        <w:t>JCV</w:t>
      </w:r>
      <w:r w:rsidRPr="00EC3DB5">
        <w:rPr>
          <w:rFonts w:hAnsi="宋体" w:hint="eastAsia"/>
          <w:sz w:val="21"/>
          <w:szCs w:val="21"/>
        </w:rPr>
        <w:t>抗体。</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除与结果解释相关的指导外，您还必须说明抗</w:t>
      </w:r>
      <w:r w:rsidRPr="00EC3DB5">
        <w:rPr>
          <w:sz w:val="21"/>
          <w:szCs w:val="21"/>
        </w:rPr>
        <w:t>JCV</w:t>
      </w:r>
      <w:r w:rsidRPr="00EC3DB5">
        <w:rPr>
          <w:rFonts w:hAnsi="宋体" w:hint="eastAsia"/>
          <w:sz w:val="21"/>
          <w:szCs w:val="21"/>
        </w:rPr>
        <w:t>检测可能存在的结果误读问题，以帮助在器械标签的限制一节中对</w:t>
      </w:r>
      <w:r w:rsidRPr="00EC3DB5">
        <w:rPr>
          <w:sz w:val="21"/>
          <w:szCs w:val="21"/>
        </w:rPr>
        <w:t>PML</w:t>
      </w:r>
      <w:r w:rsidRPr="00EC3DB5">
        <w:rPr>
          <w:rFonts w:hAnsi="宋体" w:hint="eastAsia"/>
          <w:sz w:val="21"/>
          <w:szCs w:val="21"/>
        </w:rPr>
        <w:t>发病进行</w:t>
      </w:r>
      <w:r w:rsidR="00216DA8">
        <w:rPr>
          <w:rFonts w:hAnsi="宋体" w:hint="eastAsia"/>
          <w:sz w:val="21"/>
          <w:szCs w:val="21"/>
        </w:rPr>
        <w:t>风险分层</w:t>
      </w:r>
      <w:r w:rsidRPr="00EC3DB5">
        <w:rPr>
          <w:rFonts w:hAnsi="宋体" w:hint="eastAsia"/>
          <w:sz w:val="21"/>
          <w:szCs w:val="21"/>
        </w:rPr>
        <w:t>。由于没有可用于准确测定是否存在抗</w:t>
      </w:r>
      <w:r w:rsidRPr="00EC3DB5">
        <w:rPr>
          <w:sz w:val="21"/>
          <w:szCs w:val="21"/>
        </w:rPr>
        <w:t>JCV</w:t>
      </w:r>
      <w:r w:rsidRPr="00EC3DB5">
        <w:rPr>
          <w:rFonts w:hAnsi="宋体" w:hint="eastAsia"/>
          <w:sz w:val="21"/>
          <w:szCs w:val="21"/>
        </w:rPr>
        <w:t>抗体或</w:t>
      </w:r>
      <w:r w:rsidRPr="00EC3DB5">
        <w:rPr>
          <w:sz w:val="21"/>
          <w:szCs w:val="21"/>
        </w:rPr>
        <w:t>JC</w:t>
      </w:r>
      <w:r w:rsidRPr="00EC3DB5">
        <w:rPr>
          <w:rFonts w:hAnsi="宋体" w:hint="eastAsia"/>
          <w:sz w:val="21"/>
          <w:szCs w:val="21"/>
        </w:rPr>
        <w:t>病毒暴露的参考标准和方法，这一点显得尤为重要。最终用户应清楚地明白，如果抗</w:t>
      </w:r>
      <w:r w:rsidRPr="00EC3DB5">
        <w:rPr>
          <w:sz w:val="21"/>
          <w:szCs w:val="21"/>
        </w:rPr>
        <w:t>JCV</w:t>
      </w:r>
      <w:r w:rsidRPr="00EC3DB5">
        <w:rPr>
          <w:rFonts w:hAnsi="宋体" w:hint="eastAsia"/>
          <w:sz w:val="21"/>
          <w:szCs w:val="21"/>
        </w:rPr>
        <w:t>测试无法检测到</w:t>
      </w:r>
      <w:r w:rsidRPr="00EC3DB5">
        <w:rPr>
          <w:sz w:val="21"/>
          <w:szCs w:val="21"/>
        </w:rPr>
        <w:t>JC</w:t>
      </w:r>
      <w:r w:rsidRPr="00EC3DB5">
        <w:rPr>
          <w:rFonts w:hAnsi="宋体" w:hint="eastAsia"/>
          <w:sz w:val="21"/>
          <w:szCs w:val="21"/>
        </w:rPr>
        <w:t>病毒的抗体，并不能排除与</w:t>
      </w:r>
      <w:r w:rsidRPr="00EC3DB5">
        <w:rPr>
          <w:sz w:val="21"/>
          <w:szCs w:val="21"/>
        </w:rPr>
        <w:t>JCV</w:t>
      </w:r>
      <w:r w:rsidRPr="00EC3DB5">
        <w:rPr>
          <w:rFonts w:hAnsi="宋体" w:hint="eastAsia"/>
          <w:sz w:val="21"/>
          <w:szCs w:val="21"/>
        </w:rPr>
        <w:t>的接触。缺乏可检测的抗体可能是因与测试性能或宿主免疫系统相关的多种因素造成的。必须让使用者清楚阴性结果的替代方法或跟进建议以做出恰当的患者治疗决定。</w:t>
      </w:r>
    </w:p>
    <w:p w:rsidR="00FE0870" w:rsidRPr="00EC3DB5" w:rsidRDefault="00FE0870" w:rsidP="00D20CDC">
      <w:pPr>
        <w:pStyle w:val="a3"/>
        <w:kinsoku w:val="0"/>
        <w:overflowPunct w:val="0"/>
        <w:snapToGrid w:val="0"/>
        <w:spacing w:beforeLines="50" w:line="360" w:lineRule="auto"/>
        <w:ind w:left="0"/>
        <w:jc w:val="both"/>
        <w:rPr>
          <w:sz w:val="21"/>
          <w:szCs w:val="21"/>
        </w:rPr>
      </w:pPr>
      <w:r w:rsidRPr="00EC3DB5">
        <w:rPr>
          <w:rFonts w:hAnsi="宋体" w:hint="eastAsia"/>
          <w:sz w:val="21"/>
          <w:szCs w:val="21"/>
        </w:rPr>
        <w:t>局限性必须清楚地说明可能会导致虚假结果的情形，并提供结果可能被误读的示例及其后果。以下是必须考虑的局限性示例：</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sz w:val="21"/>
          <w:szCs w:val="21"/>
        </w:rPr>
        <w:br w:type="page"/>
      </w:r>
      <w:r w:rsidRPr="00EC3DB5">
        <w:rPr>
          <w:sz w:val="21"/>
          <w:szCs w:val="21"/>
        </w:rPr>
        <w:lastRenderedPageBreak/>
        <w:t xml:space="preserve"> “</w:t>
      </w:r>
      <w:r w:rsidRPr="00EC3DB5">
        <w:rPr>
          <w:rFonts w:hAnsi="宋体" w:hint="eastAsia"/>
          <w:sz w:val="21"/>
          <w:szCs w:val="21"/>
        </w:rPr>
        <w:t>来自于该试验和其他血清学试验的各项结果应与患者评价过程中可供主治医师使用的临床历史、流行病学数据及其他数据有关联。</w:t>
      </w:r>
      <w:r w:rsidRPr="00EC3DB5">
        <w:rPr>
          <w:sz w:val="21"/>
          <w:szCs w:val="21"/>
        </w:rPr>
        <w:t>”</w:t>
      </w:r>
      <w:r w:rsidRPr="00EC3DB5">
        <w:rPr>
          <w:rFonts w:hAnsi="宋体" w:hint="eastAsia"/>
          <w:sz w:val="21"/>
          <w:szCs w:val="21"/>
        </w:rPr>
        <w:t>的声明。</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sz w:val="21"/>
          <w:szCs w:val="21"/>
        </w:rPr>
        <w:t xml:space="preserve"> “</w:t>
      </w:r>
      <w:r w:rsidRPr="00EC3DB5">
        <w:rPr>
          <w:rFonts w:hAnsi="宋体" w:hint="eastAsia"/>
          <w:sz w:val="21"/>
          <w:szCs w:val="21"/>
        </w:rPr>
        <w:t>单一的阳性结果仅表明先前与</w:t>
      </w:r>
      <w:r w:rsidRPr="00EC3DB5">
        <w:rPr>
          <w:sz w:val="21"/>
          <w:szCs w:val="21"/>
        </w:rPr>
        <w:t>JC</w:t>
      </w:r>
      <w:r w:rsidRPr="00EC3DB5">
        <w:rPr>
          <w:rFonts w:hAnsi="宋体" w:hint="eastAsia"/>
          <w:sz w:val="21"/>
          <w:szCs w:val="21"/>
        </w:rPr>
        <w:t>病毒发生过接触；抗体反应的水平不可以用于确定活动性感染或疾病阶段。</w:t>
      </w:r>
      <w:r w:rsidRPr="00EC3DB5">
        <w:rPr>
          <w:sz w:val="21"/>
          <w:szCs w:val="21"/>
        </w:rPr>
        <w:t>”</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一份解释说明可能会出现假阴性结果及说明阴性检测结果并不能够排除接触的可能性和</w:t>
      </w:r>
      <w:r w:rsidRPr="00EC3DB5">
        <w:rPr>
          <w:sz w:val="21"/>
          <w:szCs w:val="21"/>
        </w:rPr>
        <w:t>PML</w:t>
      </w:r>
      <w:r w:rsidRPr="00EC3DB5">
        <w:rPr>
          <w:rFonts w:hAnsi="宋体" w:hint="eastAsia"/>
          <w:sz w:val="21"/>
          <w:szCs w:val="21"/>
        </w:rPr>
        <w:t>发病的可能性的声明【参考</w:t>
      </w:r>
      <w:r w:rsidRPr="00EC3DB5">
        <w:rPr>
          <w:sz w:val="21"/>
          <w:szCs w:val="21"/>
        </w:rPr>
        <w:t xml:space="preserve"> 4</w:t>
      </w:r>
      <w:r w:rsidRPr="00EC3DB5">
        <w:rPr>
          <w:rFonts w:hAnsi="宋体" w:hint="eastAsia"/>
          <w:sz w:val="21"/>
          <w:szCs w:val="21"/>
        </w:rPr>
        <w:t>、</w:t>
      </w:r>
      <w:r w:rsidRPr="00EC3DB5">
        <w:rPr>
          <w:sz w:val="21"/>
          <w:szCs w:val="21"/>
        </w:rPr>
        <w:t>17</w:t>
      </w:r>
      <w:r w:rsidRPr="00EC3DB5">
        <w:rPr>
          <w:rFonts w:hAnsi="宋体" w:hint="eastAsia"/>
          <w:sz w:val="21"/>
          <w:szCs w:val="21"/>
        </w:rPr>
        <w:t>】。然后随试验的假阴性率提供一份声明和一份如何对其进行估计的说明。</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一份解释说明可能会出现假阳性结果的声明。然后，随试验的假阳性率估计值提供一份声明（如适用）和一份如何对其进行测定的说明。</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一份解释说明由于没有可用于测定</w:t>
      </w:r>
      <w:r w:rsidRPr="00EC3DB5">
        <w:rPr>
          <w:sz w:val="21"/>
          <w:szCs w:val="21"/>
        </w:rPr>
        <w:t>JC</w:t>
      </w:r>
      <w:r w:rsidRPr="00EC3DB5">
        <w:rPr>
          <w:rFonts w:hAnsi="宋体" w:hint="eastAsia"/>
          <w:sz w:val="21"/>
          <w:szCs w:val="21"/>
        </w:rPr>
        <w:t>病毒血清学状态的认可参考方法，因而无法对抗</w:t>
      </w:r>
      <w:r w:rsidRPr="00EC3DB5">
        <w:rPr>
          <w:sz w:val="21"/>
          <w:szCs w:val="21"/>
        </w:rPr>
        <w:t>JCV</w:t>
      </w:r>
      <w:r w:rsidRPr="00EC3DB5">
        <w:rPr>
          <w:rFonts w:hAnsi="宋体" w:hint="eastAsia"/>
          <w:sz w:val="21"/>
          <w:szCs w:val="21"/>
        </w:rPr>
        <w:t>检测的假阳性率和假阴性率进行准确估计的声明。</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一份列举可能会导致虚假结果的情形实例的声明，诸如在您的研究或科学文献中得到证明的潜在交叉反应物；例如：</w:t>
      </w:r>
      <w:r w:rsidRPr="00EC3DB5">
        <w:rPr>
          <w:sz w:val="21"/>
          <w:szCs w:val="21"/>
        </w:rPr>
        <w:t>“</w:t>
      </w:r>
      <w:r w:rsidRPr="00EC3DB5">
        <w:rPr>
          <w:rFonts w:hAnsi="宋体" w:hint="eastAsia"/>
          <w:sz w:val="21"/>
          <w:szCs w:val="21"/>
        </w:rPr>
        <w:t>丙种球蛋白已知会与本测定发生交叉反应。接受</w:t>
      </w:r>
      <w:r w:rsidRPr="00EC3DB5">
        <w:rPr>
          <w:sz w:val="21"/>
          <w:szCs w:val="21"/>
        </w:rPr>
        <w:t>γ</w:t>
      </w:r>
      <w:r w:rsidRPr="00EC3DB5">
        <w:rPr>
          <w:rFonts w:hAnsi="宋体" w:hint="eastAsia"/>
          <w:sz w:val="21"/>
          <w:szCs w:val="21"/>
        </w:rPr>
        <w:t>球蛋白治疗的患者可能会出现错误的结果</w:t>
      </w:r>
      <w:r w:rsidRPr="00EC3DB5">
        <w:rPr>
          <w:sz w:val="21"/>
          <w:szCs w:val="21"/>
        </w:rPr>
        <w:t>”</w:t>
      </w:r>
      <w:r w:rsidRPr="00EC3DB5">
        <w:rPr>
          <w:rFonts w:hAnsi="宋体" w:hint="eastAsia"/>
          <w:sz w:val="21"/>
          <w:szCs w:val="21"/>
        </w:rPr>
        <w:t>。</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一份列举可能会导致错误结果的潜在干扰物的声明。</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sz w:val="21"/>
          <w:szCs w:val="21"/>
        </w:rPr>
        <w:t xml:space="preserve"> “</w:t>
      </w:r>
      <w:r w:rsidRPr="00EC3DB5">
        <w:rPr>
          <w:rFonts w:hAnsi="宋体" w:hint="eastAsia"/>
          <w:sz w:val="21"/>
          <w:szCs w:val="21"/>
        </w:rPr>
        <w:t>抗</w:t>
      </w:r>
      <w:r w:rsidRPr="00EC3DB5">
        <w:rPr>
          <w:sz w:val="21"/>
          <w:szCs w:val="21"/>
        </w:rPr>
        <w:t>JCV</w:t>
      </w:r>
      <w:r w:rsidRPr="00EC3DB5">
        <w:rPr>
          <w:rFonts w:hAnsi="宋体" w:hint="eastAsia"/>
          <w:sz w:val="21"/>
          <w:szCs w:val="21"/>
        </w:rPr>
        <w:t>阳性结果不能用于诊断</w:t>
      </w:r>
      <w:r w:rsidRPr="00EC3DB5">
        <w:rPr>
          <w:sz w:val="21"/>
          <w:szCs w:val="21"/>
        </w:rPr>
        <w:t>PML</w:t>
      </w:r>
      <w:r w:rsidRPr="00EC3DB5">
        <w:rPr>
          <w:rFonts w:hAnsi="宋体" w:hint="eastAsia"/>
          <w:sz w:val="21"/>
          <w:szCs w:val="21"/>
        </w:rPr>
        <w:t>，而检测的结果也不能用于</w:t>
      </w:r>
      <w:r w:rsidRPr="00EC3DB5">
        <w:rPr>
          <w:sz w:val="21"/>
          <w:szCs w:val="21"/>
        </w:rPr>
        <w:t>PML</w:t>
      </w:r>
      <w:r w:rsidRPr="00EC3DB5">
        <w:rPr>
          <w:rFonts w:hAnsi="宋体" w:hint="eastAsia"/>
          <w:sz w:val="21"/>
          <w:szCs w:val="21"/>
        </w:rPr>
        <w:t>的诊断。</w:t>
      </w:r>
      <w:r w:rsidRPr="00EC3DB5">
        <w:rPr>
          <w:sz w:val="21"/>
          <w:szCs w:val="21"/>
        </w:rPr>
        <w:t>”</w:t>
      </w:r>
      <w:r w:rsidRPr="00EC3DB5">
        <w:rPr>
          <w:rFonts w:hAnsi="宋体" w:hint="eastAsia"/>
          <w:sz w:val="21"/>
          <w:szCs w:val="21"/>
        </w:rPr>
        <w:t>的声明。</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一份解释说明在特定情况下某些患者体内的抗体水平可能无法检测，进而导致产生假阴性结果的声明。然后提供一份声明，描述与预期使用</w:t>
      </w:r>
      <w:r w:rsidR="00216DA8">
        <w:rPr>
          <w:rFonts w:hAnsi="宋体" w:hint="eastAsia"/>
          <w:sz w:val="21"/>
          <w:szCs w:val="21"/>
        </w:rPr>
        <w:t>人群</w:t>
      </w:r>
      <w:r w:rsidRPr="00EC3DB5">
        <w:rPr>
          <w:rFonts w:hAnsi="宋体" w:hint="eastAsia"/>
          <w:sz w:val="21"/>
          <w:szCs w:val="21"/>
        </w:rPr>
        <w:t>相关的已知条件，例如：检测应在因清除血清中的抗体而发生血浆交换后至少两周时进行。</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sz w:val="21"/>
          <w:szCs w:val="21"/>
        </w:rPr>
        <w:t xml:space="preserve"> “</w:t>
      </w:r>
      <w:r w:rsidRPr="00EC3DB5">
        <w:rPr>
          <w:rFonts w:hAnsi="宋体" w:hint="eastAsia"/>
          <w:sz w:val="21"/>
          <w:szCs w:val="21"/>
        </w:rPr>
        <w:t>阴性结果并不能够消除</w:t>
      </w:r>
      <w:r w:rsidRPr="00EC3DB5">
        <w:rPr>
          <w:sz w:val="21"/>
          <w:szCs w:val="21"/>
        </w:rPr>
        <w:t>PML</w:t>
      </w:r>
      <w:r w:rsidRPr="00EC3DB5">
        <w:rPr>
          <w:rFonts w:hAnsi="宋体" w:hint="eastAsia"/>
          <w:sz w:val="21"/>
          <w:szCs w:val="21"/>
        </w:rPr>
        <w:t>的发病风险，也不能排除与</w:t>
      </w:r>
      <w:r w:rsidRPr="00EC3DB5">
        <w:rPr>
          <w:sz w:val="21"/>
          <w:szCs w:val="21"/>
        </w:rPr>
        <w:t>JCV</w:t>
      </w:r>
      <w:r w:rsidRPr="00EC3DB5">
        <w:rPr>
          <w:rFonts w:hAnsi="宋体" w:hint="eastAsia"/>
          <w:sz w:val="21"/>
          <w:szCs w:val="21"/>
        </w:rPr>
        <w:t>的事先接触。阴性结果不能作为诊断、治疗或管理决定的唯一依据使用。</w:t>
      </w:r>
      <w:r w:rsidRPr="00EC3DB5">
        <w:rPr>
          <w:sz w:val="21"/>
          <w:szCs w:val="21"/>
        </w:rPr>
        <w:t>”</w:t>
      </w:r>
      <w:r w:rsidRPr="00EC3DB5">
        <w:rPr>
          <w:rFonts w:hAnsi="宋体" w:hint="eastAsia"/>
          <w:sz w:val="21"/>
          <w:szCs w:val="21"/>
        </w:rPr>
        <w:t>的声明。</w:t>
      </w:r>
    </w:p>
    <w:p w:rsidR="00FE0870" w:rsidRPr="00EC3DB5" w:rsidRDefault="00FE0870" w:rsidP="00545977">
      <w:pPr>
        <w:pStyle w:val="a3"/>
        <w:numPr>
          <w:ilvl w:val="2"/>
          <w:numId w:val="8"/>
        </w:numPr>
        <w:kinsoku w:val="0"/>
        <w:overflowPunct w:val="0"/>
        <w:snapToGrid w:val="0"/>
        <w:spacing w:line="360" w:lineRule="auto"/>
        <w:ind w:leftChars="200" w:left="690" w:hangingChars="100" w:hanging="210"/>
        <w:jc w:val="both"/>
        <w:rPr>
          <w:sz w:val="21"/>
          <w:szCs w:val="21"/>
        </w:rPr>
      </w:pPr>
      <w:r w:rsidRPr="00EC3DB5">
        <w:rPr>
          <w:rFonts w:hAnsi="宋体" w:hint="eastAsia"/>
          <w:sz w:val="21"/>
          <w:szCs w:val="21"/>
        </w:rPr>
        <w:t>一份解释说明器械用于除性能已获评估的样本类型之外的其他样本类型的性能尚未确定的声明。然后提供一份声明明确地显示该器械的性能尚不确定的各</w:t>
      </w:r>
      <w:r w:rsidR="00216DA8">
        <w:rPr>
          <w:rFonts w:hAnsi="宋体" w:hint="eastAsia"/>
          <w:sz w:val="21"/>
          <w:szCs w:val="21"/>
        </w:rPr>
        <w:t>人群</w:t>
      </w:r>
      <w:r w:rsidRPr="00EC3DB5">
        <w:rPr>
          <w:rFonts w:hAnsi="宋体" w:hint="eastAsia"/>
          <w:sz w:val="21"/>
          <w:szCs w:val="21"/>
        </w:rPr>
        <w:t>。</w:t>
      </w:r>
    </w:p>
    <w:p w:rsidR="00FE0870" w:rsidRPr="00EC3DB5" w:rsidRDefault="00FE0870" w:rsidP="00D20CDC">
      <w:pPr>
        <w:pStyle w:val="2"/>
        <w:numPr>
          <w:ilvl w:val="0"/>
          <w:numId w:val="8"/>
        </w:numPr>
        <w:kinsoku w:val="0"/>
        <w:overflowPunct w:val="0"/>
        <w:snapToGrid w:val="0"/>
        <w:spacing w:beforeLines="100" w:line="360" w:lineRule="auto"/>
        <w:ind w:left="422" w:hangingChars="200" w:hanging="422"/>
        <w:jc w:val="both"/>
        <w:rPr>
          <w:b w:val="0"/>
          <w:bCs w:val="0"/>
          <w:sz w:val="21"/>
          <w:szCs w:val="21"/>
        </w:rPr>
      </w:pPr>
      <w:bookmarkStart w:id="100" w:name="9._References:"/>
      <w:bookmarkStart w:id="101" w:name="bookmark31"/>
      <w:bookmarkStart w:id="102" w:name="_Toc496797938"/>
      <w:bookmarkEnd w:id="100"/>
      <w:bookmarkEnd w:id="101"/>
      <w:r w:rsidRPr="00EC3DB5">
        <w:rPr>
          <w:rFonts w:hAnsi="宋体" w:hint="eastAsia"/>
          <w:sz w:val="21"/>
          <w:szCs w:val="21"/>
        </w:rPr>
        <w:t>参考文献：</w:t>
      </w:r>
      <w:bookmarkEnd w:id="102"/>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Stolt A, Sasnauskas K, Koskela P, Lehtinen M, Dillner J. Seroepidemiology of the human polyomaviruses. J Gen Virol. 2003 Jun;84(Pt 6):1499-504.</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Knowles WA, Pipkin P, Andrews N, Vyse A, Minor P, Brown DW, Miller E. Population-based study of antibody to the human polyomaviruses BKV and JCV and the simian polyomavirus SV40. J Med Virol. 2003 Sep;71(1):115-23.</w:t>
      </w:r>
    </w:p>
    <w:p w:rsidR="00FE0870" w:rsidRPr="00545977" w:rsidRDefault="00FE0870" w:rsidP="00EC3DB5">
      <w:pPr>
        <w:pStyle w:val="a3"/>
        <w:numPr>
          <w:ilvl w:val="0"/>
          <w:numId w:val="3"/>
        </w:numPr>
        <w:kinsoku w:val="0"/>
        <w:overflowPunct w:val="0"/>
        <w:snapToGrid w:val="0"/>
        <w:spacing w:line="360" w:lineRule="auto"/>
        <w:ind w:left="424" w:hangingChars="202" w:hanging="424"/>
        <w:jc w:val="both"/>
        <w:rPr>
          <w:sz w:val="18"/>
          <w:szCs w:val="18"/>
        </w:rPr>
      </w:pPr>
      <w:r w:rsidRPr="00EC3DB5">
        <w:rPr>
          <w:sz w:val="21"/>
          <w:szCs w:val="21"/>
        </w:rPr>
        <w:br w:type="page"/>
      </w:r>
      <w:r w:rsidRPr="00545977">
        <w:rPr>
          <w:sz w:val="18"/>
          <w:szCs w:val="18"/>
        </w:rPr>
        <w:lastRenderedPageBreak/>
        <w:t>Kean JM, Rao S, Wang M, Garcea RL. Seroepidemiology of human polyomaviruses. PLoS Pathog. 2009 Mar;5(3):e1000363. Epub 2009 Mar 27.</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Grabowski, M.K., Viscidi, R.P., Margolick, J.B., Jacobson, L.P., Shah, K.V. Investigation of pre-diagnostic virological markers for progressive multifocal leukoencephalopathy in human immunodeficiency virus-infected patients. J Med Virol 2009; 81: 1140-50.</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Chesters PM, Heritage J, McCance DJ. Persistence of DNA sequences of BK virus and JC virus in normal human tissues and in diseased tissues. J Infect Dis.</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Cinque P, Koralnik IJ, Clifford DB. The evolving face of human immunodeficiency virus-related progressive multifocal leukoencephalopathy: defining a consensus terminology. J Neurovirol. 2003;9 Suppl 1:88-92.</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Cinque P, Koralnik IJ, Gerevini S, Miro JM, Price RW. Progressive multifocal leukoencephalopathy in HIV-1 infection. Lancet Infect Dis. 2009 Oct;9(10):625- 36.</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Gorelik L, Lerner M, Bixler S, Crossman M, Schlain B, Simon K, Pace A, Cheung A, Chen LL, Berman M, Zein F, Wilson E, Yednock T, Sandrock A, Goelz SE, Subramanyam M. Anti-JC virus antibodies: implications for PML risk stratification. Ann Neurol. 2010 Sep;68(3):295-303.</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 xml:space="preserve">Clinical Laboratory Standards Institute (CLSI). Evaluation of Precision Performance of Quantitative Measurement Methods; Approved Guideline, CLSI document EP05-A2 (ISBN 1-56238-542-9) CLSI, </w:t>
      </w:r>
      <w:smartTag w:uri="urn:schemas-microsoft-com:office:smarttags" w:element="address">
        <w:smartTag w:uri="urn:schemas-microsoft-com:office:smarttags" w:element="Street">
          <w:r w:rsidRPr="00545977">
            <w:rPr>
              <w:sz w:val="18"/>
              <w:szCs w:val="18"/>
            </w:rPr>
            <w:t>940 West Valley Road, Suite 1400</w:t>
          </w:r>
        </w:smartTag>
        <w:r w:rsidRPr="00545977">
          <w:rPr>
            <w:sz w:val="18"/>
            <w:szCs w:val="18"/>
          </w:rPr>
          <w:t xml:space="preserve">, </w:t>
        </w:r>
        <w:smartTag w:uri="urn:schemas-microsoft-com:office:smarttags" w:element="City">
          <w:r w:rsidRPr="00545977">
            <w:rPr>
              <w:sz w:val="18"/>
              <w:szCs w:val="18"/>
            </w:rPr>
            <w:t>Wayne</w:t>
          </w:r>
        </w:smartTag>
        <w:r w:rsidRPr="00545977">
          <w:rPr>
            <w:sz w:val="18"/>
            <w:szCs w:val="18"/>
          </w:rPr>
          <w:t xml:space="preserve">, </w:t>
        </w:r>
        <w:smartTag w:uri="urn:schemas-microsoft-com:office:smarttags" w:element="State">
          <w:r w:rsidRPr="00545977">
            <w:rPr>
              <w:sz w:val="18"/>
              <w:szCs w:val="18"/>
            </w:rPr>
            <w:t>Pennsylvania</w:t>
          </w:r>
        </w:smartTag>
        <w:smartTag w:uri="urn:schemas-microsoft-com:office:smarttags" w:element="PostalCode">
          <w:r w:rsidRPr="00545977">
            <w:rPr>
              <w:sz w:val="18"/>
              <w:szCs w:val="18"/>
            </w:rPr>
            <w:t>19087-1898</w:t>
          </w:r>
        </w:smartTag>
        <w:smartTag w:uri="urn:schemas-microsoft-com:office:smarttags" w:element="country-region">
          <w:r w:rsidRPr="00545977">
            <w:rPr>
              <w:sz w:val="18"/>
              <w:szCs w:val="18"/>
            </w:rPr>
            <w:t>USA</w:t>
          </w:r>
        </w:smartTag>
      </w:smartTag>
      <w:r w:rsidRPr="00545977">
        <w:rPr>
          <w:sz w:val="18"/>
          <w:szCs w:val="18"/>
        </w:rPr>
        <w:t>, 2004.</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 xml:space="preserve">Clinical Laboratory Standards Institute (CLSI). User Verification of Performance for Precision and Trueness; Approved Guideline, CLSI document EP15-A2 (ISBN 1-56238-574-7) CLSI, </w:t>
      </w:r>
      <w:smartTag w:uri="urn:schemas-microsoft-com:office:smarttags" w:element="address">
        <w:smartTag w:uri="urn:schemas-microsoft-com:office:smarttags" w:element="Street">
          <w:r w:rsidRPr="00545977">
            <w:rPr>
              <w:sz w:val="18"/>
              <w:szCs w:val="18"/>
            </w:rPr>
            <w:t>940 West Valley Road, Suite 1400</w:t>
          </w:r>
        </w:smartTag>
        <w:r w:rsidRPr="00545977">
          <w:rPr>
            <w:sz w:val="18"/>
            <w:szCs w:val="18"/>
          </w:rPr>
          <w:t xml:space="preserve">, </w:t>
        </w:r>
        <w:smartTag w:uri="urn:schemas-microsoft-com:office:smarttags" w:element="City">
          <w:r w:rsidRPr="00545977">
            <w:rPr>
              <w:sz w:val="18"/>
              <w:szCs w:val="18"/>
            </w:rPr>
            <w:t>Wayne</w:t>
          </w:r>
        </w:smartTag>
        <w:r w:rsidRPr="00545977">
          <w:rPr>
            <w:sz w:val="18"/>
            <w:szCs w:val="18"/>
          </w:rPr>
          <w:t xml:space="preserve">, </w:t>
        </w:r>
        <w:smartTag w:uri="urn:schemas-microsoft-com:office:smarttags" w:element="State">
          <w:r w:rsidRPr="00545977">
            <w:rPr>
              <w:sz w:val="18"/>
              <w:szCs w:val="18"/>
            </w:rPr>
            <w:t>Pennsylvania</w:t>
          </w:r>
        </w:smartTag>
        <w:smartTag w:uri="urn:schemas-microsoft-com:office:smarttags" w:element="PostalCode">
          <w:r w:rsidRPr="00545977">
            <w:rPr>
              <w:sz w:val="18"/>
              <w:szCs w:val="18"/>
            </w:rPr>
            <w:t>19087-1898</w:t>
          </w:r>
        </w:smartTag>
        <w:smartTag w:uri="urn:schemas-microsoft-com:office:smarttags" w:element="country-region">
          <w:r w:rsidRPr="00545977">
            <w:rPr>
              <w:sz w:val="18"/>
              <w:szCs w:val="18"/>
            </w:rPr>
            <w:t>USA</w:t>
          </w:r>
        </w:smartTag>
      </w:smartTag>
      <w:r w:rsidRPr="00545977">
        <w:rPr>
          <w:sz w:val="18"/>
          <w:szCs w:val="18"/>
        </w:rPr>
        <w:t>, 2005.</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 xml:space="preserve">Clinical Laboratory Standards Institute (CLSI). User Protocol for Evaluation of Qualitative Test Performance; Approved Guideline, CLSI document EP12-A2 (ISBN 1-56238-654-9) CLSI, </w:t>
      </w:r>
      <w:smartTag w:uri="urn:schemas-microsoft-com:office:smarttags" w:element="address">
        <w:smartTag w:uri="urn:schemas-microsoft-com:office:smarttags" w:element="Street">
          <w:r w:rsidRPr="00545977">
            <w:rPr>
              <w:sz w:val="18"/>
              <w:szCs w:val="18"/>
            </w:rPr>
            <w:t>940 West Valley Road, Suite 1400</w:t>
          </w:r>
        </w:smartTag>
        <w:r w:rsidRPr="00545977">
          <w:rPr>
            <w:sz w:val="18"/>
            <w:szCs w:val="18"/>
          </w:rPr>
          <w:t xml:space="preserve">, </w:t>
        </w:r>
        <w:smartTag w:uri="urn:schemas-microsoft-com:office:smarttags" w:element="City">
          <w:r w:rsidRPr="00545977">
            <w:rPr>
              <w:sz w:val="18"/>
              <w:szCs w:val="18"/>
            </w:rPr>
            <w:t>Wayne</w:t>
          </w:r>
        </w:smartTag>
        <w:r w:rsidRPr="00545977">
          <w:rPr>
            <w:sz w:val="18"/>
            <w:szCs w:val="18"/>
          </w:rPr>
          <w:t xml:space="preserve">, </w:t>
        </w:r>
        <w:smartTag w:uri="urn:schemas-microsoft-com:office:smarttags" w:element="State">
          <w:r w:rsidRPr="00545977">
            <w:rPr>
              <w:sz w:val="18"/>
              <w:szCs w:val="18"/>
            </w:rPr>
            <w:t>Pennsylvania</w:t>
          </w:r>
        </w:smartTag>
        <w:smartTag w:uri="urn:schemas-microsoft-com:office:smarttags" w:element="PostalCode">
          <w:r w:rsidRPr="00545977">
            <w:rPr>
              <w:sz w:val="18"/>
              <w:szCs w:val="18"/>
            </w:rPr>
            <w:t>19087-1898</w:t>
          </w:r>
        </w:smartTag>
        <w:smartTag w:uri="urn:schemas-microsoft-com:office:smarttags" w:element="country-region">
          <w:r w:rsidRPr="00545977">
            <w:rPr>
              <w:sz w:val="18"/>
              <w:szCs w:val="18"/>
            </w:rPr>
            <w:t>USA</w:t>
          </w:r>
        </w:smartTag>
      </w:smartTag>
      <w:r w:rsidRPr="00545977">
        <w:rPr>
          <w:sz w:val="18"/>
          <w:szCs w:val="18"/>
        </w:rPr>
        <w:t>, 2008.</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 xml:space="preserve">Clinical Laboratory Standards Institute (CLSI). Interference Testing in Clinical Chemistry; Approved Guideline, CLSI document EP07-A (ISBN 1-56238-584-4) CLSI, </w:t>
      </w:r>
      <w:smartTag w:uri="urn:schemas-microsoft-com:office:smarttags" w:element="address">
        <w:smartTag w:uri="urn:schemas-microsoft-com:office:smarttags" w:element="Street">
          <w:r w:rsidRPr="00545977">
            <w:rPr>
              <w:sz w:val="18"/>
              <w:szCs w:val="18"/>
            </w:rPr>
            <w:t>940 West Valley Road, Suite 1400</w:t>
          </w:r>
        </w:smartTag>
        <w:r w:rsidRPr="00545977">
          <w:rPr>
            <w:sz w:val="18"/>
            <w:szCs w:val="18"/>
          </w:rPr>
          <w:t xml:space="preserve">, </w:t>
        </w:r>
        <w:smartTag w:uri="urn:schemas-microsoft-com:office:smarttags" w:element="City">
          <w:r w:rsidRPr="00545977">
            <w:rPr>
              <w:sz w:val="18"/>
              <w:szCs w:val="18"/>
            </w:rPr>
            <w:t>Wayne</w:t>
          </w:r>
        </w:smartTag>
        <w:r w:rsidRPr="00545977">
          <w:rPr>
            <w:sz w:val="18"/>
            <w:szCs w:val="18"/>
          </w:rPr>
          <w:t xml:space="preserve">, </w:t>
        </w:r>
        <w:smartTag w:uri="urn:schemas-microsoft-com:office:smarttags" w:element="State">
          <w:r w:rsidRPr="00545977">
            <w:rPr>
              <w:sz w:val="18"/>
              <w:szCs w:val="18"/>
            </w:rPr>
            <w:t>Pennsylvania</w:t>
          </w:r>
        </w:smartTag>
        <w:smartTag w:uri="urn:schemas-microsoft-com:office:smarttags" w:element="PostalCode">
          <w:r w:rsidRPr="00545977">
            <w:rPr>
              <w:sz w:val="18"/>
              <w:szCs w:val="18"/>
            </w:rPr>
            <w:t>19087-1898</w:t>
          </w:r>
        </w:smartTag>
        <w:smartTag w:uri="urn:schemas-microsoft-com:office:smarttags" w:element="country-region">
          <w:r w:rsidRPr="00545977">
            <w:rPr>
              <w:sz w:val="18"/>
              <w:szCs w:val="18"/>
            </w:rPr>
            <w:t>USA</w:t>
          </w:r>
        </w:smartTag>
      </w:smartTag>
      <w:r w:rsidRPr="00545977">
        <w:rPr>
          <w:sz w:val="18"/>
          <w:szCs w:val="18"/>
        </w:rPr>
        <w:t>, 2005.</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Clinical Laboratory Standards Institute (CLSI). Method Comparison and Bias Estimation Using Patient Samples; Approved Guideline, CLSI document EP09- A2 IR (ISBN 1-56238-731-6) CLSI, 940 West Valley Road, Suite 1400, Wayne, Pennsylvania 19087-1898 USA, 2010</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 xml:space="preserve">Clinical Laboratory Standards Institute (CLSI). Evaluation of Stability of In Vitro Diagnostic Reagents; Approved Guideline, CLSI document EP25-A (ISBN 1- 56238-706-5) CLSI, </w:t>
      </w:r>
      <w:smartTag w:uri="urn:schemas-microsoft-com:office:smarttags" w:element="address">
        <w:smartTag w:uri="urn:schemas-microsoft-com:office:smarttags" w:element="Street">
          <w:r w:rsidRPr="00545977">
            <w:rPr>
              <w:sz w:val="18"/>
              <w:szCs w:val="18"/>
            </w:rPr>
            <w:t>940 West Valley Road, Suite 1400</w:t>
          </w:r>
        </w:smartTag>
        <w:r w:rsidRPr="00545977">
          <w:rPr>
            <w:sz w:val="18"/>
            <w:szCs w:val="18"/>
          </w:rPr>
          <w:t xml:space="preserve">, </w:t>
        </w:r>
        <w:smartTag w:uri="urn:schemas-microsoft-com:office:smarttags" w:element="City">
          <w:r w:rsidRPr="00545977">
            <w:rPr>
              <w:sz w:val="18"/>
              <w:szCs w:val="18"/>
            </w:rPr>
            <w:t>Wayne</w:t>
          </w:r>
        </w:smartTag>
        <w:r w:rsidRPr="00545977">
          <w:rPr>
            <w:sz w:val="18"/>
            <w:szCs w:val="18"/>
          </w:rPr>
          <w:t xml:space="preserve">, </w:t>
        </w:r>
        <w:smartTag w:uri="urn:schemas-microsoft-com:office:smarttags" w:element="State">
          <w:r w:rsidRPr="00545977">
            <w:rPr>
              <w:sz w:val="18"/>
              <w:szCs w:val="18"/>
            </w:rPr>
            <w:t>Pennsylvania</w:t>
          </w:r>
        </w:smartTag>
        <w:smartTag w:uri="urn:schemas-microsoft-com:office:smarttags" w:element="PostalCode">
          <w:r w:rsidRPr="00545977">
            <w:rPr>
              <w:sz w:val="18"/>
              <w:szCs w:val="18"/>
            </w:rPr>
            <w:t>19087-1898</w:t>
          </w:r>
        </w:smartTag>
        <w:smartTag w:uri="urn:schemas-microsoft-com:office:smarttags" w:element="country-region">
          <w:r w:rsidRPr="00545977">
            <w:rPr>
              <w:sz w:val="18"/>
              <w:szCs w:val="18"/>
            </w:rPr>
            <w:t>USA</w:t>
          </w:r>
        </w:smartTag>
      </w:smartTag>
      <w:r w:rsidRPr="00545977">
        <w:rPr>
          <w:sz w:val="18"/>
          <w:szCs w:val="18"/>
        </w:rPr>
        <w:t>, 2009</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 xml:space="preserve">Clinical Laboratory Standards Institute (CLSI). Procedures for Handling and Processing of Blood Specimens; Approved Guideline, CLSI Document H18-A3 (ISBN 1-56238-555-0) CLSI, </w:t>
      </w:r>
      <w:smartTag w:uri="urn:schemas-microsoft-com:office:smarttags" w:element="address">
        <w:smartTag w:uri="urn:schemas-microsoft-com:office:smarttags" w:element="Street">
          <w:r w:rsidRPr="00545977">
            <w:rPr>
              <w:sz w:val="18"/>
              <w:szCs w:val="18"/>
            </w:rPr>
            <w:t>940 West Valley Road, Suite 1400</w:t>
          </w:r>
        </w:smartTag>
        <w:r w:rsidRPr="00545977">
          <w:rPr>
            <w:sz w:val="18"/>
            <w:szCs w:val="18"/>
          </w:rPr>
          <w:t xml:space="preserve">, </w:t>
        </w:r>
        <w:smartTag w:uri="urn:schemas-microsoft-com:office:smarttags" w:element="City">
          <w:r w:rsidRPr="00545977">
            <w:rPr>
              <w:sz w:val="18"/>
              <w:szCs w:val="18"/>
            </w:rPr>
            <w:t>Wayne</w:t>
          </w:r>
        </w:smartTag>
        <w:r w:rsidRPr="00545977">
          <w:rPr>
            <w:sz w:val="18"/>
            <w:szCs w:val="18"/>
          </w:rPr>
          <w:t xml:space="preserve">, </w:t>
        </w:r>
        <w:smartTag w:uri="urn:schemas-microsoft-com:office:smarttags" w:element="State">
          <w:r w:rsidRPr="00545977">
            <w:rPr>
              <w:sz w:val="18"/>
              <w:szCs w:val="18"/>
            </w:rPr>
            <w:t>Pennsylvania</w:t>
          </w:r>
        </w:smartTag>
        <w:smartTag w:uri="urn:schemas-microsoft-com:office:smarttags" w:element="PostalCode">
          <w:r w:rsidRPr="00545977">
            <w:rPr>
              <w:sz w:val="18"/>
              <w:szCs w:val="18"/>
            </w:rPr>
            <w:t>19087-1898</w:t>
          </w:r>
        </w:smartTag>
        <w:smartTag w:uri="urn:schemas-microsoft-com:office:smarttags" w:element="country-region">
          <w:r w:rsidRPr="00545977">
            <w:rPr>
              <w:sz w:val="18"/>
              <w:szCs w:val="18"/>
            </w:rPr>
            <w:t>USA</w:t>
          </w:r>
        </w:smartTag>
      </w:smartTag>
      <w:r w:rsidRPr="00545977">
        <w:rPr>
          <w:sz w:val="18"/>
          <w:szCs w:val="18"/>
        </w:rPr>
        <w:t>, 2004</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br w:type="page"/>
      </w:r>
      <w:r w:rsidRPr="00545977">
        <w:rPr>
          <w:sz w:val="18"/>
          <w:szCs w:val="18"/>
        </w:rPr>
        <w:lastRenderedPageBreak/>
        <w:t>CDC-NIH Manual. (1999) Biosafety in Microbiological and Biomedical Laboratories. 4th ed. And National Committee for Clinical Laboratory Standards (NCCLS). Protection of Laboratory Workers from Instruments, Biohazards and Infectious Disease Transmitted by Blood, Body Fluids and Tissue (NCCLS M29- A).</w:t>
      </w:r>
    </w:p>
    <w:p w:rsidR="00FE0870" w:rsidRPr="00545977" w:rsidRDefault="00FE0870" w:rsidP="00545977">
      <w:pPr>
        <w:pStyle w:val="a3"/>
        <w:numPr>
          <w:ilvl w:val="0"/>
          <w:numId w:val="3"/>
        </w:numPr>
        <w:kinsoku w:val="0"/>
        <w:overflowPunct w:val="0"/>
        <w:snapToGrid w:val="0"/>
        <w:spacing w:line="360" w:lineRule="auto"/>
        <w:ind w:left="364" w:hangingChars="202" w:hanging="364"/>
        <w:jc w:val="both"/>
        <w:rPr>
          <w:sz w:val="18"/>
          <w:szCs w:val="18"/>
        </w:rPr>
      </w:pPr>
      <w:r w:rsidRPr="00545977">
        <w:rPr>
          <w:sz w:val="18"/>
          <w:szCs w:val="18"/>
        </w:rPr>
        <w:t xml:space="preserve">Ryschkewitsch CF, Jensen PN, </w:t>
      </w:r>
      <w:smartTag w:uri="urn:schemas-microsoft-com:office:smarttags" w:element="place">
        <w:smartTag w:uri="urn:schemas-microsoft-com:office:smarttags" w:element="country-region">
          <w:r w:rsidRPr="00545977">
            <w:rPr>
              <w:sz w:val="18"/>
              <w:szCs w:val="18"/>
            </w:rPr>
            <w:t>Monaco</w:t>
          </w:r>
        </w:smartTag>
      </w:smartTag>
      <w:r w:rsidRPr="00545977">
        <w:rPr>
          <w:sz w:val="18"/>
          <w:szCs w:val="18"/>
        </w:rPr>
        <w:t xml:space="preserve"> MC, Major EO. JC Virus Persistence Following Progressive Multifocal Leukoencephalopathy in Multiple Sclerosis Patients Treated with Natalizumab. Ann Neurol. 2010 Jun; 68:384-391.</w:t>
      </w:r>
    </w:p>
    <w:p w:rsidR="00FE0870" w:rsidRPr="00545977" w:rsidRDefault="00FE0870" w:rsidP="00EC3DB5">
      <w:pPr>
        <w:pStyle w:val="a3"/>
        <w:kinsoku w:val="0"/>
        <w:overflowPunct w:val="0"/>
        <w:snapToGrid w:val="0"/>
        <w:spacing w:line="360" w:lineRule="auto"/>
        <w:ind w:left="0"/>
        <w:jc w:val="both"/>
        <w:rPr>
          <w:sz w:val="18"/>
          <w:szCs w:val="18"/>
        </w:rPr>
      </w:pPr>
    </w:p>
    <w:sectPr w:rsidR="00FE0870" w:rsidRPr="00545977" w:rsidSect="00DE706B">
      <w:headerReference w:type="default" r:id="rId10"/>
      <w:footerReference w:type="default" r:id="rId11"/>
      <w:pgSz w:w="11907" w:h="16839" w:code="9"/>
      <w:pgMar w:top="1440" w:right="1797" w:bottom="1440" w:left="1797" w:header="680" w:footer="68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389" w:rsidRDefault="000A7389" w:rsidP="005D0565">
      <w:r>
        <w:separator/>
      </w:r>
    </w:p>
  </w:endnote>
  <w:endnote w:type="continuationSeparator" w:id="1">
    <w:p w:rsidR="000A7389" w:rsidRDefault="000A7389" w:rsidP="005D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70" w:rsidRPr="00AB5FC8" w:rsidRDefault="0025418D" w:rsidP="00DE706B">
    <w:pPr>
      <w:kinsoku w:val="0"/>
      <w:overflowPunct w:val="0"/>
      <w:spacing w:line="225" w:lineRule="exact"/>
      <w:ind w:left="40"/>
      <w:jc w:val="center"/>
      <w:rPr>
        <w:sz w:val="18"/>
        <w:szCs w:val="18"/>
      </w:rPr>
    </w:pPr>
    <w:r w:rsidRPr="00AB5FC8">
      <w:rPr>
        <w:b/>
        <w:bCs/>
        <w:sz w:val="18"/>
        <w:szCs w:val="18"/>
      </w:rPr>
      <w:fldChar w:fldCharType="begin"/>
    </w:r>
    <w:r w:rsidR="00FE0870" w:rsidRPr="00AB5FC8">
      <w:rPr>
        <w:b/>
        <w:bCs/>
        <w:sz w:val="18"/>
        <w:szCs w:val="18"/>
      </w:rPr>
      <w:instrText xml:space="preserve"> PAGE </w:instrText>
    </w:r>
    <w:r w:rsidRPr="00AB5FC8">
      <w:rPr>
        <w:b/>
        <w:bCs/>
        <w:sz w:val="18"/>
        <w:szCs w:val="18"/>
      </w:rPr>
      <w:fldChar w:fldCharType="separate"/>
    </w:r>
    <w:r w:rsidR="00D20CDC">
      <w:rPr>
        <w:b/>
        <w:bCs/>
        <w:noProof/>
        <w:sz w:val="18"/>
        <w:szCs w:val="18"/>
      </w:rPr>
      <w:t>6</w:t>
    </w:r>
    <w:r w:rsidRPr="00AB5FC8">
      <w:rPr>
        <w:b/>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389" w:rsidRDefault="000A7389" w:rsidP="005D0565">
      <w:r>
        <w:separator/>
      </w:r>
    </w:p>
  </w:footnote>
  <w:footnote w:type="continuationSeparator" w:id="1">
    <w:p w:rsidR="000A7389" w:rsidRDefault="000A7389" w:rsidP="005D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70" w:rsidRDefault="00FE0870" w:rsidP="00533E3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720"/>
      </w:pPr>
      <w:rPr>
        <w:rFonts w:ascii="Times New Roman" w:hAnsi="Times New Roman" w:cs="Times New Roman"/>
        <w:b/>
        <w:bCs/>
        <w:sz w:val="24"/>
        <w:szCs w:val="24"/>
      </w:rPr>
    </w:lvl>
    <w:lvl w:ilvl="1">
      <w:start w:val="1"/>
      <w:numFmt w:val="decimal"/>
      <w:lvlText w:val="%1.%2"/>
      <w:lvlJc w:val="left"/>
      <w:pPr>
        <w:ind w:hanging="660"/>
      </w:pPr>
      <w:rPr>
        <w:rFonts w:ascii="Times New Roman" w:hAnsi="Times New Roman" w:cs="Times New Roman"/>
        <w:b w:val="0"/>
        <w:bCs w:val="0"/>
        <w:sz w:val="24"/>
        <w:szCs w:val="24"/>
      </w:rPr>
    </w:lvl>
    <w:lvl w:ilvl="2">
      <w:start w:val="1"/>
      <w:numFmt w:val="decimal"/>
      <w:lvlText w:val="%1.%2.%3"/>
      <w:lvlJc w:val="left"/>
      <w:pPr>
        <w:ind w:hanging="801"/>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A8B25B0A"/>
    <w:lvl w:ilvl="0">
      <w:start w:val="1"/>
      <w:numFmt w:val="decimal"/>
      <w:lvlText w:val="%1."/>
      <w:lvlJc w:val="left"/>
      <w:pPr>
        <w:ind w:hanging="720"/>
      </w:pPr>
      <w:rPr>
        <w:rFonts w:ascii="Times New Roman" w:hAnsi="Times New Roman" w:cs="Times New Roman"/>
        <w:b/>
        <w:bCs/>
        <w:sz w:val="21"/>
        <w:szCs w:val="21"/>
      </w:rPr>
    </w:lvl>
    <w:lvl w:ilvl="1">
      <w:start w:val="1"/>
      <w:numFmt w:val="decimal"/>
      <w:lvlText w:val="%1.%2"/>
      <w:lvlJc w:val="left"/>
      <w:pPr>
        <w:ind w:hanging="360"/>
      </w:pPr>
      <w:rPr>
        <w:rFonts w:ascii="Times New Roman" w:hAnsi="Times New Roman" w:cs="Times New Roman"/>
        <w:b/>
        <w:bCs/>
        <w:sz w:val="21"/>
        <w:szCs w:val="21"/>
      </w:rPr>
    </w:lvl>
    <w:lvl w:ilvl="2">
      <w:numFmt w:val="bullet"/>
      <w:lvlText w:val=""/>
      <w:lvlJc w:val="left"/>
      <w:pPr>
        <w:ind w:hanging="360"/>
      </w:pPr>
      <w:rPr>
        <w:rFonts w:ascii="Wingdings" w:hAnsi="Wingdings"/>
        <w:b w:val="0"/>
        <w:w w:val="104"/>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360"/>
      </w:pPr>
      <w:rPr>
        <w:rFonts w:ascii="Wingdings" w:hAnsi="Wingdings"/>
        <w:b w:val="0"/>
        <w:w w:val="104"/>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42DE9620"/>
    <w:lvl w:ilvl="0">
      <w:start w:val="7"/>
      <w:numFmt w:val="decimal"/>
      <w:lvlText w:val="%1"/>
      <w:lvlJc w:val="left"/>
      <w:pPr>
        <w:ind w:hanging="720"/>
      </w:pPr>
      <w:rPr>
        <w:rFonts w:cs="Times New Roman"/>
      </w:rPr>
    </w:lvl>
    <w:lvl w:ilvl="1">
      <w:start w:val="2"/>
      <w:numFmt w:val="decimal"/>
      <w:lvlText w:val="%1.%2"/>
      <w:lvlJc w:val="left"/>
      <w:pPr>
        <w:ind w:hanging="720"/>
      </w:pPr>
      <w:rPr>
        <w:rFonts w:cs="Times New Roman"/>
      </w:rPr>
    </w:lvl>
    <w:lvl w:ilvl="2">
      <w:start w:val="1"/>
      <w:numFmt w:val="decimal"/>
      <w:lvlText w:val="%1.%2.%3"/>
      <w:lvlJc w:val="left"/>
      <w:pPr>
        <w:ind w:hanging="720"/>
      </w:pPr>
      <w:rPr>
        <w:rFonts w:ascii="Times New Roman" w:hAnsi="Times New Roman" w:cs="Times New Roman"/>
        <w:b/>
        <w:bCs/>
        <w:spacing w:val="-4"/>
        <w:sz w:val="21"/>
        <w:szCs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126CFCF0"/>
    <w:lvl w:ilvl="0">
      <w:start w:val="7"/>
      <w:numFmt w:val="decimal"/>
      <w:lvlText w:val="%1"/>
      <w:lvlJc w:val="left"/>
      <w:pPr>
        <w:ind w:hanging="360"/>
      </w:pPr>
      <w:rPr>
        <w:rFonts w:cs="Times New Roman"/>
      </w:rPr>
    </w:lvl>
    <w:lvl w:ilvl="1">
      <w:start w:val="3"/>
      <w:numFmt w:val="decimal"/>
      <w:lvlText w:val="%1.%2"/>
      <w:lvlJc w:val="left"/>
      <w:pPr>
        <w:ind w:hanging="360"/>
      </w:pPr>
      <w:rPr>
        <w:rFonts w:ascii="Times New Roman" w:hAnsi="Times New Roman" w:cs="Times New Roman"/>
        <w:b/>
        <w:bCs/>
        <w:sz w:val="21"/>
        <w:szCs w:val="21"/>
      </w:rPr>
    </w:lvl>
    <w:lvl w:ilvl="2">
      <w:start w:val="1"/>
      <w:numFmt w:val="decimal"/>
      <w:lvlText w:val="%1.%2.%3"/>
      <w:lvlJc w:val="left"/>
      <w:pPr>
        <w:ind w:hanging="720"/>
      </w:pPr>
      <w:rPr>
        <w:rFonts w:ascii="Times New Roman" w:hAnsi="Times New Roman" w:cs="Times New Roman"/>
        <w:b/>
        <w:bCs/>
        <w:spacing w:val="-4"/>
        <w:sz w:val="21"/>
        <w:szCs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
      <w:lvlJc w:val="left"/>
      <w:pPr>
        <w:ind w:hanging="360"/>
      </w:pPr>
      <w:rPr>
        <w:rFonts w:ascii="Wingdings" w:hAnsi="Wingdings"/>
        <w:b w:val="0"/>
        <w:sz w:val="24"/>
      </w:rPr>
    </w:lvl>
    <w:lvl w:ilvl="1">
      <w:numFmt w:val="bullet"/>
      <w:lvlText w:val="•"/>
      <w:lvlJc w:val="left"/>
      <w:pPr>
        <w:ind w:hanging="360"/>
      </w:pPr>
      <w:rPr>
        <w:rFonts w:ascii="Arial" w:hAnsi="Arial"/>
        <w:b w:val="0"/>
        <w:w w:val="131"/>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B8BEF34A"/>
    <w:lvl w:ilvl="0">
      <w:start w:val="1"/>
      <w:numFmt w:val="decimal"/>
      <w:lvlText w:val="%1."/>
      <w:lvlJc w:val="left"/>
      <w:pPr>
        <w:ind w:hanging="360"/>
      </w:pPr>
      <w:rPr>
        <w:rFonts w:ascii="Times New Roman" w:hAnsi="Times New Roman" w:cs="Times New Roman"/>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E8F6BA80"/>
    <w:lvl w:ilvl="0">
      <w:start w:val="1"/>
      <w:numFmt w:val="lowerLetter"/>
      <w:lvlText w:val="（%1）"/>
      <w:lvlJc w:val="left"/>
      <w:pPr>
        <w:ind w:hanging="388"/>
      </w:pPr>
      <w:rPr>
        <w:rFonts w:cs="Times New Roman" w:hint="eastAsia"/>
        <w:b w:val="0"/>
        <w:bCs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2214B72C"/>
    <w:lvl w:ilvl="0">
      <w:start w:val="1"/>
      <w:numFmt w:val="decimal"/>
      <w:lvlText w:val="（%1）"/>
      <w:lvlJc w:val="left"/>
      <w:pPr>
        <w:ind w:hanging="360"/>
      </w:pPr>
      <w:rPr>
        <w:rFonts w:cs="Times New Roman" w:hint="eastAsia"/>
        <w:b w:val="0"/>
        <w:bCs w:val="0"/>
        <w:w w:val="105"/>
        <w:sz w:val="21"/>
        <w:szCs w:val="21"/>
      </w:rPr>
    </w:lvl>
    <w:lvl w:ilvl="1">
      <w:numFmt w:val="bullet"/>
      <w:lvlText w:val="o"/>
      <w:lvlJc w:val="left"/>
      <w:pPr>
        <w:ind w:hanging="361"/>
      </w:pPr>
      <w:rPr>
        <w:rFonts w:ascii="Courier New" w:hAnsi="Courier New"/>
        <w:b w:val="0"/>
        <w:w w:val="10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doNotCompress"/>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doNotLeaveBackslashAlone/>
    <w:ulTrailSpace/>
    <w:doNotExpandShiftReturn/>
    <w:adjustLineHeightInTable/>
    <w:useFELayout/>
  </w:compat>
  <w:rsids>
    <w:rsidRoot w:val="001846E0"/>
    <w:rsid w:val="00000BFD"/>
    <w:rsid w:val="00003E76"/>
    <w:rsid w:val="00012AF5"/>
    <w:rsid w:val="000254A1"/>
    <w:rsid w:val="00030651"/>
    <w:rsid w:val="00030C5A"/>
    <w:rsid w:val="00043E17"/>
    <w:rsid w:val="00066374"/>
    <w:rsid w:val="00067DBD"/>
    <w:rsid w:val="00070510"/>
    <w:rsid w:val="00085AD7"/>
    <w:rsid w:val="000948E5"/>
    <w:rsid w:val="00097D24"/>
    <w:rsid w:val="000A10E4"/>
    <w:rsid w:val="000A7389"/>
    <w:rsid w:val="000B0718"/>
    <w:rsid w:val="000D21ED"/>
    <w:rsid w:val="000D2D4D"/>
    <w:rsid w:val="00103556"/>
    <w:rsid w:val="001547CF"/>
    <w:rsid w:val="001658F2"/>
    <w:rsid w:val="00177DF8"/>
    <w:rsid w:val="00183D16"/>
    <w:rsid w:val="001846E0"/>
    <w:rsid w:val="001C7677"/>
    <w:rsid w:val="001D5695"/>
    <w:rsid w:val="001D59F4"/>
    <w:rsid w:val="002058DC"/>
    <w:rsid w:val="00215C4E"/>
    <w:rsid w:val="00216DA8"/>
    <w:rsid w:val="0022028F"/>
    <w:rsid w:val="00242B04"/>
    <w:rsid w:val="002460C4"/>
    <w:rsid w:val="00252F6D"/>
    <w:rsid w:val="0025418D"/>
    <w:rsid w:val="00254EC3"/>
    <w:rsid w:val="002630B0"/>
    <w:rsid w:val="002935BA"/>
    <w:rsid w:val="0029604C"/>
    <w:rsid w:val="002B7F79"/>
    <w:rsid w:val="002E5189"/>
    <w:rsid w:val="002E5490"/>
    <w:rsid w:val="002E7485"/>
    <w:rsid w:val="002E7C8D"/>
    <w:rsid w:val="002F69AA"/>
    <w:rsid w:val="0030538F"/>
    <w:rsid w:val="003255A6"/>
    <w:rsid w:val="00325F12"/>
    <w:rsid w:val="00326ACA"/>
    <w:rsid w:val="00331F00"/>
    <w:rsid w:val="0036199B"/>
    <w:rsid w:val="00372499"/>
    <w:rsid w:val="003748D3"/>
    <w:rsid w:val="0038146D"/>
    <w:rsid w:val="00382FF3"/>
    <w:rsid w:val="003867B6"/>
    <w:rsid w:val="003918FD"/>
    <w:rsid w:val="003A6516"/>
    <w:rsid w:val="003B68B4"/>
    <w:rsid w:val="003B69CA"/>
    <w:rsid w:val="003C7C55"/>
    <w:rsid w:val="003D431D"/>
    <w:rsid w:val="003D7F48"/>
    <w:rsid w:val="003F0054"/>
    <w:rsid w:val="00404F83"/>
    <w:rsid w:val="00430131"/>
    <w:rsid w:val="00431FB6"/>
    <w:rsid w:val="00435767"/>
    <w:rsid w:val="00471AB3"/>
    <w:rsid w:val="00472C85"/>
    <w:rsid w:val="004B4CB4"/>
    <w:rsid w:val="004C5633"/>
    <w:rsid w:val="004D0A47"/>
    <w:rsid w:val="0050360A"/>
    <w:rsid w:val="00506828"/>
    <w:rsid w:val="005072DF"/>
    <w:rsid w:val="005105EE"/>
    <w:rsid w:val="0052232D"/>
    <w:rsid w:val="00533E3F"/>
    <w:rsid w:val="00540F6F"/>
    <w:rsid w:val="00545977"/>
    <w:rsid w:val="00550A90"/>
    <w:rsid w:val="00553BE2"/>
    <w:rsid w:val="00556D5F"/>
    <w:rsid w:val="005613F1"/>
    <w:rsid w:val="00562389"/>
    <w:rsid w:val="00572134"/>
    <w:rsid w:val="00574F8A"/>
    <w:rsid w:val="005761F2"/>
    <w:rsid w:val="005B1466"/>
    <w:rsid w:val="005B30BF"/>
    <w:rsid w:val="005B48C2"/>
    <w:rsid w:val="005C0B71"/>
    <w:rsid w:val="005C5396"/>
    <w:rsid w:val="005C680D"/>
    <w:rsid w:val="005D0565"/>
    <w:rsid w:val="005D7A8B"/>
    <w:rsid w:val="005F2B08"/>
    <w:rsid w:val="005F5556"/>
    <w:rsid w:val="006402DD"/>
    <w:rsid w:val="0068061B"/>
    <w:rsid w:val="006C2304"/>
    <w:rsid w:val="006C48D7"/>
    <w:rsid w:val="006C5C00"/>
    <w:rsid w:val="006D236E"/>
    <w:rsid w:val="006E5C43"/>
    <w:rsid w:val="00707827"/>
    <w:rsid w:val="007512AD"/>
    <w:rsid w:val="00755619"/>
    <w:rsid w:val="00773BB1"/>
    <w:rsid w:val="00777626"/>
    <w:rsid w:val="00782CDB"/>
    <w:rsid w:val="00784B9A"/>
    <w:rsid w:val="00795604"/>
    <w:rsid w:val="007A0022"/>
    <w:rsid w:val="007A7594"/>
    <w:rsid w:val="007B4117"/>
    <w:rsid w:val="007C18E8"/>
    <w:rsid w:val="007C26D9"/>
    <w:rsid w:val="007E5102"/>
    <w:rsid w:val="007F3D1B"/>
    <w:rsid w:val="007F51A3"/>
    <w:rsid w:val="007F5A4C"/>
    <w:rsid w:val="00805579"/>
    <w:rsid w:val="008144E7"/>
    <w:rsid w:val="0081795F"/>
    <w:rsid w:val="00842945"/>
    <w:rsid w:val="008444CA"/>
    <w:rsid w:val="00852507"/>
    <w:rsid w:val="0086070F"/>
    <w:rsid w:val="0086639C"/>
    <w:rsid w:val="00872A93"/>
    <w:rsid w:val="0087424C"/>
    <w:rsid w:val="00883909"/>
    <w:rsid w:val="008978FC"/>
    <w:rsid w:val="008A0DDF"/>
    <w:rsid w:val="008A4049"/>
    <w:rsid w:val="008A5BB5"/>
    <w:rsid w:val="008A67A4"/>
    <w:rsid w:val="008B1E41"/>
    <w:rsid w:val="008B69D4"/>
    <w:rsid w:val="008C4880"/>
    <w:rsid w:val="008D10D6"/>
    <w:rsid w:val="008D3F14"/>
    <w:rsid w:val="008E1C08"/>
    <w:rsid w:val="0090612D"/>
    <w:rsid w:val="00906DA1"/>
    <w:rsid w:val="00912CB9"/>
    <w:rsid w:val="00931062"/>
    <w:rsid w:val="00937C8F"/>
    <w:rsid w:val="009456A0"/>
    <w:rsid w:val="009557B1"/>
    <w:rsid w:val="009664E4"/>
    <w:rsid w:val="00966D04"/>
    <w:rsid w:val="00970C66"/>
    <w:rsid w:val="009733E3"/>
    <w:rsid w:val="00987B66"/>
    <w:rsid w:val="009902FD"/>
    <w:rsid w:val="00996452"/>
    <w:rsid w:val="009D7CE6"/>
    <w:rsid w:val="009E09E7"/>
    <w:rsid w:val="009F25E9"/>
    <w:rsid w:val="00A0195D"/>
    <w:rsid w:val="00A042AF"/>
    <w:rsid w:val="00A15745"/>
    <w:rsid w:val="00A311A4"/>
    <w:rsid w:val="00A41573"/>
    <w:rsid w:val="00A42363"/>
    <w:rsid w:val="00A746A3"/>
    <w:rsid w:val="00A86F70"/>
    <w:rsid w:val="00A907F3"/>
    <w:rsid w:val="00AA09DB"/>
    <w:rsid w:val="00AB200A"/>
    <w:rsid w:val="00AB5FC8"/>
    <w:rsid w:val="00AD0C2F"/>
    <w:rsid w:val="00B03941"/>
    <w:rsid w:val="00B06234"/>
    <w:rsid w:val="00B14937"/>
    <w:rsid w:val="00B22F34"/>
    <w:rsid w:val="00B33147"/>
    <w:rsid w:val="00B35F97"/>
    <w:rsid w:val="00B37B2A"/>
    <w:rsid w:val="00B40914"/>
    <w:rsid w:val="00BB0D82"/>
    <w:rsid w:val="00BB7762"/>
    <w:rsid w:val="00BD2D9F"/>
    <w:rsid w:val="00BE0CA1"/>
    <w:rsid w:val="00BE5463"/>
    <w:rsid w:val="00BE61B4"/>
    <w:rsid w:val="00BF399F"/>
    <w:rsid w:val="00C159E4"/>
    <w:rsid w:val="00C2431C"/>
    <w:rsid w:val="00C244BB"/>
    <w:rsid w:val="00C30A3B"/>
    <w:rsid w:val="00C5050E"/>
    <w:rsid w:val="00C62335"/>
    <w:rsid w:val="00C652A9"/>
    <w:rsid w:val="00C74C03"/>
    <w:rsid w:val="00C75E0C"/>
    <w:rsid w:val="00C77B1F"/>
    <w:rsid w:val="00C96341"/>
    <w:rsid w:val="00CA366B"/>
    <w:rsid w:val="00CA4A24"/>
    <w:rsid w:val="00CA7945"/>
    <w:rsid w:val="00CC3F51"/>
    <w:rsid w:val="00CD0FB7"/>
    <w:rsid w:val="00CE3D5F"/>
    <w:rsid w:val="00CE63C7"/>
    <w:rsid w:val="00CF68B5"/>
    <w:rsid w:val="00D116CB"/>
    <w:rsid w:val="00D17064"/>
    <w:rsid w:val="00D20CDC"/>
    <w:rsid w:val="00D2766A"/>
    <w:rsid w:val="00D30B22"/>
    <w:rsid w:val="00D32354"/>
    <w:rsid w:val="00D337A1"/>
    <w:rsid w:val="00D37E8D"/>
    <w:rsid w:val="00D54BD1"/>
    <w:rsid w:val="00D60C0A"/>
    <w:rsid w:val="00D65D90"/>
    <w:rsid w:val="00D661E1"/>
    <w:rsid w:val="00D74581"/>
    <w:rsid w:val="00D9029A"/>
    <w:rsid w:val="00DC7312"/>
    <w:rsid w:val="00DD4EA3"/>
    <w:rsid w:val="00DE706B"/>
    <w:rsid w:val="00DF0D3A"/>
    <w:rsid w:val="00E0150F"/>
    <w:rsid w:val="00E06790"/>
    <w:rsid w:val="00E12767"/>
    <w:rsid w:val="00E572FD"/>
    <w:rsid w:val="00E626CC"/>
    <w:rsid w:val="00E650D7"/>
    <w:rsid w:val="00E73CFD"/>
    <w:rsid w:val="00E92D05"/>
    <w:rsid w:val="00EC3DB5"/>
    <w:rsid w:val="00ED4ED1"/>
    <w:rsid w:val="00ED6B3E"/>
    <w:rsid w:val="00EE2071"/>
    <w:rsid w:val="00F1514A"/>
    <w:rsid w:val="00F15594"/>
    <w:rsid w:val="00F16BBA"/>
    <w:rsid w:val="00F2782B"/>
    <w:rsid w:val="00F335EB"/>
    <w:rsid w:val="00F34777"/>
    <w:rsid w:val="00F52F33"/>
    <w:rsid w:val="00F536D1"/>
    <w:rsid w:val="00F64AD1"/>
    <w:rsid w:val="00F65B99"/>
    <w:rsid w:val="00F65DF1"/>
    <w:rsid w:val="00F67D02"/>
    <w:rsid w:val="00F71A6B"/>
    <w:rsid w:val="00F75FA5"/>
    <w:rsid w:val="00F83A2C"/>
    <w:rsid w:val="00F8682B"/>
    <w:rsid w:val="00F97D7F"/>
    <w:rsid w:val="00FB227A"/>
    <w:rsid w:val="00FB3714"/>
    <w:rsid w:val="00FC3D1B"/>
    <w:rsid w:val="00FC44E9"/>
    <w:rsid w:val="00FE0870"/>
    <w:rsid w:val="00FE0C86"/>
    <w:rsid w:val="00FE6F66"/>
    <w:rsid w:val="00FF4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24C"/>
    <w:pPr>
      <w:widowControl w:val="0"/>
      <w:autoSpaceDE w:val="0"/>
      <w:autoSpaceDN w:val="0"/>
      <w:adjustRightInd w:val="0"/>
    </w:pPr>
    <w:rPr>
      <w:rFonts w:ascii="Times New Roman" w:hAnsi="Times New Roman"/>
      <w:sz w:val="24"/>
      <w:szCs w:val="24"/>
    </w:rPr>
  </w:style>
  <w:style w:type="paragraph" w:styleId="1">
    <w:name w:val="heading 1"/>
    <w:basedOn w:val="a"/>
    <w:link w:val="1Char"/>
    <w:uiPriority w:val="99"/>
    <w:qFormat/>
    <w:rsid w:val="0087424C"/>
    <w:pPr>
      <w:spacing w:before="38"/>
      <w:ind w:left="100" w:hanging="80"/>
      <w:outlineLvl w:val="0"/>
    </w:pPr>
    <w:rPr>
      <w:b/>
      <w:bCs/>
      <w:sz w:val="48"/>
      <w:szCs w:val="48"/>
    </w:rPr>
  </w:style>
  <w:style w:type="paragraph" w:styleId="2">
    <w:name w:val="heading 2"/>
    <w:basedOn w:val="a"/>
    <w:link w:val="2Char"/>
    <w:uiPriority w:val="99"/>
    <w:qFormat/>
    <w:rsid w:val="0087424C"/>
    <w:pPr>
      <w:ind w:left="840" w:hanging="720"/>
      <w:outlineLvl w:val="1"/>
    </w:pPr>
    <w:rPr>
      <w:b/>
      <w:bCs/>
      <w:sz w:val="36"/>
      <w:szCs w:val="36"/>
    </w:rPr>
  </w:style>
  <w:style w:type="paragraph" w:styleId="3">
    <w:name w:val="heading 3"/>
    <w:basedOn w:val="a"/>
    <w:link w:val="3Char"/>
    <w:uiPriority w:val="99"/>
    <w:qFormat/>
    <w:rsid w:val="0087424C"/>
    <w:pPr>
      <w:ind w:left="820" w:hanging="72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87424C"/>
    <w:rPr>
      <w:rFonts w:ascii="Times New Roman" w:hAnsi="Times New Roman" w:cs="Times New Roman"/>
      <w:b/>
      <w:bCs/>
      <w:kern w:val="44"/>
      <w:sz w:val="44"/>
      <w:szCs w:val="44"/>
    </w:rPr>
  </w:style>
  <w:style w:type="character" w:customStyle="1" w:styleId="2Char">
    <w:name w:val="标题 2 Char"/>
    <w:link w:val="2"/>
    <w:uiPriority w:val="99"/>
    <w:semiHidden/>
    <w:locked/>
    <w:rsid w:val="0087424C"/>
    <w:rPr>
      <w:rFonts w:ascii="Cambria" w:eastAsia="宋体" w:hAnsi="Cambria" w:cs="Times New Roman"/>
      <w:b/>
      <w:bCs/>
      <w:kern w:val="0"/>
      <w:sz w:val="32"/>
      <w:szCs w:val="32"/>
    </w:rPr>
  </w:style>
  <w:style w:type="character" w:customStyle="1" w:styleId="3Char">
    <w:name w:val="标题 3 Char"/>
    <w:link w:val="3"/>
    <w:uiPriority w:val="99"/>
    <w:semiHidden/>
    <w:locked/>
    <w:rsid w:val="0087424C"/>
    <w:rPr>
      <w:rFonts w:ascii="Times New Roman" w:hAnsi="Times New Roman" w:cs="Times New Roman"/>
      <w:b/>
      <w:bCs/>
      <w:kern w:val="0"/>
      <w:sz w:val="32"/>
      <w:szCs w:val="32"/>
    </w:rPr>
  </w:style>
  <w:style w:type="paragraph" w:styleId="a3">
    <w:name w:val="Body Text"/>
    <w:basedOn w:val="a"/>
    <w:link w:val="Char"/>
    <w:uiPriority w:val="99"/>
    <w:rsid w:val="0087424C"/>
    <w:pPr>
      <w:ind w:left="840"/>
    </w:pPr>
  </w:style>
  <w:style w:type="character" w:customStyle="1" w:styleId="Char">
    <w:name w:val="正文文本 Char"/>
    <w:link w:val="a3"/>
    <w:uiPriority w:val="99"/>
    <w:semiHidden/>
    <w:locked/>
    <w:rsid w:val="0087424C"/>
    <w:rPr>
      <w:rFonts w:ascii="Times New Roman" w:hAnsi="Times New Roman" w:cs="Times New Roman"/>
      <w:kern w:val="0"/>
      <w:sz w:val="24"/>
      <w:szCs w:val="24"/>
    </w:rPr>
  </w:style>
  <w:style w:type="paragraph" w:styleId="a4">
    <w:name w:val="List Paragraph"/>
    <w:basedOn w:val="a"/>
    <w:uiPriority w:val="99"/>
    <w:qFormat/>
    <w:rsid w:val="0087424C"/>
  </w:style>
  <w:style w:type="paragraph" w:customStyle="1" w:styleId="TableParagraph">
    <w:name w:val="Table Paragraph"/>
    <w:basedOn w:val="a"/>
    <w:uiPriority w:val="99"/>
    <w:rsid w:val="0087424C"/>
  </w:style>
  <w:style w:type="paragraph" w:styleId="a5">
    <w:name w:val="header"/>
    <w:basedOn w:val="a"/>
    <w:link w:val="Char0"/>
    <w:uiPriority w:val="99"/>
    <w:rsid w:val="00DE706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DE706B"/>
    <w:rPr>
      <w:rFonts w:ascii="Times New Roman" w:hAnsi="Times New Roman" w:cs="Times New Roman"/>
      <w:kern w:val="0"/>
      <w:sz w:val="18"/>
      <w:szCs w:val="18"/>
    </w:rPr>
  </w:style>
  <w:style w:type="paragraph" w:styleId="a6">
    <w:name w:val="footer"/>
    <w:basedOn w:val="a"/>
    <w:link w:val="Char1"/>
    <w:uiPriority w:val="99"/>
    <w:rsid w:val="00DE706B"/>
    <w:pPr>
      <w:tabs>
        <w:tab w:val="center" w:pos="4153"/>
        <w:tab w:val="right" w:pos="8306"/>
      </w:tabs>
      <w:snapToGrid w:val="0"/>
    </w:pPr>
    <w:rPr>
      <w:sz w:val="18"/>
      <w:szCs w:val="18"/>
    </w:rPr>
  </w:style>
  <w:style w:type="character" w:customStyle="1" w:styleId="Char1">
    <w:name w:val="页脚 Char"/>
    <w:link w:val="a6"/>
    <w:uiPriority w:val="99"/>
    <w:locked/>
    <w:rsid w:val="00DE706B"/>
    <w:rPr>
      <w:rFonts w:ascii="Times New Roman" w:hAnsi="Times New Roman" w:cs="Times New Roman"/>
      <w:kern w:val="0"/>
      <w:sz w:val="18"/>
      <w:szCs w:val="18"/>
    </w:rPr>
  </w:style>
  <w:style w:type="table" w:styleId="a7">
    <w:name w:val="Table Grid"/>
    <w:basedOn w:val="a1"/>
    <w:uiPriority w:val="99"/>
    <w:rsid w:val="00990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rsid w:val="005C5396"/>
    <w:rPr>
      <w:rFonts w:cs="Times New Roman"/>
      <w:sz w:val="21"/>
      <w:szCs w:val="21"/>
    </w:rPr>
  </w:style>
  <w:style w:type="paragraph" w:styleId="a9">
    <w:name w:val="annotation text"/>
    <w:basedOn w:val="a"/>
    <w:link w:val="Char2"/>
    <w:uiPriority w:val="99"/>
    <w:rsid w:val="005C5396"/>
  </w:style>
  <w:style w:type="character" w:customStyle="1" w:styleId="Char2">
    <w:name w:val="批注文字 Char"/>
    <w:link w:val="a9"/>
    <w:uiPriority w:val="99"/>
    <w:locked/>
    <w:rsid w:val="005C5396"/>
    <w:rPr>
      <w:rFonts w:ascii="Times New Roman" w:hAnsi="Times New Roman" w:cs="Times New Roman"/>
      <w:kern w:val="0"/>
      <w:sz w:val="24"/>
      <w:szCs w:val="24"/>
    </w:rPr>
  </w:style>
  <w:style w:type="paragraph" w:styleId="aa">
    <w:name w:val="annotation subject"/>
    <w:basedOn w:val="a9"/>
    <w:next w:val="a9"/>
    <w:link w:val="Char3"/>
    <w:uiPriority w:val="99"/>
    <w:rsid w:val="005C5396"/>
    <w:rPr>
      <w:b/>
      <w:bCs/>
    </w:rPr>
  </w:style>
  <w:style w:type="character" w:customStyle="1" w:styleId="Char3">
    <w:name w:val="批注主题 Char"/>
    <w:link w:val="aa"/>
    <w:uiPriority w:val="99"/>
    <w:locked/>
    <w:rsid w:val="005C5396"/>
    <w:rPr>
      <w:rFonts w:ascii="Times New Roman" w:hAnsi="Times New Roman" w:cs="Times New Roman"/>
      <w:b/>
      <w:bCs/>
      <w:kern w:val="0"/>
      <w:sz w:val="24"/>
      <w:szCs w:val="24"/>
    </w:rPr>
  </w:style>
  <w:style w:type="paragraph" w:styleId="ab">
    <w:name w:val="Balloon Text"/>
    <w:basedOn w:val="a"/>
    <w:link w:val="Char4"/>
    <w:uiPriority w:val="99"/>
    <w:semiHidden/>
    <w:rsid w:val="005C5396"/>
    <w:rPr>
      <w:sz w:val="18"/>
      <w:szCs w:val="18"/>
    </w:rPr>
  </w:style>
  <w:style w:type="character" w:customStyle="1" w:styleId="Char4">
    <w:name w:val="批注框文本 Char"/>
    <w:link w:val="ab"/>
    <w:uiPriority w:val="99"/>
    <w:semiHidden/>
    <w:locked/>
    <w:rsid w:val="005C5396"/>
    <w:rPr>
      <w:rFonts w:ascii="Times New Roman" w:hAnsi="Times New Roman" w:cs="Times New Roman"/>
      <w:kern w:val="0"/>
      <w:sz w:val="18"/>
      <w:szCs w:val="18"/>
    </w:rPr>
  </w:style>
  <w:style w:type="character" w:styleId="ac">
    <w:name w:val="Hyperlink"/>
    <w:uiPriority w:val="99"/>
    <w:rsid w:val="003A6516"/>
    <w:rPr>
      <w:rFonts w:cs="Times New Roman"/>
      <w:color w:val="0000FF"/>
      <w:u w:val="single"/>
    </w:rPr>
  </w:style>
  <w:style w:type="paragraph" w:customStyle="1" w:styleId="CM23">
    <w:name w:val="CM23"/>
    <w:basedOn w:val="a"/>
    <w:next w:val="a"/>
    <w:uiPriority w:val="99"/>
    <w:rsid w:val="00CC3F51"/>
    <w:pPr>
      <w:spacing w:after="420"/>
    </w:pPr>
  </w:style>
  <w:style w:type="paragraph" w:styleId="20">
    <w:name w:val="toc 2"/>
    <w:basedOn w:val="a"/>
    <w:next w:val="a"/>
    <w:autoRedefine/>
    <w:uiPriority w:val="99"/>
    <w:semiHidden/>
    <w:locked/>
    <w:rsid w:val="001658F2"/>
    <w:pPr>
      <w:ind w:leftChars="200" w:left="420"/>
    </w:pPr>
  </w:style>
  <w:style w:type="paragraph" w:styleId="30">
    <w:name w:val="toc 3"/>
    <w:basedOn w:val="a"/>
    <w:next w:val="a"/>
    <w:autoRedefine/>
    <w:uiPriority w:val="99"/>
    <w:semiHidden/>
    <w:locked/>
    <w:rsid w:val="001658F2"/>
    <w:pPr>
      <w:ind w:leftChars="400" w:left="840"/>
    </w:pPr>
  </w:style>
  <w:style w:type="paragraph" w:styleId="10">
    <w:name w:val="toc 1"/>
    <w:basedOn w:val="a"/>
    <w:next w:val="a"/>
    <w:autoRedefine/>
    <w:uiPriority w:val="99"/>
    <w:semiHidden/>
    <w:locked/>
    <w:rsid w:val="001658F2"/>
  </w:style>
</w:styles>
</file>

<file path=word/webSettings.xml><?xml version="1.0" encoding="utf-8"?>
<w:webSettings xmlns:r="http://schemas.openxmlformats.org/officeDocument/2006/relationships" xmlns:w="http://schemas.openxmlformats.org/wordprocessingml/2006/main">
  <w:divs>
    <w:div w:id="724182200">
      <w:marLeft w:val="0"/>
      <w:marRight w:val="0"/>
      <w:marTop w:val="0"/>
      <w:marBottom w:val="0"/>
      <w:divBdr>
        <w:top w:val="none" w:sz="0" w:space="0" w:color="auto"/>
        <w:left w:val="none" w:sz="0" w:space="0" w:color="auto"/>
        <w:bottom w:val="none" w:sz="0" w:space="0" w:color="auto"/>
        <w:right w:val="none" w:sz="0" w:space="0" w:color="auto"/>
      </w:divBdr>
    </w:div>
    <w:div w:id="724182201">
      <w:marLeft w:val="0"/>
      <w:marRight w:val="0"/>
      <w:marTop w:val="0"/>
      <w:marBottom w:val="0"/>
      <w:divBdr>
        <w:top w:val="none" w:sz="0" w:space="0" w:color="auto"/>
        <w:left w:val="none" w:sz="0" w:space="0" w:color="auto"/>
        <w:bottom w:val="none" w:sz="0" w:space="0" w:color="auto"/>
        <w:right w:val="none" w:sz="0" w:space="0" w:color="auto"/>
      </w:divBdr>
      <w:divsChild>
        <w:div w:id="724182205">
          <w:marLeft w:val="0"/>
          <w:marRight w:val="0"/>
          <w:marTop w:val="0"/>
          <w:marBottom w:val="0"/>
          <w:divBdr>
            <w:top w:val="none" w:sz="0" w:space="0" w:color="auto"/>
            <w:left w:val="none" w:sz="0" w:space="0" w:color="auto"/>
            <w:bottom w:val="none" w:sz="0" w:space="0" w:color="auto"/>
            <w:right w:val="none" w:sz="0" w:space="0" w:color="auto"/>
          </w:divBdr>
          <w:divsChild>
            <w:div w:id="724182203">
              <w:marLeft w:val="0"/>
              <w:marRight w:val="0"/>
              <w:marTop w:val="0"/>
              <w:marBottom w:val="0"/>
              <w:divBdr>
                <w:top w:val="none" w:sz="0" w:space="0" w:color="auto"/>
                <w:left w:val="none" w:sz="0" w:space="0" w:color="auto"/>
                <w:bottom w:val="none" w:sz="0" w:space="0" w:color="auto"/>
                <w:right w:val="none" w:sz="0" w:space="0" w:color="auto"/>
              </w:divBdr>
              <w:divsChild>
                <w:div w:id="724182206">
                  <w:marLeft w:val="0"/>
                  <w:marRight w:val="0"/>
                  <w:marTop w:val="0"/>
                  <w:marBottom w:val="10"/>
                  <w:divBdr>
                    <w:top w:val="none" w:sz="0" w:space="0" w:color="auto"/>
                    <w:left w:val="none" w:sz="0" w:space="0" w:color="auto"/>
                    <w:bottom w:val="none" w:sz="0" w:space="0" w:color="auto"/>
                    <w:right w:val="none" w:sz="0" w:space="0" w:color="auto"/>
                  </w:divBdr>
                  <w:divsChild>
                    <w:div w:id="724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82204">
      <w:marLeft w:val="0"/>
      <w:marRight w:val="0"/>
      <w:marTop w:val="0"/>
      <w:marBottom w:val="0"/>
      <w:divBdr>
        <w:top w:val="none" w:sz="0" w:space="0" w:color="auto"/>
        <w:left w:val="none" w:sz="0" w:space="0" w:color="auto"/>
        <w:bottom w:val="none" w:sz="0" w:space="0" w:color="auto"/>
        <w:right w:val="none" w:sz="0" w:space="0" w:color="auto"/>
      </w:divBdr>
    </w:div>
    <w:div w:id="724182208">
      <w:marLeft w:val="0"/>
      <w:marRight w:val="0"/>
      <w:marTop w:val="0"/>
      <w:marBottom w:val="0"/>
      <w:divBdr>
        <w:top w:val="none" w:sz="0" w:space="0" w:color="auto"/>
        <w:left w:val="none" w:sz="0" w:space="0" w:color="auto"/>
        <w:bottom w:val="none" w:sz="0" w:space="0" w:color="auto"/>
        <w:right w:val="none" w:sz="0" w:space="0" w:color="auto"/>
      </w:divBdr>
      <w:divsChild>
        <w:div w:id="724182207">
          <w:marLeft w:val="0"/>
          <w:marRight w:val="0"/>
          <w:marTop w:val="0"/>
          <w:marBottom w:val="0"/>
          <w:divBdr>
            <w:top w:val="none" w:sz="0" w:space="0" w:color="auto"/>
            <w:left w:val="none" w:sz="0" w:space="0" w:color="auto"/>
            <w:bottom w:val="none" w:sz="0" w:space="0" w:color="auto"/>
            <w:right w:val="none" w:sz="0" w:space="0" w:color="auto"/>
          </w:divBdr>
          <w:divsChild>
            <w:div w:id="724182211">
              <w:marLeft w:val="0"/>
              <w:marRight w:val="0"/>
              <w:marTop w:val="0"/>
              <w:marBottom w:val="0"/>
              <w:divBdr>
                <w:top w:val="none" w:sz="0" w:space="0" w:color="auto"/>
                <w:left w:val="none" w:sz="0" w:space="0" w:color="auto"/>
                <w:bottom w:val="none" w:sz="0" w:space="0" w:color="auto"/>
                <w:right w:val="none" w:sz="0" w:space="0" w:color="auto"/>
              </w:divBdr>
              <w:divsChild>
                <w:div w:id="724182210">
                  <w:marLeft w:val="0"/>
                  <w:marRight w:val="0"/>
                  <w:marTop w:val="0"/>
                  <w:marBottom w:val="9"/>
                  <w:divBdr>
                    <w:top w:val="none" w:sz="0" w:space="0" w:color="auto"/>
                    <w:left w:val="none" w:sz="0" w:space="0" w:color="auto"/>
                    <w:bottom w:val="none" w:sz="0" w:space="0" w:color="auto"/>
                    <w:right w:val="none" w:sz="0" w:space="0" w:color="auto"/>
                  </w:divBdr>
                  <w:divsChild>
                    <w:div w:id="724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na.Kondratovich@fda.hh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23</Pages>
  <Words>2909</Words>
  <Characters>16582</Characters>
  <Application>Microsoft Office Word</Application>
  <DocSecurity>0</DocSecurity>
  <Lines>138</Lines>
  <Paragraphs>38</Paragraphs>
  <ScaleCrop>false</ScaleCrop>
  <Company>xlmedtrans</Company>
  <LinksUpToDate>false</LinksUpToDate>
  <CharactersWithSpaces>19453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Industry and FDA Staff - Class II Special Controls Guidance Document:  In Vitro diagnostic devices for JCV antibody detection</dc:title>
  <dc:subject/>
  <dc:creator>xlmedtrans</dc:creator>
  <cp:keywords/>
  <dc:description/>
  <cp:lastModifiedBy>杏林A</cp:lastModifiedBy>
  <cp:revision>16</cp:revision>
  <dcterms:created xsi:type="dcterms:W3CDTF">2017-10-28T08:01:00Z</dcterms:created>
  <dcterms:modified xsi:type="dcterms:W3CDTF">2017-11-28T07:42:00Z</dcterms:modified>
</cp:coreProperties>
</file>