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3D" w:rsidRDefault="004E17E8" w:rsidP="0017428A">
      <w:pPr>
        <w:overflowPunct w:val="0"/>
        <w:snapToGrid w:val="0"/>
        <w:spacing w:beforeLines="600" w:before="1440" w:afterLines="50" w:after="120" w:line="300" w:lineRule="auto"/>
        <w:jc w:val="both"/>
        <w:rPr>
          <w:rFonts w:ascii="Arial" w:eastAsia="宋体" w:hAnsi="Arial" w:cs="Arial"/>
          <w:sz w:val="64"/>
          <w:szCs w:val="64"/>
        </w:rPr>
      </w:pPr>
      <w:r>
        <w:rPr>
          <w:rFonts w:ascii="Arial" w:eastAsia="宋体" w:hint="eastAsia"/>
          <w:b/>
          <w:sz w:val="64"/>
        </w:rPr>
        <w:t>CPG</w:t>
      </w:r>
      <w:r>
        <w:rPr>
          <w:rFonts w:ascii="Arial" w:eastAsia="宋体" w:hint="eastAsia"/>
          <w:b/>
          <w:sz w:val="64"/>
        </w:rPr>
        <w:t>章节</w:t>
      </w:r>
      <w:r>
        <w:rPr>
          <w:rFonts w:ascii="Arial" w:eastAsia="宋体" w:hint="eastAsia"/>
          <w:b/>
          <w:sz w:val="64"/>
        </w:rPr>
        <w:t>398.350</w:t>
      </w:r>
      <w:r>
        <w:rPr>
          <w:rFonts w:ascii="Arial" w:eastAsia="宋体" w:hint="eastAsia"/>
          <w:b/>
          <w:sz w:val="64"/>
        </w:rPr>
        <w:t>针对未能提交装配报告的</w:t>
      </w:r>
      <w:r>
        <w:rPr>
          <w:rFonts w:ascii="Arial" w:eastAsia="宋体" w:hint="eastAsia"/>
          <w:b/>
          <w:sz w:val="64"/>
        </w:rPr>
        <w:t>X</w:t>
      </w:r>
      <w:r>
        <w:rPr>
          <w:rFonts w:ascii="Arial" w:eastAsia="宋体" w:hint="eastAsia"/>
          <w:b/>
          <w:sz w:val="64"/>
        </w:rPr>
        <w:t>射线设备装配商的监管措施</w:t>
      </w:r>
    </w:p>
    <w:p w:rsidR="006D443D" w:rsidRPr="0017428A" w:rsidRDefault="004E17E8" w:rsidP="0017428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背景：</w:t>
      </w:r>
    </w:p>
    <w:p w:rsidR="006D443D" w:rsidRPr="0017428A" w:rsidRDefault="004E17E8" w:rsidP="0017428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21 CFR 1020.30(d)</w:t>
      </w:r>
      <w:r w:rsidRPr="0017428A">
        <w:rPr>
          <w:rFonts w:hint="eastAsia"/>
          <w:sz w:val="28"/>
          <w:szCs w:val="28"/>
        </w:rPr>
        <w:t>要求诊断</w:t>
      </w:r>
      <w:r w:rsidRPr="0017428A">
        <w:rPr>
          <w:rFonts w:hint="eastAsia"/>
          <w:sz w:val="28"/>
          <w:szCs w:val="28"/>
        </w:rPr>
        <w:t>X</w:t>
      </w:r>
      <w:r w:rsidRPr="0017428A">
        <w:rPr>
          <w:rFonts w:hint="eastAsia"/>
          <w:sz w:val="28"/>
          <w:szCs w:val="28"/>
        </w:rPr>
        <w:t>射线系统的装配商提供装配文件报告</w:t>
      </w:r>
      <w:r w:rsidRPr="0017428A">
        <w:rPr>
          <w:rFonts w:hint="eastAsia"/>
          <w:sz w:val="28"/>
          <w:szCs w:val="28"/>
        </w:rPr>
        <w:t>(FD 2579)</w:t>
      </w:r>
      <w:r w:rsidRPr="0017428A">
        <w:rPr>
          <w:rFonts w:hint="eastAsia"/>
          <w:sz w:val="28"/>
          <w:szCs w:val="28"/>
        </w:rPr>
        <w:t>。完整的报告必须在装配完成的</w:t>
      </w:r>
      <w:r w:rsidRPr="0017428A">
        <w:rPr>
          <w:rFonts w:hint="eastAsia"/>
          <w:sz w:val="28"/>
          <w:szCs w:val="28"/>
        </w:rPr>
        <w:t>15</w:t>
      </w:r>
      <w:r w:rsidRPr="0017428A">
        <w:rPr>
          <w:rFonts w:hint="eastAsia"/>
          <w:sz w:val="28"/>
          <w:szCs w:val="28"/>
        </w:rPr>
        <w:t>天内提交至器械和放射卫生中心（</w:t>
      </w:r>
      <w:r w:rsidRPr="0017428A">
        <w:rPr>
          <w:rFonts w:hint="eastAsia"/>
          <w:sz w:val="28"/>
          <w:szCs w:val="28"/>
        </w:rPr>
        <w:t>CDRH</w:t>
      </w:r>
      <w:r w:rsidRPr="0017428A">
        <w:rPr>
          <w:rFonts w:hint="eastAsia"/>
          <w:sz w:val="28"/>
          <w:szCs w:val="28"/>
        </w:rPr>
        <w:t>）主任以及购买方，并在适用时提交至</w:t>
      </w:r>
      <w:r w:rsidR="00A16829">
        <w:rPr>
          <w:rFonts w:hint="eastAsia"/>
          <w:sz w:val="28"/>
          <w:szCs w:val="28"/>
        </w:rPr>
        <w:t>国家</w:t>
      </w:r>
      <w:r w:rsidRPr="0017428A">
        <w:rPr>
          <w:rFonts w:hint="eastAsia"/>
          <w:sz w:val="28"/>
          <w:szCs w:val="28"/>
        </w:rPr>
        <w:t>。这些报告在</w:t>
      </w:r>
      <w:r w:rsidRPr="0017428A">
        <w:rPr>
          <w:rFonts w:hint="eastAsia"/>
          <w:sz w:val="28"/>
          <w:szCs w:val="28"/>
        </w:rPr>
        <w:t>CDRH</w:t>
      </w:r>
      <w:r w:rsidRPr="0017428A">
        <w:rPr>
          <w:rFonts w:hint="eastAsia"/>
          <w:sz w:val="28"/>
          <w:szCs w:val="28"/>
        </w:rPr>
        <w:t>加盖日期，并发送到该领域进行审查和备案。</w:t>
      </w:r>
    </w:p>
    <w:p w:rsidR="006D443D" w:rsidRPr="0017428A" w:rsidRDefault="004E17E8" w:rsidP="0017428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政策：</w:t>
      </w:r>
    </w:p>
    <w:p w:rsidR="006D443D" w:rsidRPr="0017428A" w:rsidRDefault="004E17E8" w:rsidP="0017428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诊断</w:t>
      </w:r>
      <w:r w:rsidRPr="0017428A">
        <w:rPr>
          <w:rFonts w:hint="eastAsia"/>
          <w:sz w:val="28"/>
          <w:szCs w:val="28"/>
        </w:rPr>
        <w:t>X</w:t>
      </w:r>
      <w:r w:rsidRPr="0017428A">
        <w:rPr>
          <w:rFonts w:hint="eastAsia"/>
          <w:sz w:val="28"/>
          <w:szCs w:val="28"/>
        </w:rPr>
        <w:t>射线设备的装配商未能提交装配报告时，该地区可发起和发出一份</w:t>
      </w:r>
      <w:r w:rsidRPr="0017428A">
        <w:rPr>
          <w:rFonts w:hint="eastAsia"/>
          <w:sz w:val="28"/>
          <w:szCs w:val="28"/>
        </w:rPr>
        <w:t>*</w:t>
      </w:r>
      <w:r w:rsidRPr="0017428A">
        <w:rPr>
          <w:rFonts w:hint="eastAsia"/>
          <w:sz w:val="28"/>
          <w:szCs w:val="28"/>
        </w:rPr>
        <w:t>非合规信或警告</w:t>
      </w:r>
      <w:r w:rsidRPr="0017428A">
        <w:rPr>
          <w:rFonts w:hint="eastAsia"/>
          <w:sz w:val="28"/>
          <w:szCs w:val="28"/>
        </w:rPr>
        <w:t>*</w:t>
      </w:r>
      <w:r w:rsidRPr="0017428A">
        <w:rPr>
          <w:rFonts w:hint="eastAsia"/>
          <w:sz w:val="28"/>
          <w:szCs w:val="28"/>
        </w:rPr>
        <w:t>通知信。如果装配商未及时纠正违规行为并</w:t>
      </w:r>
      <w:r w:rsidRPr="0017428A">
        <w:rPr>
          <w:rFonts w:hint="eastAsia"/>
          <w:sz w:val="28"/>
          <w:szCs w:val="28"/>
        </w:rPr>
        <w:t>*</w:t>
      </w:r>
      <w:r w:rsidRPr="0017428A">
        <w:rPr>
          <w:rFonts w:hint="eastAsia"/>
          <w:sz w:val="28"/>
          <w:szCs w:val="28"/>
        </w:rPr>
        <w:t>仍不遵守规定，</w:t>
      </w:r>
      <w:r w:rsidRPr="0017428A">
        <w:rPr>
          <w:rFonts w:hint="eastAsia"/>
          <w:sz w:val="28"/>
          <w:szCs w:val="28"/>
        </w:rPr>
        <w:t>*</w:t>
      </w:r>
      <w:r w:rsidRPr="0017428A">
        <w:rPr>
          <w:rFonts w:hint="eastAsia"/>
          <w:sz w:val="28"/>
          <w:szCs w:val="28"/>
        </w:rPr>
        <w:t>该地区应提交民事处罚和</w:t>
      </w:r>
      <w:r w:rsidRPr="0017428A">
        <w:rPr>
          <w:rFonts w:hint="eastAsia"/>
          <w:sz w:val="28"/>
          <w:szCs w:val="28"/>
        </w:rPr>
        <w:t>/</w:t>
      </w:r>
      <w:r w:rsidRPr="0017428A">
        <w:rPr>
          <w:rFonts w:hint="eastAsia"/>
          <w:sz w:val="28"/>
          <w:szCs w:val="28"/>
        </w:rPr>
        <w:t>或禁令申请至</w:t>
      </w:r>
      <w:r w:rsidRPr="0017428A">
        <w:rPr>
          <w:rFonts w:hint="eastAsia"/>
          <w:sz w:val="28"/>
          <w:szCs w:val="28"/>
        </w:rPr>
        <w:t>CDRH</w:t>
      </w:r>
      <w:r w:rsidRPr="0017428A">
        <w:rPr>
          <w:rFonts w:hint="eastAsia"/>
          <w:sz w:val="28"/>
          <w:szCs w:val="28"/>
        </w:rPr>
        <w:t>。</w:t>
      </w:r>
    </w:p>
    <w:p w:rsidR="006D443D" w:rsidRPr="0017428A" w:rsidRDefault="004E17E8" w:rsidP="0017428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三十（</w:t>
      </w:r>
      <w:r w:rsidRPr="0017428A">
        <w:rPr>
          <w:rFonts w:hint="eastAsia"/>
          <w:sz w:val="28"/>
          <w:szCs w:val="28"/>
        </w:rPr>
        <w:t>30</w:t>
      </w:r>
      <w:r w:rsidRPr="0017428A">
        <w:rPr>
          <w:rFonts w:hint="eastAsia"/>
          <w:sz w:val="28"/>
          <w:szCs w:val="28"/>
        </w:rPr>
        <w:t>）天是完成报告、邮寄时间和完成其他行政活动的充分时间。装配完成后超过</w:t>
      </w:r>
      <w:r w:rsidRPr="0017428A">
        <w:rPr>
          <w:rFonts w:hint="eastAsia"/>
          <w:sz w:val="28"/>
          <w:szCs w:val="28"/>
        </w:rPr>
        <w:t>30</w:t>
      </w:r>
      <w:r w:rsidRPr="0017428A">
        <w:rPr>
          <w:rFonts w:hint="eastAsia"/>
          <w:sz w:val="28"/>
          <w:szCs w:val="28"/>
        </w:rPr>
        <w:t>天收到的装配报告将视为逾期。</w:t>
      </w:r>
    </w:p>
    <w:p w:rsidR="006D443D" w:rsidRPr="0017428A" w:rsidRDefault="004E17E8" w:rsidP="0017428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监管措施指南：</w:t>
      </w:r>
    </w:p>
    <w:p w:rsidR="006D443D" w:rsidRPr="0017428A" w:rsidRDefault="004E17E8" w:rsidP="0017428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以下为地区办公室向</w:t>
      </w:r>
      <w:r w:rsidRPr="0017428A">
        <w:rPr>
          <w:rFonts w:hint="eastAsia"/>
          <w:sz w:val="28"/>
          <w:szCs w:val="28"/>
        </w:rPr>
        <w:t>*</w:t>
      </w:r>
      <w:r w:rsidRPr="0017428A">
        <w:rPr>
          <w:rFonts w:hint="eastAsia"/>
          <w:sz w:val="28"/>
          <w:szCs w:val="28"/>
        </w:rPr>
        <w:t>装配商发出</w:t>
      </w:r>
      <w:r w:rsidRPr="0017428A">
        <w:rPr>
          <w:rFonts w:hint="eastAsia"/>
          <w:sz w:val="28"/>
          <w:szCs w:val="28"/>
        </w:rPr>
        <w:t>*</w:t>
      </w:r>
      <w:r w:rsidRPr="0017428A">
        <w:rPr>
          <w:rFonts w:hint="eastAsia"/>
          <w:sz w:val="28"/>
          <w:szCs w:val="28"/>
        </w:rPr>
        <w:t>警告</w:t>
      </w:r>
      <w:r w:rsidRPr="0017428A">
        <w:rPr>
          <w:rFonts w:hint="eastAsia"/>
          <w:sz w:val="28"/>
          <w:szCs w:val="28"/>
        </w:rPr>
        <w:t>*</w:t>
      </w:r>
      <w:r w:rsidRPr="0017428A">
        <w:rPr>
          <w:rFonts w:hint="eastAsia"/>
          <w:sz w:val="28"/>
          <w:szCs w:val="28"/>
        </w:rPr>
        <w:t>的直接引用标准：</w:t>
      </w:r>
    </w:p>
    <w:p w:rsidR="006D443D" w:rsidRPr="0017428A" w:rsidRDefault="004E17E8" w:rsidP="002644FD">
      <w:pPr>
        <w:pStyle w:val="a3"/>
        <w:numPr>
          <w:ilvl w:val="0"/>
          <w:numId w:val="1"/>
        </w:numPr>
        <w:tabs>
          <w:tab w:val="left" w:pos="613"/>
        </w:tabs>
        <w:overflowPunct w:val="0"/>
        <w:snapToGrid w:val="0"/>
        <w:spacing w:afterLines="100" w:after="240" w:line="300" w:lineRule="auto"/>
        <w:ind w:leftChars="100" w:left="572" w:hanging="352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该区必须建立明确的证据，表明</w:t>
      </w:r>
      <w:r w:rsidRPr="0017428A">
        <w:rPr>
          <w:rFonts w:hint="eastAsia"/>
          <w:sz w:val="28"/>
          <w:szCs w:val="28"/>
        </w:rPr>
        <w:t>FDA-2579</w:t>
      </w:r>
      <w:r w:rsidRPr="0017428A">
        <w:rPr>
          <w:rFonts w:hint="eastAsia"/>
          <w:sz w:val="28"/>
          <w:szCs w:val="28"/>
        </w:rPr>
        <w:t>的表格从未提交或逾期。这可以通过公司的记录检查、</w:t>
      </w:r>
      <w:r w:rsidRPr="0017428A">
        <w:rPr>
          <w:rFonts w:hint="eastAsia"/>
          <w:sz w:val="28"/>
          <w:szCs w:val="28"/>
        </w:rPr>
        <w:t>FDA</w:t>
      </w:r>
      <w:r w:rsidRPr="0017428A">
        <w:rPr>
          <w:rFonts w:hint="eastAsia"/>
          <w:sz w:val="28"/>
          <w:szCs w:val="28"/>
        </w:rPr>
        <w:t>地区办公室的记录审查、</w:t>
      </w:r>
      <w:r w:rsidRPr="0017428A">
        <w:rPr>
          <w:rFonts w:hint="eastAsia"/>
          <w:sz w:val="28"/>
          <w:szCs w:val="28"/>
        </w:rPr>
        <w:t>CDRH</w:t>
      </w:r>
      <w:r w:rsidRPr="0017428A">
        <w:rPr>
          <w:rFonts w:hint="eastAsia"/>
          <w:sz w:val="28"/>
          <w:szCs w:val="28"/>
        </w:rPr>
        <w:t>计算机文件的审查、购买者的采访以及对州记录的审查获得。</w:t>
      </w:r>
    </w:p>
    <w:p w:rsidR="006D443D" w:rsidRPr="0017428A" w:rsidRDefault="004E17E8" w:rsidP="0017428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和</w:t>
      </w:r>
    </w:p>
    <w:p w:rsidR="0017428A" w:rsidRPr="0017428A" w:rsidRDefault="0017428A" w:rsidP="0017428A">
      <w:pPr>
        <w:spacing w:afterLines="100" w:after="240"/>
        <w:rPr>
          <w:sz w:val="28"/>
          <w:szCs w:val="28"/>
        </w:rPr>
      </w:pPr>
      <w:r w:rsidRPr="0017428A">
        <w:rPr>
          <w:sz w:val="28"/>
          <w:szCs w:val="28"/>
        </w:rPr>
        <w:br w:type="page"/>
      </w:r>
    </w:p>
    <w:p w:rsidR="006D443D" w:rsidRPr="0017428A" w:rsidRDefault="004E17E8" w:rsidP="00B6786D">
      <w:pPr>
        <w:pStyle w:val="a3"/>
        <w:numPr>
          <w:ilvl w:val="0"/>
          <w:numId w:val="1"/>
        </w:numPr>
        <w:tabs>
          <w:tab w:val="left" w:pos="613"/>
        </w:tabs>
        <w:overflowPunct w:val="0"/>
        <w:snapToGrid w:val="0"/>
        <w:spacing w:afterLines="100" w:after="240" w:line="300" w:lineRule="auto"/>
        <w:ind w:leftChars="200" w:left="792" w:hanging="352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lastRenderedPageBreak/>
        <w:t>该地区应至少发出一份</w:t>
      </w:r>
      <w:r w:rsidRPr="0017428A">
        <w:rPr>
          <w:rFonts w:hint="eastAsia"/>
          <w:sz w:val="28"/>
          <w:szCs w:val="28"/>
        </w:rPr>
        <w:t>*</w:t>
      </w:r>
      <w:r w:rsidRPr="0017428A">
        <w:rPr>
          <w:rFonts w:hint="eastAsia"/>
          <w:sz w:val="28"/>
          <w:szCs w:val="28"/>
        </w:rPr>
        <w:t>不合规信</w:t>
      </w:r>
      <w:r w:rsidRPr="0017428A">
        <w:rPr>
          <w:rFonts w:hint="eastAsia"/>
          <w:sz w:val="28"/>
          <w:szCs w:val="28"/>
        </w:rPr>
        <w:t>*</w:t>
      </w:r>
      <w:r w:rsidRPr="0017428A">
        <w:rPr>
          <w:rFonts w:hint="eastAsia"/>
          <w:sz w:val="28"/>
          <w:szCs w:val="28"/>
        </w:rPr>
        <w:t>的通知，以处理逾期提交文件或未能提交文件。这必须通过回执或其他收据的证明来确认。</w:t>
      </w:r>
    </w:p>
    <w:p w:rsidR="006D443D" w:rsidRPr="0017428A" w:rsidRDefault="004E17E8" w:rsidP="0017428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请求民事处罚和</w:t>
      </w:r>
      <w:r w:rsidRPr="0017428A">
        <w:rPr>
          <w:rFonts w:hint="eastAsia"/>
          <w:sz w:val="28"/>
          <w:szCs w:val="28"/>
        </w:rPr>
        <w:t>/</w:t>
      </w:r>
      <w:r w:rsidRPr="0017428A">
        <w:rPr>
          <w:rFonts w:hint="eastAsia"/>
          <w:sz w:val="28"/>
          <w:szCs w:val="28"/>
        </w:rPr>
        <w:t>或禁令的标准：</w:t>
      </w:r>
    </w:p>
    <w:p w:rsidR="006D443D" w:rsidRPr="0017428A" w:rsidRDefault="004E17E8" w:rsidP="0017428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该地区应建立明确的持续违规和警告记录；例如，装配商未提交报告或提交报告至少逾期两次，而装配商在</w:t>
      </w:r>
      <w:r w:rsidRPr="0017428A">
        <w:rPr>
          <w:rFonts w:hint="eastAsia"/>
          <w:sz w:val="28"/>
          <w:szCs w:val="28"/>
        </w:rPr>
        <w:t>12</w:t>
      </w:r>
      <w:r w:rsidRPr="0017428A">
        <w:rPr>
          <w:rFonts w:hint="eastAsia"/>
          <w:sz w:val="28"/>
          <w:szCs w:val="28"/>
        </w:rPr>
        <w:t>个月内至少收到两次书面警告。</w:t>
      </w:r>
      <w:r w:rsidRPr="0017428A">
        <w:rPr>
          <w:rFonts w:hint="eastAsia"/>
          <w:sz w:val="28"/>
          <w:szCs w:val="28"/>
        </w:rPr>
        <w:t>*</w:t>
      </w:r>
      <w:r w:rsidRPr="0017428A">
        <w:rPr>
          <w:rFonts w:hint="eastAsia"/>
          <w:sz w:val="28"/>
          <w:szCs w:val="28"/>
        </w:rPr>
        <w:t>装配商收到警告通知信，并没有回应、纠正或遵守警告通知信的规定。</w:t>
      </w:r>
      <w:r w:rsidRPr="0017428A">
        <w:rPr>
          <w:rFonts w:hint="eastAsia"/>
          <w:sz w:val="28"/>
          <w:szCs w:val="28"/>
        </w:rPr>
        <w:t>*</w:t>
      </w:r>
      <w:r w:rsidRPr="0017428A">
        <w:rPr>
          <w:rFonts w:hint="eastAsia"/>
          <w:sz w:val="28"/>
          <w:szCs w:val="28"/>
        </w:rPr>
        <w:t>民事处罚通常是选择性行为。</w:t>
      </w:r>
    </w:p>
    <w:p w:rsidR="004E17E8" w:rsidRPr="0017428A" w:rsidRDefault="004E17E8" w:rsidP="0017428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*</w:t>
      </w:r>
      <w:r w:rsidRPr="0017428A">
        <w:rPr>
          <w:rFonts w:hint="eastAsia"/>
          <w:sz w:val="28"/>
          <w:szCs w:val="28"/>
        </w:rPr>
        <w:t>星号之间的材料是新材料或改进材料</w:t>
      </w:r>
      <w:r w:rsidRPr="0017428A">
        <w:rPr>
          <w:rFonts w:hint="eastAsia"/>
          <w:sz w:val="28"/>
          <w:szCs w:val="28"/>
        </w:rPr>
        <w:t>*</w:t>
      </w:r>
    </w:p>
    <w:p w:rsidR="006D443D" w:rsidRPr="0017428A" w:rsidRDefault="004E17E8" w:rsidP="00D63AFF">
      <w:pPr>
        <w:pStyle w:val="a3"/>
        <w:overflowPunct w:val="0"/>
        <w:snapToGrid w:val="0"/>
        <w:spacing w:line="300" w:lineRule="auto"/>
        <w:ind w:left="0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发布日期：</w:t>
      </w:r>
      <w:r w:rsidRPr="0017428A">
        <w:rPr>
          <w:rFonts w:hint="eastAsia"/>
          <w:sz w:val="28"/>
          <w:szCs w:val="28"/>
        </w:rPr>
        <w:t>1985</w:t>
      </w:r>
      <w:r w:rsidRPr="0017428A">
        <w:rPr>
          <w:rFonts w:hint="eastAsia"/>
          <w:sz w:val="28"/>
          <w:szCs w:val="28"/>
        </w:rPr>
        <w:t>年</w:t>
      </w:r>
      <w:r w:rsidRPr="0017428A">
        <w:rPr>
          <w:rFonts w:hint="eastAsia"/>
          <w:sz w:val="28"/>
          <w:szCs w:val="28"/>
        </w:rPr>
        <w:t>2</w:t>
      </w:r>
      <w:r w:rsidRPr="0017428A">
        <w:rPr>
          <w:rFonts w:hint="eastAsia"/>
          <w:sz w:val="28"/>
          <w:szCs w:val="28"/>
        </w:rPr>
        <w:t>月</w:t>
      </w:r>
      <w:r w:rsidRPr="0017428A">
        <w:rPr>
          <w:rFonts w:hint="eastAsia"/>
          <w:sz w:val="28"/>
          <w:szCs w:val="28"/>
        </w:rPr>
        <w:t>1</w:t>
      </w:r>
      <w:r w:rsidRPr="0017428A"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6D443D" w:rsidRPr="0017428A" w:rsidRDefault="004E17E8" w:rsidP="0017428A">
      <w:pPr>
        <w:pStyle w:val="a3"/>
        <w:overflowPunct w:val="0"/>
        <w:snapToGrid w:val="0"/>
        <w:spacing w:afterLines="100" w:after="240" w:line="300" w:lineRule="auto"/>
        <w:ind w:left="0"/>
        <w:jc w:val="both"/>
        <w:rPr>
          <w:sz w:val="28"/>
          <w:szCs w:val="28"/>
        </w:rPr>
      </w:pPr>
      <w:r w:rsidRPr="0017428A">
        <w:rPr>
          <w:rFonts w:hint="eastAsia"/>
          <w:sz w:val="28"/>
          <w:szCs w:val="28"/>
        </w:rPr>
        <w:t>修订日期：</w:t>
      </w:r>
      <w:r w:rsidRPr="0017428A">
        <w:rPr>
          <w:rFonts w:hint="eastAsia"/>
          <w:sz w:val="28"/>
          <w:szCs w:val="28"/>
        </w:rPr>
        <w:t>1995</w:t>
      </w:r>
      <w:r w:rsidRPr="0017428A">
        <w:rPr>
          <w:rFonts w:hint="eastAsia"/>
          <w:sz w:val="28"/>
          <w:szCs w:val="28"/>
        </w:rPr>
        <w:t>年</w:t>
      </w:r>
      <w:r w:rsidRPr="0017428A">
        <w:rPr>
          <w:rFonts w:hint="eastAsia"/>
          <w:sz w:val="28"/>
          <w:szCs w:val="28"/>
        </w:rPr>
        <w:t>3</w:t>
      </w:r>
      <w:r w:rsidRPr="0017428A">
        <w:rPr>
          <w:rFonts w:hint="eastAsia"/>
          <w:sz w:val="28"/>
          <w:szCs w:val="28"/>
        </w:rPr>
        <w:t>月</w:t>
      </w:r>
    </w:p>
    <w:p w:rsidR="006D443D" w:rsidRDefault="006D443D" w:rsidP="000154FE">
      <w:pPr>
        <w:overflowPunct w:val="0"/>
        <w:snapToGrid w:val="0"/>
        <w:spacing w:afterLines="50" w:after="120" w:line="30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884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FE224F" w:rsidRPr="00D63D75" w:rsidTr="00127C6C">
        <w:tc>
          <w:tcPr>
            <w:tcW w:w="10884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</w:tcPr>
          <w:p w:rsidR="00FE224F" w:rsidRPr="00D63D75" w:rsidRDefault="00076D54" w:rsidP="00127C6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/>
                <w:b/>
                <w:sz w:val="24"/>
                <w:szCs w:val="24"/>
                <w:u w:val="single" w:color="000000"/>
              </w:rPr>
            </w:pPr>
            <w:hyperlink r:id="rId8">
              <w:r w:rsidR="00FE224F" w:rsidRPr="00FE73DF">
                <w:rPr>
                  <w:rFonts w:ascii="Arial" w:eastAsia="宋体" w:hint="eastAsia"/>
                  <w:b/>
                  <w:sz w:val="24"/>
                  <w:szCs w:val="24"/>
                  <w:u w:val="single"/>
                </w:rPr>
                <w:t>合规政策指南的更多信息</w:t>
              </w:r>
              <w:r w:rsidR="00FE224F">
                <w:rPr>
                  <w:rFonts w:ascii="Arial" w:eastAsia="宋体"/>
                  <w:b/>
                  <w:sz w:val="24"/>
                  <w:szCs w:val="24"/>
                  <w:u w:val="single"/>
                </w:rPr>
                <w:br/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Manual/default.htm)</w:t>
              </w:r>
            </w:hyperlink>
          </w:p>
        </w:tc>
      </w:tr>
      <w:tr w:rsidR="00FE224F" w:rsidRPr="00D63D75" w:rsidTr="00127C6C">
        <w:tc>
          <w:tcPr>
            <w:tcW w:w="10884" w:type="dxa"/>
            <w:tcBorders>
              <w:top w:val="single" w:sz="6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E224F" w:rsidRPr="00D63D75" w:rsidRDefault="00FE224F" w:rsidP="00127C6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前言：合规政策指南（</w:t>
            </w: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CPG</w:t>
            </w: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）</w:t>
            </w: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br/>
            </w:r>
            <w:r w:rsidRPr="00D63D75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(/ICECI/Compliance Manuals/Compliance PolicyGuidance Manual/ucm116271.htm) </w:t>
            </w:r>
          </w:p>
        </w:tc>
      </w:tr>
      <w:tr w:rsidR="00FE224F" w:rsidRPr="00D63D75" w:rsidTr="00127C6C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E224F" w:rsidRPr="00D63D75" w:rsidRDefault="00076D54" w:rsidP="00127C6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9"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第一章</w:t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通则</w:t>
              </w:r>
              <w:r w:rsidR="00FE224F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FE224F" w:rsidRPr="00D63D75" w:rsidTr="00127C6C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E224F" w:rsidRPr="00D63D75" w:rsidRDefault="00076D54" w:rsidP="00127C6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0"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第二章</w:t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生物制剂</w:t>
              </w:r>
              <w:r w:rsidR="00FE224F" w:rsidRPr="00D63D75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FE224F" w:rsidRPr="00D63D75" w:rsidTr="00127C6C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E224F" w:rsidRPr="00D63D75" w:rsidRDefault="00076D54" w:rsidP="00127C6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1"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第三章</w:t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器械</w:t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 xml:space="preserve"> </w:t>
              </w:r>
              <w:r w:rsidR="00FE224F" w:rsidRPr="00D63D75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Manual/ucm116801.htm)</w:t>
              </w:r>
            </w:hyperlink>
          </w:p>
        </w:tc>
      </w:tr>
      <w:tr w:rsidR="00FE224F" w:rsidRPr="00D63D75" w:rsidTr="00127C6C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E224F" w:rsidRPr="00D63D75" w:rsidRDefault="00076D54" w:rsidP="00127C6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2"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第四章</w:t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人用药品</w:t>
              </w:r>
              <w:r w:rsidR="00FE224F">
                <w:rPr>
                  <w:rFonts w:ascii="Arial" w:eastAsia="宋体"/>
                  <w:b/>
                  <w:sz w:val="24"/>
                  <w:szCs w:val="24"/>
                  <w:u w:val="single" w:color="000000"/>
                </w:rPr>
                <w:br/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FE224F" w:rsidRPr="00D63D75" w:rsidTr="00127C6C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E224F" w:rsidRPr="00D63D75" w:rsidRDefault="00076D54" w:rsidP="00127C6C">
            <w:pPr>
              <w:pStyle w:val="TableParagraph"/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eastAsia="宋体" w:hAnsi="Arial" w:cs="Arial"/>
                <w:sz w:val="24"/>
                <w:szCs w:val="24"/>
              </w:rPr>
            </w:pPr>
            <w:hyperlink r:id="rId13"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第五章</w:t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食品、颜料和化妆品</w:t>
              </w:r>
              <w:r w:rsidR="00FE224F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br/>
              </w:r>
              <w:r w:rsidR="00FE224F" w:rsidRPr="00D63D75">
                <w:rPr>
                  <w:rFonts w:ascii="Arial" w:eastAsia="宋体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FE224F" w:rsidRPr="00D63D75" w:rsidTr="00127C6C"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E224F" w:rsidRPr="00D63D75" w:rsidRDefault="00076D54" w:rsidP="00127C6C">
            <w:pPr>
              <w:snapToGrid w:val="0"/>
              <w:spacing w:beforeLines="50" w:before="120" w:afterLines="50" w:after="120" w:line="276" w:lineRule="auto"/>
              <w:ind w:leftChars="20" w:left="44" w:rightChars="20" w:right="44"/>
              <w:rPr>
                <w:rFonts w:ascii="Arial" w:hAnsi="Arial" w:cs="Arial"/>
                <w:sz w:val="24"/>
                <w:szCs w:val="24"/>
              </w:rPr>
            </w:pPr>
            <w:hyperlink r:id="rId14">
              <w:r w:rsidR="00FE224F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第六章</w:t>
              </w:r>
              <w:r w:rsidR="00FE224F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-</w:t>
              </w:r>
              <w:r w:rsidR="00FE224F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兽医医学</w:t>
              </w:r>
              <w:r w:rsidR="00FE224F" w:rsidRPr="00D63D75">
                <w:rPr>
                  <w:rFonts w:ascii="Arial"/>
                  <w:b/>
                  <w:sz w:val="24"/>
                  <w:szCs w:val="24"/>
                  <w:u w:val="single" w:color="000000"/>
                </w:rPr>
                <w:br/>
              </w:r>
              <w:r w:rsidR="00FE224F" w:rsidRPr="00D63D75">
                <w:rPr>
                  <w:rFonts w:ascii="Arial" w:hint="eastAsia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0E497C" w:rsidRDefault="000E497C" w:rsidP="00FE224F">
      <w:pPr>
        <w:overflowPunct w:val="0"/>
        <w:snapToGrid w:val="0"/>
        <w:spacing w:afterLines="50" w:after="120" w:line="300" w:lineRule="auto"/>
        <w:jc w:val="both"/>
      </w:pPr>
    </w:p>
    <w:sectPr w:rsidR="000E497C" w:rsidSect="000154FE">
      <w:headerReference w:type="default" r:id="rId15"/>
      <w:footerReference w:type="default" r:id="rId16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7C" w:rsidRDefault="004E17E8">
      <w:r>
        <w:separator/>
      </w:r>
    </w:p>
  </w:endnote>
  <w:endnote w:type="continuationSeparator" w:id="0">
    <w:p w:rsidR="000E497C" w:rsidRDefault="004E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86D" w:rsidRPr="00B6786D" w:rsidRDefault="00B6786D" w:rsidP="00B6786D">
    <w:pPr>
      <w:tabs>
        <w:tab w:val="right" w:pos="10765"/>
      </w:tabs>
      <w:spacing w:line="184" w:lineRule="exact"/>
      <w:ind w:left="40"/>
      <w:rPr>
        <w:rFonts w:ascii="Arial" w:eastAsia="宋体" w:hAnsi="Arial" w:cs="Arial"/>
        <w:sz w:val="15"/>
        <w:szCs w:val="15"/>
      </w:rPr>
    </w:pPr>
    <w:r w:rsidRPr="00B6786D">
      <w:rPr>
        <w:rFonts w:ascii="Arial" w:eastAsia="宋体" w:hint="eastAsia"/>
        <w:sz w:val="15"/>
        <w:szCs w:val="15"/>
      </w:rPr>
      <w:t>https://</w:t>
    </w:r>
    <w:hyperlink r:id="rId1">
      <w:r w:rsidRPr="00B6786D">
        <w:rPr>
          <w:rFonts w:ascii="Arial" w:eastAsia="宋体" w:hint="eastAsia"/>
          <w:sz w:val="15"/>
          <w:szCs w:val="15"/>
        </w:rPr>
        <w:t>www.fda.gov/ICECI/ComplianceManuals/CompliancePolicyGuidanceManual/ucm073932.htm</w:t>
      </w:r>
    </w:hyperlink>
    <w:r w:rsidRPr="00B6786D">
      <w:rPr>
        <w:rFonts w:ascii="Arial" w:eastAsia="宋体" w:hint="eastAsia"/>
        <w:sz w:val="15"/>
        <w:szCs w:val="15"/>
      </w:rPr>
      <w:tab/>
    </w:r>
    <w:r w:rsidRPr="00B6786D">
      <w:rPr>
        <w:sz w:val="15"/>
        <w:szCs w:val="15"/>
      </w:rPr>
      <w:fldChar w:fldCharType="begin"/>
    </w:r>
    <w:r w:rsidRPr="00B6786D">
      <w:rPr>
        <w:rFonts w:ascii="Arial" w:eastAsia="宋体" w:hint="eastAsia"/>
        <w:sz w:val="15"/>
        <w:szCs w:val="15"/>
      </w:rPr>
      <w:instrText xml:space="preserve"> PAGE </w:instrText>
    </w:r>
    <w:r w:rsidRPr="00B6786D">
      <w:rPr>
        <w:sz w:val="15"/>
        <w:szCs w:val="15"/>
      </w:rPr>
      <w:fldChar w:fldCharType="separate"/>
    </w:r>
    <w:r w:rsidR="00076D54">
      <w:rPr>
        <w:rFonts w:ascii="Arial" w:eastAsia="宋体"/>
        <w:noProof/>
        <w:sz w:val="15"/>
        <w:szCs w:val="15"/>
      </w:rPr>
      <w:t>2</w:t>
    </w:r>
    <w:r w:rsidRPr="00B6786D">
      <w:rPr>
        <w:sz w:val="15"/>
        <w:szCs w:val="15"/>
      </w:rPr>
      <w:fldChar w:fldCharType="end"/>
    </w:r>
    <w:r w:rsidRPr="00B6786D">
      <w:rPr>
        <w:rFonts w:ascii="Arial" w:eastAsia="宋体" w:hint="eastAsia"/>
        <w:sz w:val="15"/>
        <w:szCs w:val="15"/>
      </w:rPr>
      <w:t>/2</w:t>
    </w:r>
  </w:p>
  <w:p w:rsidR="006D443D" w:rsidRPr="00B6786D" w:rsidRDefault="006D443D">
    <w:pPr>
      <w:spacing w:line="14" w:lineRule="auto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7C" w:rsidRDefault="004E17E8">
      <w:r>
        <w:separator/>
      </w:r>
    </w:p>
  </w:footnote>
  <w:footnote w:type="continuationSeparator" w:id="0">
    <w:p w:rsidR="000E497C" w:rsidRDefault="004E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8A" w:rsidRPr="0017428A" w:rsidRDefault="0017428A" w:rsidP="0017428A">
    <w:pPr>
      <w:snapToGrid w:val="0"/>
      <w:spacing w:afterLines="200" w:after="480" w:line="300" w:lineRule="auto"/>
      <w:ind w:left="20"/>
      <w:rPr>
        <w:rFonts w:ascii="Arial" w:eastAsia="宋体" w:hAnsi="Arial" w:cs="Arial"/>
        <w:sz w:val="15"/>
        <w:szCs w:val="15"/>
      </w:rPr>
    </w:pPr>
    <w:r w:rsidRPr="0017428A">
      <w:rPr>
        <w:rFonts w:ascii="Arial" w:eastAsia="宋体" w:hint="eastAsia"/>
        <w:sz w:val="15"/>
        <w:szCs w:val="15"/>
      </w:rPr>
      <w:t>2017</w:t>
    </w:r>
    <w:r w:rsidRPr="0017428A">
      <w:rPr>
        <w:rFonts w:ascii="Arial" w:eastAsia="宋体" w:hint="eastAsia"/>
        <w:sz w:val="15"/>
        <w:szCs w:val="15"/>
      </w:rPr>
      <w:t>年</w:t>
    </w:r>
    <w:r w:rsidRPr="0017428A">
      <w:rPr>
        <w:rFonts w:ascii="Arial" w:eastAsia="宋体" w:hint="eastAsia"/>
        <w:sz w:val="15"/>
        <w:szCs w:val="15"/>
      </w:rPr>
      <w:t>8</w:t>
    </w:r>
    <w:r w:rsidRPr="0017428A">
      <w:rPr>
        <w:rFonts w:ascii="Arial" w:eastAsia="宋体" w:hint="eastAsia"/>
        <w:sz w:val="15"/>
        <w:szCs w:val="15"/>
      </w:rPr>
      <w:t>月</w:t>
    </w:r>
    <w:r w:rsidRPr="0017428A">
      <w:rPr>
        <w:rFonts w:ascii="Arial" w:eastAsia="宋体" w:hint="eastAsia"/>
        <w:sz w:val="15"/>
        <w:szCs w:val="15"/>
      </w:rPr>
      <w:t>10</w:t>
    </w:r>
    <w:r w:rsidRPr="0017428A">
      <w:rPr>
        <w:rFonts w:ascii="Arial" w:eastAsia="宋体" w:hint="eastAsia"/>
        <w:sz w:val="15"/>
        <w:szCs w:val="15"/>
      </w:rPr>
      <w:t>日</w:t>
    </w:r>
    <w:r w:rsidRPr="0017428A">
      <w:rPr>
        <w:rFonts w:ascii="Arial" w:eastAsia="宋体" w:hint="eastAsia"/>
        <w:sz w:val="15"/>
        <w:szCs w:val="15"/>
      </w:rPr>
      <w:tab/>
    </w:r>
    <w:r w:rsidRPr="0017428A">
      <w:rPr>
        <w:rFonts w:ascii="Arial" w:eastAsia="宋体" w:hint="eastAsia"/>
        <w:sz w:val="15"/>
        <w:szCs w:val="15"/>
      </w:rPr>
      <w:t>合规政策指南</w:t>
    </w:r>
    <w:r w:rsidRPr="0017428A">
      <w:rPr>
        <w:rFonts w:ascii="Arial" w:eastAsia="宋体" w:hint="eastAsia"/>
        <w:sz w:val="15"/>
        <w:szCs w:val="15"/>
      </w:rPr>
      <w:t>&gt;CPG</w:t>
    </w:r>
    <w:r w:rsidRPr="0017428A">
      <w:rPr>
        <w:rFonts w:ascii="Arial" w:eastAsia="宋体" w:hint="eastAsia"/>
        <w:sz w:val="15"/>
        <w:szCs w:val="15"/>
      </w:rPr>
      <w:t>章节</w:t>
    </w:r>
    <w:r w:rsidRPr="0017428A">
      <w:rPr>
        <w:rFonts w:ascii="Arial" w:eastAsia="宋体" w:hint="eastAsia"/>
        <w:sz w:val="15"/>
        <w:szCs w:val="15"/>
      </w:rPr>
      <w:t>398.350</w:t>
    </w:r>
    <w:r w:rsidRPr="0017428A">
      <w:rPr>
        <w:rFonts w:ascii="Arial" w:eastAsia="宋体" w:hint="eastAsia"/>
        <w:sz w:val="15"/>
        <w:szCs w:val="15"/>
      </w:rPr>
      <w:t>针对未能提交装配报告的</w:t>
    </w:r>
    <w:r w:rsidRPr="0017428A">
      <w:rPr>
        <w:rFonts w:ascii="Arial" w:eastAsia="宋体" w:hint="eastAsia"/>
        <w:sz w:val="15"/>
        <w:szCs w:val="15"/>
      </w:rPr>
      <w:t>X</w:t>
    </w:r>
    <w:r w:rsidRPr="0017428A">
      <w:rPr>
        <w:rFonts w:ascii="Arial" w:eastAsia="宋体" w:hint="eastAsia"/>
        <w:sz w:val="15"/>
        <w:szCs w:val="15"/>
      </w:rPr>
      <w:t>射线设备装配商的监管措施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62A0"/>
    <w:multiLevelType w:val="hybridMultilevel"/>
    <w:tmpl w:val="E0188C78"/>
    <w:lvl w:ilvl="0" w:tplc="830E3062">
      <w:start w:val="1"/>
      <w:numFmt w:val="decimal"/>
      <w:lvlText w:val="%1."/>
      <w:lvlJc w:val="left"/>
      <w:pPr>
        <w:ind w:left="612" w:hanging="353"/>
        <w:jc w:val="left"/>
      </w:pPr>
      <w:rPr>
        <w:rFonts w:ascii="Arial" w:eastAsia="Arial" w:hAnsi="Arial" w:hint="default"/>
        <w:spacing w:val="1"/>
        <w:w w:val="102"/>
        <w:sz w:val="28"/>
        <w:szCs w:val="28"/>
      </w:rPr>
    </w:lvl>
    <w:lvl w:ilvl="1" w:tplc="7AB2702E">
      <w:start w:val="1"/>
      <w:numFmt w:val="bullet"/>
      <w:lvlText w:val="•"/>
      <w:lvlJc w:val="left"/>
      <w:pPr>
        <w:ind w:left="1661" w:hanging="353"/>
      </w:pPr>
      <w:rPr>
        <w:rFonts w:hint="default"/>
      </w:rPr>
    </w:lvl>
    <w:lvl w:ilvl="2" w:tplc="3398A5CA">
      <w:start w:val="1"/>
      <w:numFmt w:val="bullet"/>
      <w:lvlText w:val="•"/>
      <w:lvlJc w:val="left"/>
      <w:pPr>
        <w:ind w:left="2709" w:hanging="353"/>
      </w:pPr>
      <w:rPr>
        <w:rFonts w:hint="default"/>
      </w:rPr>
    </w:lvl>
    <w:lvl w:ilvl="3" w:tplc="D108BAA8">
      <w:start w:val="1"/>
      <w:numFmt w:val="bullet"/>
      <w:lvlText w:val="•"/>
      <w:lvlJc w:val="left"/>
      <w:pPr>
        <w:ind w:left="3758" w:hanging="353"/>
      </w:pPr>
      <w:rPr>
        <w:rFonts w:hint="default"/>
      </w:rPr>
    </w:lvl>
    <w:lvl w:ilvl="4" w:tplc="44D63154">
      <w:start w:val="1"/>
      <w:numFmt w:val="bullet"/>
      <w:lvlText w:val="•"/>
      <w:lvlJc w:val="left"/>
      <w:pPr>
        <w:ind w:left="4807" w:hanging="353"/>
      </w:pPr>
      <w:rPr>
        <w:rFonts w:hint="default"/>
      </w:rPr>
    </w:lvl>
    <w:lvl w:ilvl="5" w:tplc="D7661B5A">
      <w:start w:val="1"/>
      <w:numFmt w:val="bullet"/>
      <w:lvlText w:val="•"/>
      <w:lvlJc w:val="left"/>
      <w:pPr>
        <w:ind w:left="5856" w:hanging="353"/>
      </w:pPr>
      <w:rPr>
        <w:rFonts w:hint="default"/>
      </w:rPr>
    </w:lvl>
    <w:lvl w:ilvl="6" w:tplc="97B440FE">
      <w:start w:val="1"/>
      <w:numFmt w:val="bullet"/>
      <w:lvlText w:val="•"/>
      <w:lvlJc w:val="left"/>
      <w:pPr>
        <w:ind w:left="6904" w:hanging="353"/>
      </w:pPr>
      <w:rPr>
        <w:rFonts w:hint="default"/>
      </w:rPr>
    </w:lvl>
    <w:lvl w:ilvl="7" w:tplc="E21E25BE">
      <w:start w:val="1"/>
      <w:numFmt w:val="bullet"/>
      <w:lvlText w:val="•"/>
      <w:lvlJc w:val="left"/>
      <w:pPr>
        <w:ind w:left="7953" w:hanging="353"/>
      </w:pPr>
      <w:rPr>
        <w:rFonts w:hint="default"/>
      </w:rPr>
    </w:lvl>
    <w:lvl w:ilvl="8" w:tplc="4A342188">
      <w:start w:val="1"/>
      <w:numFmt w:val="bullet"/>
      <w:lvlText w:val="•"/>
      <w:lvlJc w:val="left"/>
      <w:pPr>
        <w:ind w:left="9002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3D"/>
    <w:rsid w:val="000154FE"/>
    <w:rsid w:val="00076D54"/>
    <w:rsid w:val="000E497C"/>
    <w:rsid w:val="0017428A"/>
    <w:rsid w:val="00235169"/>
    <w:rsid w:val="002644FD"/>
    <w:rsid w:val="004E17E8"/>
    <w:rsid w:val="006D443D"/>
    <w:rsid w:val="00A16829"/>
    <w:rsid w:val="00B6786D"/>
    <w:rsid w:val="00D63AFF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4E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17E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17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17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宋体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4E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17E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17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1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default.htm" TargetMode="External"/><Relationship Id="rId13" Type="http://schemas.openxmlformats.org/officeDocument/2006/relationships/hyperlink" Target="https://www.fda.gov/ICECI/ComplianceManuals/CompliancePolicyGuidanceManual/ucm119194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da.gov/ICECI/ComplianceManuals/CompliancePolicyGuidanceManual/ucm119572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da.gov/ICECI/ComplianceManuals/CompliancePolicyGuidanceManual/ucm116801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da.gov/ICECI/ComplianceManuals/CompliancePolicyGuidanceManual/ucm11633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ICECI/ComplianceManuals/CompliancePolicyGuidanceManual/ucm116280.htm" TargetMode="External"/><Relationship Id="rId14" Type="http://schemas.openxmlformats.org/officeDocument/2006/relationships/hyperlink" Target="https://www.fda.gov/ICECI/ComplianceManuals/CompliancePolicyGuidanceManual/ucm117042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93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cathy-wen</dc:creator>
  <cp:lastModifiedBy>cathy-wen</cp:lastModifiedBy>
  <cp:revision>2</cp:revision>
  <dcterms:created xsi:type="dcterms:W3CDTF">2017-11-17T12:34:00Z</dcterms:created>
  <dcterms:modified xsi:type="dcterms:W3CDTF">2017-11-17T12:34:00Z</dcterms:modified>
</cp:coreProperties>
</file>