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0F0" w:rsidRDefault="00364FCF" w:rsidP="00A72F5F">
      <w:pPr>
        <w:snapToGrid w:val="0"/>
        <w:spacing w:beforeLines="600" w:before="1440" w:afterLines="50" w:after="120" w:line="300" w:lineRule="auto"/>
        <w:rPr>
          <w:rFonts w:ascii="Arial" w:eastAsia="宋体" w:hAnsi="Arial" w:cs="Arial"/>
          <w:sz w:val="64"/>
          <w:szCs w:val="64"/>
        </w:rPr>
      </w:pPr>
      <w:r>
        <w:rPr>
          <w:rFonts w:ascii="Arial" w:eastAsia="宋体" w:hint="eastAsia"/>
          <w:b/>
          <w:sz w:val="64"/>
        </w:rPr>
        <w:t>CPG</w:t>
      </w:r>
      <w:r>
        <w:rPr>
          <w:rFonts w:ascii="Arial" w:eastAsia="宋体" w:hint="eastAsia"/>
          <w:b/>
          <w:sz w:val="64"/>
        </w:rPr>
        <w:t>章节</w:t>
      </w:r>
      <w:r>
        <w:rPr>
          <w:rFonts w:ascii="Arial" w:eastAsia="宋体" w:hint="eastAsia"/>
          <w:b/>
          <w:sz w:val="64"/>
        </w:rPr>
        <w:t>398.200</w:t>
      </w:r>
      <w:r>
        <w:rPr>
          <w:rFonts w:ascii="Arial" w:eastAsia="宋体" w:hint="eastAsia"/>
          <w:b/>
          <w:sz w:val="64"/>
        </w:rPr>
        <w:t>危险诊断</w:t>
      </w:r>
      <w:r>
        <w:rPr>
          <w:rFonts w:ascii="Arial" w:eastAsia="宋体" w:hint="eastAsia"/>
          <w:b/>
          <w:sz w:val="64"/>
        </w:rPr>
        <w:t>X</w:t>
      </w:r>
      <w:r>
        <w:rPr>
          <w:rFonts w:ascii="Arial" w:eastAsia="宋体" w:hint="eastAsia"/>
          <w:b/>
          <w:sz w:val="64"/>
        </w:rPr>
        <w:t>射线</w:t>
      </w:r>
      <w:r w:rsidR="00A72F5F">
        <w:rPr>
          <w:rFonts w:ascii="Arial" w:eastAsia="宋体"/>
          <w:b/>
          <w:sz w:val="64"/>
        </w:rPr>
        <w:br/>
      </w:r>
      <w:r>
        <w:rPr>
          <w:rFonts w:ascii="Arial" w:eastAsia="宋体" w:hint="eastAsia"/>
          <w:b/>
          <w:sz w:val="64"/>
        </w:rPr>
        <w:t>系统</w:t>
      </w:r>
    </w:p>
    <w:p w:rsidR="007360F0" w:rsidRPr="00A72F5F" w:rsidRDefault="00364FCF" w:rsidP="00A72F5F">
      <w:pPr>
        <w:pStyle w:val="a3"/>
        <w:snapToGrid w:val="0"/>
        <w:spacing w:afterLines="50" w:after="120" w:line="300" w:lineRule="auto"/>
        <w:ind w:left="0"/>
        <w:jc w:val="both"/>
        <w:rPr>
          <w:sz w:val="28"/>
          <w:szCs w:val="28"/>
        </w:rPr>
      </w:pPr>
      <w:r w:rsidRPr="00A72F5F">
        <w:rPr>
          <w:rFonts w:hint="eastAsia"/>
          <w:sz w:val="28"/>
          <w:szCs w:val="28"/>
        </w:rPr>
        <w:t>背景：</w:t>
      </w:r>
    </w:p>
    <w:p w:rsidR="007360F0" w:rsidRPr="00A72F5F" w:rsidRDefault="00364FCF" w:rsidP="00A72F5F">
      <w:pPr>
        <w:pStyle w:val="a3"/>
        <w:snapToGrid w:val="0"/>
        <w:spacing w:afterLines="50" w:after="120" w:line="300" w:lineRule="auto"/>
        <w:ind w:left="0"/>
        <w:jc w:val="both"/>
        <w:rPr>
          <w:sz w:val="28"/>
          <w:szCs w:val="28"/>
        </w:rPr>
      </w:pPr>
      <w:r w:rsidRPr="00A72F5F">
        <w:rPr>
          <w:rFonts w:hint="eastAsia"/>
          <w:sz w:val="28"/>
          <w:szCs w:val="28"/>
        </w:rPr>
        <w:t>A</w:t>
      </w:r>
      <w:r w:rsidRPr="00A72F5F">
        <w:rPr>
          <w:rFonts w:hint="eastAsia"/>
          <w:sz w:val="28"/>
          <w:szCs w:val="28"/>
        </w:rPr>
        <w:t>类缺陷或不符合标准是一种对公共卫生的造成严重辐射危害并保证立即纠正的违规情况。</w:t>
      </w:r>
      <w:r w:rsidRPr="00A72F5F">
        <w:rPr>
          <w:rFonts w:hint="eastAsia"/>
          <w:sz w:val="28"/>
          <w:szCs w:val="28"/>
        </w:rPr>
        <w:t>FDA</w:t>
      </w:r>
      <w:r w:rsidRPr="00A72F5F">
        <w:rPr>
          <w:rFonts w:hint="eastAsia"/>
          <w:sz w:val="28"/>
          <w:szCs w:val="28"/>
        </w:rPr>
        <w:t>对纠正措施的审查已经确定，并不总是能够立即纠正，并且在一定条件下，用户可以在辐射危害得到纠正之前将</w:t>
      </w:r>
      <w:r w:rsidRPr="00A72F5F">
        <w:rPr>
          <w:rFonts w:hint="eastAsia"/>
          <w:sz w:val="28"/>
          <w:szCs w:val="28"/>
        </w:rPr>
        <w:t>X</w:t>
      </w:r>
      <w:r w:rsidRPr="00A72F5F">
        <w:rPr>
          <w:rFonts w:hint="eastAsia"/>
          <w:sz w:val="28"/>
          <w:szCs w:val="28"/>
        </w:rPr>
        <w:t>射线系统返回售后服务。</w:t>
      </w:r>
    </w:p>
    <w:p w:rsidR="007360F0" w:rsidRPr="00A72F5F" w:rsidRDefault="00364FCF" w:rsidP="00A72F5F">
      <w:pPr>
        <w:pStyle w:val="a3"/>
        <w:snapToGrid w:val="0"/>
        <w:spacing w:afterLines="50" w:after="120" w:line="300" w:lineRule="auto"/>
        <w:ind w:left="0"/>
        <w:jc w:val="both"/>
        <w:rPr>
          <w:sz w:val="28"/>
          <w:szCs w:val="28"/>
        </w:rPr>
      </w:pPr>
      <w:r w:rsidRPr="00A72F5F">
        <w:rPr>
          <w:rFonts w:hint="eastAsia"/>
          <w:sz w:val="28"/>
          <w:szCs w:val="28"/>
        </w:rPr>
        <w:t>由于</w:t>
      </w:r>
      <w:r w:rsidRPr="00A72F5F">
        <w:rPr>
          <w:rFonts w:hint="eastAsia"/>
          <w:sz w:val="28"/>
          <w:szCs w:val="28"/>
        </w:rPr>
        <w:t xml:space="preserve">* </w:t>
      </w:r>
      <w:r w:rsidRPr="00A72F5F">
        <w:rPr>
          <w:rFonts w:hint="eastAsia"/>
          <w:sz w:val="28"/>
          <w:szCs w:val="28"/>
        </w:rPr>
        <w:t>《联邦食品、食品和化妆品法案》（</w:t>
      </w:r>
      <w:r w:rsidRPr="00A72F5F">
        <w:rPr>
          <w:rFonts w:hint="eastAsia"/>
          <w:sz w:val="28"/>
          <w:szCs w:val="28"/>
        </w:rPr>
        <w:t>FD</w:t>
      </w:r>
      <w:r w:rsidRPr="00A72F5F">
        <w:rPr>
          <w:rFonts w:hint="eastAsia"/>
          <w:sz w:val="28"/>
          <w:szCs w:val="28"/>
        </w:rPr>
        <w:t>＆</w:t>
      </w:r>
      <w:r w:rsidRPr="00A72F5F">
        <w:rPr>
          <w:rFonts w:hint="eastAsia"/>
          <w:sz w:val="28"/>
          <w:szCs w:val="28"/>
        </w:rPr>
        <w:t>C</w:t>
      </w:r>
      <w:r w:rsidRPr="00A72F5F">
        <w:rPr>
          <w:rFonts w:hint="eastAsia"/>
          <w:sz w:val="28"/>
          <w:szCs w:val="28"/>
        </w:rPr>
        <w:t>法案）</w:t>
      </w:r>
      <w:r w:rsidRPr="00A72F5F">
        <w:rPr>
          <w:rFonts w:hint="eastAsia"/>
          <w:sz w:val="28"/>
          <w:szCs w:val="28"/>
        </w:rPr>
        <w:t>*</w:t>
      </w:r>
      <w:r w:rsidRPr="00A72F5F">
        <w:rPr>
          <w:rFonts w:hint="eastAsia"/>
          <w:sz w:val="28"/>
          <w:szCs w:val="28"/>
        </w:rPr>
        <w:t>的电子产品辐射控制未规定对违禁电子产品的扣押或没收，保护用户和患者免受危害辐射影响的唯一有效方法将违规产品从服务中移除，通过州干预或根据《</w:t>
      </w:r>
      <w:r w:rsidRPr="00A72F5F">
        <w:rPr>
          <w:rFonts w:hint="eastAsia"/>
          <w:sz w:val="28"/>
          <w:szCs w:val="28"/>
        </w:rPr>
        <w:t>FD</w:t>
      </w:r>
      <w:r w:rsidRPr="00A72F5F">
        <w:rPr>
          <w:rFonts w:hint="eastAsia"/>
          <w:sz w:val="28"/>
          <w:szCs w:val="28"/>
        </w:rPr>
        <w:t>＆</w:t>
      </w:r>
      <w:r w:rsidRPr="00A72F5F">
        <w:rPr>
          <w:rFonts w:hint="eastAsia"/>
          <w:sz w:val="28"/>
          <w:szCs w:val="28"/>
        </w:rPr>
        <w:t>C</w:t>
      </w:r>
      <w:r w:rsidRPr="00A72F5F">
        <w:rPr>
          <w:rFonts w:hint="eastAsia"/>
          <w:sz w:val="28"/>
          <w:szCs w:val="28"/>
        </w:rPr>
        <w:t>法案》第</w:t>
      </w:r>
      <w:r w:rsidRPr="00A72F5F">
        <w:rPr>
          <w:rFonts w:hint="eastAsia"/>
          <w:sz w:val="28"/>
          <w:szCs w:val="28"/>
        </w:rPr>
        <w:t>* 304</w:t>
      </w:r>
      <w:r w:rsidRPr="00A72F5F">
        <w:rPr>
          <w:rFonts w:hint="eastAsia"/>
          <w:sz w:val="28"/>
          <w:szCs w:val="28"/>
        </w:rPr>
        <w:t>节的规定扣押</w:t>
      </w:r>
      <w:r w:rsidRPr="00A72F5F">
        <w:rPr>
          <w:rFonts w:hint="eastAsia"/>
          <w:sz w:val="28"/>
          <w:szCs w:val="28"/>
        </w:rPr>
        <w:t>/</w:t>
      </w:r>
      <w:r w:rsidRPr="00A72F5F">
        <w:rPr>
          <w:rFonts w:hint="eastAsia"/>
          <w:sz w:val="28"/>
          <w:szCs w:val="28"/>
        </w:rPr>
        <w:t>没收违规产品。</w:t>
      </w:r>
    </w:p>
    <w:p w:rsidR="007360F0" w:rsidRPr="00A72F5F" w:rsidRDefault="00364FCF" w:rsidP="00A72F5F">
      <w:pPr>
        <w:pStyle w:val="a3"/>
        <w:snapToGrid w:val="0"/>
        <w:spacing w:afterLines="50" w:after="120" w:line="300" w:lineRule="auto"/>
        <w:ind w:left="0"/>
        <w:jc w:val="both"/>
        <w:rPr>
          <w:sz w:val="28"/>
          <w:szCs w:val="28"/>
        </w:rPr>
      </w:pPr>
      <w:r w:rsidRPr="00A72F5F">
        <w:rPr>
          <w:rFonts w:hint="eastAsia"/>
          <w:sz w:val="28"/>
          <w:szCs w:val="28"/>
        </w:rPr>
        <w:t>然而，该机构的立场是，向患者提供持续的医疗保健服务往往要超过</w:t>
      </w:r>
      <w:r w:rsidRPr="00A72F5F">
        <w:rPr>
          <w:rFonts w:hint="eastAsia"/>
          <w:sz w:val="28"/>
          <w:szCs w:val="28"/>
        </w:rPr>
        <w:t>A</w:t>
      </w:r>
      <w:r w:rsidRPr="00A72F5F">
        <w:rPr>
          <w:rFonts w:hint="eastAsia"/>
          <w:sz w:val="28"/>
          <w:szCs w:val="28"/>
        </w:rPr>
        <w:t>类不合</w:t>
      </w:r>
      <w:proofErr w:type="gramStart"/>
      <w:r w:rsidRPr="00A72F5F">
        <w:rPr>
          <w:rFonts w:hint="eastAsia"/>
          <w:sz w:val="28"/>
          <w:szCs w:val="28"/>
        </w:rPr>
        <w:t>规</w:t>
      </w:r>
      <w:proofErr w:type="gramEnd"/>
      <w:r w:rsidRPr="00A72F5F">
        <w:rPr>
          <w:rFonts w:hint="eastAsia"/>
          <w:sz w:val="28"/>
          <w:szCs w:val="28"/>
        </w:rPr>
        <w:t>或缺陷造成的过度辐射风险。多数</w:t>
      </w:r>
      <w:r w:rsidRPr="00A72F5F">
        <w:rPr>
          <w:rFonts w:hint="eastAsia"/>
          <w:sz w:val="28"/>
          <w:szCs w:val="28"/>
        </w:rPr>
        <w:t>X</w:t>
      </w:r>
      <w:r w:rsidRPr="00A72F5F">
        <w:rPr>
          <w:rFonts w:hint="eastAsia"/>
          <w:sz w:val="28"/>
          <w:szCs w:val="28"/>
        </w:rPr>
        <w:t>射线系统可以在告知问题后使用替代程序和预防措施有用户进行安全地操作。唯一的例外是，辐射危害是一种不可预测的情况的结果，而且没有可替代的程序和预防措施（例如，射线照相定时器非终止）。</w:t>
      </w:r>
    </w:p>
    <w:p w:rsidR="007360F0" w:rsidRPr="00A72F5F" w:rsidRDefault="00364FCF" w:rsidP="00A72F5F">
      <w:pPr>
        <w:pStyle w:val="a3"/>
        <w:snapToGrid w:val="0"/>
        <w:spacing w:afterLines="50" w:after="120" w:line="300" w:lineRule="auto"/>
        <w:ind w:left="0"/>
        <w:jc w:val="both"/>
        <w:rPr>
          <w:sz w:val="28"/>
          <w:szCs w:val="28"/>
        </w:rPr>
      </w:pPr>
      <w:r w:rsidRPr="00A72F5F">
        <w:rPr>
          <w:rFonts w:hint="eastAsia"/>
          <w:sz w:val="28"/>
          <w:szCs w:val="28"/>
        </w:rPr>
        <w:t>政策：</w:t>
      </w:r>
    </w:p>
    <w:p w:rsidR="007360F0" w:rsidRPr="00A72F5F" w:rsidRDefault="00364FCF" w:rsidP="00A72F5F">
      <w:pPr>
        <w:pStyle w:val="a3"/>
        <w:snapToGrid w:val="0"/>
        <w:spacing w:afterLines="50" w:after="120" w:line="300" w:lineRule="auto"/>
        <w:ind w:left="0"/>
        <w:jc w:val="both"/>
        <w:rPr>
          <w:sz w:val="28"/>
          <w:szCs w:val="28"/>
        </w:rPr>
      </w:pPr>
      <w:r w:rsidRPr="00A72F5F">
        <w:rPr>
          <w:rFonts w:hint="eastAsia"/>
          <w:sz w:val="28"/>
          <w:szCs w:val="28"/>
        </w:rPr>
        <w:t>证明</w:t>
      </w:r>
      <w:r w:rsidRPr="00A72F5F">
        <w:rPr>
          <w:rFonts w:hint="eastAsia"/>
          <w:sz w:val="28"/>
          <w:szCs w:val="28"/>
        </w:rPr>
        <w:t>X</w:t>
      </w:r>
      <w:r w:rsidRPr="00A72F5F">
        <w:rPr>
          <w:rFonts w:hint="eastAsia"/>
          <w:sz w:val="28"/>
          <w:szCs w:val="28"/>
        </w:rPr>
        <w:t>射线</w:t>
      </w:r>
      <w:r w:rsidR="00985F7B">
        <w:rPr>
          <w:rFonts w:hint="eastAsia"/>
          <w:sz w:val="28"/>
          <w:szCs w:val="28"/>
        </w:rPr>
        <w:t>无限性</w:t>
      </w:r>
      <w:r w:rsidRPr="00A72F5F">
        <w:rPr>
          <w:rFonts w:hint="eastAsia"/>
          <w:sz w:val="28"/>
          <w:szCs w:val="28"/>
        </w:rPr>
        <w:t>时，如果在纠正定时器前</w:t>
      </w:r>
      <w:r w:rsidRPr="00A72F5F">
        <w:rPr>
          <w:rFonts w:hint="eastAsia"/>
          <w:sz w:val="28"/>
          <w:szCs w:val="28"/>
        </w:rPr>
        <w:t>X</w:t>
      </w:r>
      <w:r w:rsidRPr="00A72F5F">
        <w:rPr>
          <w:rFonts w:hint="eastAsia"/>
          <w:sz w:val="28"/>
          <w:szCs w:val="28"/>
        </w:rPr>
        <w:t>射线系统的射线照相部分恢复使用，则根据</w:t>
      </w:r>
      <w:r w:rsidRPr="00A72F5F">
        <w:rPr>
          <w:rFonts w:hint="eastAsia"/>
          <w:sz w:val="28"/>
          <w:szCs w:val="28"/>
        </w:rPr>
        <w:t>FD&amp;C</w:t>
      </w:r>
      <w:r w:rsidRPr="00A72F5F">
        <w:rPr>
          <w:rFonts w:hint="eastAsia"/>
          <w:sz w:val="28"/>
          <w:szCs w:val="28"/>
        </w:rPr>
        <w:t>法案</w:t>
      </w:r>
      <w:r w:rsidRPr="00A72F5F">
        <w:rPr>
          <w:rFonts w:hint="eastAsia"/>
          <w:sz w:val="28"/>
          <w:szCs w:val="28"/>
        </w:rPr>
        <w:t>*</w:t>
      </w:r>
      <w:r w:rsidRPr="00A72F5F">
        <w:rPr>
          <w:rFonts w:hint="eastAsia"/>
          <w:sz w:val="28"/>
          <w:szCs w:val="28"/>
        </w:rPr>
        <w:t>第</w:t>
      </w:r>
      <w:r w:rsidRPr="00A72F5F">
        <w:rPr>
          <w:rFonts w:hint="eastAsia"/>
          <w:sz w:val="28"/>
          <w:szCs w:val="28"/>
        </w:rPr>
        <w:t>304</w:t>
      </w:r>
      <w:r w:rsidRPr="00A72F5F">
        <w:rPr>
          <w:rFonts w:hint="eastAsia"/>
          <w:sz w:val="28"/>
          <w:szCs w:val="28"/>
        </w:rPr>
        <w:t>节的规定进行扣押</w:t>
      </w:r>
      <w:r w:rsidRPr="00A72F5F">
        <w:rPr>
          <w:rFonts w:hint="eastAsia"/>
          <w:sz w:val="28"/>
          <w:szCs w:val="28"/>
        </w:rPr>
        <w:t>/</w:t>
      </w:r>
      <w:r w:rsidRPr="00A72F5F">
        <w:rPr>
          <w:rFonts w:hint="eastAsia"/>
          <w:sz w:val="28"/>
          <w:szCs w:val="28"/>
        </w:rPr>
        <w:t>没收。只有在所有行政和自愿选择权，包括国家和地方机构的干预都用尽时，才应当考虑扣押</w:t>
      </w:r>
      <w:r w:rsidRPr="00A72F5F">
        <w:rPr>
          <w:rFonts w:hint="eastAsia"/>
          <w:sz w:val="28"/>
          <w:szCs w:val="28"/>
        </w:rPr>
        <w:t>/</w:t>
      </w:r>
      <w:r w:rsidRPr="00A72F5F">
        <w:rPr>
          <w:rFonts w:hint="eastAsia"/>
          <w:sz w:val="28"/>
          <w:szCs w:val="28"/>
        </w:rPr>
        <w:t>没收。根据</w:t>
      </w:r>
      <w:r w:rsidRPr="00A72F5F">
        <w:rPr>
          <w:rFonts w:hint="eastAsia"/>
          <w:sz w:val="28"/>
          <w:szCs w:val="28"/>
        </w:rPr>
        <w:t>FD</w:t>
      </w:r>
      <w:r w:rsidRPr="00A72F5F">
        <w:rPr>
          <w:rFonts w:hint="eastAsia"/>
          <w:sz w:val="28"/>
          <w:szCs w:val="28"/>
        </w:rPr>
        <w:t>＆</w:t>
      </w:r>
      <w:r w:rsidRPr="00A72F5F">
        <w:rPr>
          <w:rFonts w:hint="eastAsia"/>
          <w:sz w:val="28"/>
          <w:szCs w:val="28"/>
        </w:rPr>
        <w:t>C</w:t>
      </w:r>
      <w:r w:rsidRPr="00A72F5F">
        <w:rPr>
          <w:rFonts w:hint="eastAsia"/>
          <w:sz w:val="28"/>
          <w:szCs w:val="28"/>
        </w:rPr>
        <w:t>法案</w:t>
      </w:r>
      <w:r w:rsidRPr="00A72F5F">
        <w:rPr>
          <w:rFonts w:hint="eastAsia"/>
          <w:sz w:val="28"/>
          <w:szCs w:val="28"/>
        </w:rPr>
        <w:t>502</w:t>
      </w:r>
      <w:r w:rsidRPr="00A72F5F">
        <w:rPr>
          <w:rFonts w:hint="eastAsia"/>
          <w:sz w:val="28"/>
          <w:szCs w:val="28"/>
        </w:rPr>
        <w:t>（</w:t>
      </w:r>
      <w:r w:rsidRPr="00A72F5F">
        <w:rPr>
          <w:rFonts w:hint="eastAsia"/>
          <w:sz w:val="28"/>
          <w:szCs w:val="28"/>
        </w:rPr>
        <w:t>f</w:t>
      </w:r>
      <w:r w:rsidRPr="00A72F5F">
        <w:rPr>
          <w:rFonts w:hint="eastAsia"/>
          <w:sz w:val="28"/>
          <w:szCs w:val="28"/>
        </w:rPr>
        <w:t>）和（</w:t>
      </w:r>
      <w:r w:rsidRPr="00A72F5F">
        <w:rPr>
          <w:rFonts w:hint="eastAsia"/>
          <w:sz w:val="28"/>
          <w:szCs w:val="28"/>
        </w:rPr>
        <w:t>j</w:t>
      </w:r>
      <w:r w:rsidRPr="00A72F5F">
        <w:rPr>
          <w:rFonts w:hint="eastAsia"/>
          <w:sz w:val="28"/>
          <w:szCs w:val="28"/>
        </w:rPr>
        <w:t>）的定义，在放射照相模式下显示计时器非终止的诊断</w:t>
      </w:r>
      <w:r w:rsidRPr="00A72F5F">
        <w:rPr>
          <w:rFonts w:hint="eastAsia"/>
          <w:sz w:val="28"/>
          <w:szCs w:val="28"/>
        </w:rPr>
        <w:t>X</w:t>
      </w:r>
      <w:r w:rsidRPr="00A72F5F">
        <w:rPr>
          <w:rFonts w:hint="eastAsia"/>
          <w:sz w:val="28"/>
          <w:szCs w:val="28"/>
        </w:rPr>
        <w:t>射线系统认为是贴错标签的器械。</w:t>
      </w:r>
    </w:p>
    <w:p w:rsidR="00364FCF" w:rsidRPr="00A72F5F" w:rsidRDefault="00364FCF" w:rsidP="00985F7B">
      <w:pPr>
        <w:pStyle w:val="a3"/>
        <w:tabs>
          <w:tab w:val="left" w:pos="6731"/>
        </w:tabs>
        <w:snapToGrid w:val="0"/>
        <w:spacing w:afterLines="50" w:after="120" w:line="300" w:lineRule="auto"/>
        <w:ind w:left="0"/>
        <w:jc w:val="both"/>
        <w:rPr>
          <w:sz w:val="28"/>
          <w:szCs w:val="28"/>
        </w:rPr>
      </w:pPr>
      <w:r w:rsidRPr="00A72F5F">
        <w:rPr>
          <w:rFonts w:hint="eastAsia"/>
          <w:sz w:val="28"/>
          <w:szCs w:val="28"/>
        </w:rPr>
        <w:t>*</w:t>
      </w:r>
      <w:r w:rsidRPr="00A72F5F">
        <w:rPr>
          <w:rFonts w:hint="eastAsia"/>
          <w:sz w:val="28"/>
          <w:szCs w:val="28"/>
        </w:rPr>
        <w:t>星号之间的材料是新材料或改进材料</w:t>
      </w:r>
      <w:r w:rsidRPr="00A72F5F">
        <w:rPr>
          <w:rFonts w:hint="eastAsia"/>
          <w:sz w:val="28"/>
          <w:szCs w:val="28"/>
        </w:rPr>
        <w:t>*</w:t>
      </w:r>
      <w:r w:rsidR="00985F7B">
        <w:rPr>
          <w:sz w:val="28"/>
          <w:szCs w:val="28"/>
        </w:rPr>
        <w:tab/>
      </w:r>
      <w:bookmarkStart w:id="0" w:name="_GoBack"/>
      <w:bookmarkEnd w:id="0"/>
    </w:p>
    <w:p w:rsidR="007360F0" w:rsidRPr="00A72F5F" w:rsidRDefault="00364FCF" w:rsidP="00A72F5F">
      <w:pPr>
        <w:pStyle w:val="a3"/>
        <w:snapToGrid w:val="0"/>
        <w:spacing w:line="300" w:lineRule="auto"/>
        <w:ind w:left="0"/>
        <w:jc w:val="both"/>
        <w:rPr>
          <w:sz w:val="28"/>
          <w:szCs w:val="28"/>
        </w:rPr>
      </w:pPr>
      <w:r w:rsidRPr="00A72F5F">
        <w:rPr>
          <w:rFonts w:hint="eastAsia"/>
          <w:sz w:val="28"/>
          <w:szCs w:val="28"/>
        </w:rPr>
        <w:t>发布日期：</w:t>
      </w:r>
      <w:r w:rsidRPr="00A72F5F">
        <w:rPr>
          <w:rFonts w:hint="eastAsia"/>
          <w:sz w:val="28"/>
          <w:szCs w:val="28"/>
        </w:rPr>
        <w:t>1983</w:t>
      </w:r>
      <w:r w:rsidRPr="00A72F5F">
        <w:rPr>
          <w:rFonts w:hint="eastAsia"/>
          <w:sz w:val="28"/>
          <w:szCs w:val="28"/>
        </w:rPr>
        <w:t>年</w:t>
      </w:r>
      <w:r w:rsidRPr="00A72F5F">
        <w:rPr>
          <w:rFonts w:hint="eastAsia"/>
          <w:sz w:val="28"/>
          <w:szCs w:val="28"/>
        </w:rPr>
        <w:t>7</w:t>
      </w:r>
      <w:r w:rsidRPr="00A72F5F">
        <w:rPr>
          <w:rFonts w:hint="eastAsia"/>
          <w:sz w:val="28"/>
          <w:szCs w:val="28"/>
        </w:rPr>
        <w:t>月</w:t>
      </w:r>
      <w:r w:rsidRPr="00A72F5F">
        <w:rPr>
          <w:rFonts w:hint="eastAsia"/>
          <w:sz w:val="28"/>
          <w:szCs w:val="28"/>
        </w:rPr>
        <w:t>1</w:t>
      </w:r>
      <w:r w:rsidRPr="00A72F5F">
        <w:rPr>
          <w:rFonts w:hint="eastAsia"/>
          <w:sz w:val="28"/>
          <w:szCs w:val="28"/>
        </w:rPr>
        <w:t>日</w:t>
      </w:r>
    </w:p>
    <w:p w:rsidR="007360F0" w:rsidRPr="00A72F5F" w:rsidRDefault="00364FCF" w:rsidP="00A72F5F">
      <w:pPr>
        <w:pStyle w:val="a3"/>
        <w:snapToGrid w:val="0"/>
        <w:spacing w:afterLines="50" w:after="120" w:line="300" w:lineRule="auto"/>
        <w:ind w:left="0"/>
        <w:jc w:val="both"/>
        <w:rPr>
          <w:sz w:val="28"/>
          <w:szCs w:val="28"/>
        </w:rPr>
      </w:pPr>
      <w:r w:rsidRPr="00A72F5F">
        <w:rPr>
          <w:rFonts w:hint="eastAsia"/>
          <w:sz w:val="28"/>
          <w:szCs w:val="28"/>
        </w:rPr>
        <w:t>修订日期：</w:t>
      </w:r>
      <w:r w:rsidRPr="00A72F5F">
        <w:rPr>
          <w:rFonts w:hint="eastAsia"/>
          <w:sz w:val="28"/>
          <w:szCs w:val="28"/>
        </w:rPr>
        <w:t>1995</w:t>
      </w:r>
      <w:r w:rsidRPr="00A72F5F">
        <w:rPr>
          <w:rFonts w:hint="eastAsia"/>
          <w:sz w:val="28"/>
          <w:szCs w:val="28"/>
        </w:rPr>
        <w:t>年</w:t>
      </w:r>
      <w:r w:rsidRPr="00A72F5F">
        <w:rPr>
          <w:rFonts w:hint="eastAsia"/>
          <w:sz w:val="28"/>
          <w:szCs w:val="28"/>
        </w:rPr>
        <w:t>3</w:t>
      </w:r>
      <w:r w:rsidRPr="00A72F5F">
        <w:rPr>
          <w:rFonts w:hint="eastAsia"/>
          <w:sz w:val="28"/>
          <w:szCs w:val="28"/>
        </w:rPr>
        <w:t>月</w:t>
      </w:r>
    </w:p>
    <w:p w:rsidR="00A72F5F" w:rsidRPr="00A72F5F" w:rsidRDefault="00A72F5F" w:rsidP="00A72F5F">
      <w:pPr>
        <w:jc w:val="both"/>
        <w:rPr>
          <w:sz w:val="28"/>
          <w:szCs w:val="28"/>
        </w:rPr>
      </w:pPr>
      <w:r w:rsidRPr="00A72F5F">
        <w:rPr>
          <w:sz w:val="28"/>
          <w:szCs w:val="28"/>
        </w:rPr>
        <w:br w:type="page"/>
      </w:r>
    </w:p>
    <w:tbl>
      <w:tblPr>
        <w:tblStyle w:val="TableNormal"/>
        <w:tblW w:w="10884" w:type="dxa"/>
        <w:tblLayout w:type="fixed"/>
        <w:tblLook w:val="01E0" w:firstRow="1" w:lastRow="1" w:firstColumn="1" w:lastColumn="1" w:noHBand="0" w:noVBand="0"/>
      </w:tblPr>
      <w:tblGrid>
        <w:gridCol w:w="10884"/>
      </w:tblGrid>
      <w:tr w:rsidR="00A72F5F" w:rsidRPr="001E224A" w:rsidTr="00F05EBA">
        <w:tc>
          <w:tcPr>
            <w:tcW w:w="10884"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tcPr>
          <w:bookmarkStart w:id="1" w:name="OLE_LINK5"/>
          <w:bookmarkStart w:id="2" w:name="OLE_LINK6"/>
          <w:p w:rsidR="00A72F5F" w:rsidRPr="001E224A" w:rsidRDefault="00A72F5F" w:rsidP="00A72F5F">
            <w:pPr>
              <w:pStyle w:val="TableParagraph"/>
              <w:overflowPunct w:val="0"/>
              <w:snapToGrid w:val="0"/>
              <w:spacing w:beforeLines="50" w:before="120" w:afterLines="50" w:after="120" w:line="276" w:lineRule="auto"/>
              <w:ind w:leftChars="20" w:left="44" w:rightChars="20" w:right="44"/>
              <w:rPr>
                <w:rFonts w:ascii="Arial" w:eastAsia="宋体"/>
                <w:b/>
                <w:sz w:val="24"/>
                <w:szCs w:val="24"/>
                <w:u w:val="single" w:color="000000"/>
              </w:rPr>
            </w:pPr>
            <w:r w:rsidRPr="001E224A">
              <w:rPr>
                <w:sz w:val="24"/>
                <w:szCs w:val="24"/>
                <w:u w:val="single"/>
              </w:rPr>
              <w:lastRenderedPageBreak/>
              <w:fldChar w:fldCharType="begin"/>
            </w:r>
            <w:r w:rsidRPr="001E224A">
              <w:rPr>
                <w:sz w:val="24"/>
                <w:szCs w:val="24"/>
                <w:u w:val="single"/>
              </w:rPr>
              <w:instrText xml:space="preserve"> HYPERLINK "https://www.fda.gov/ICECI/ComplianceManuals/CompliancePolicyGuidanceManual/default.htm" \h </w:instrText>
            </w:r>
            <w:r w:rsidRPr="001E224A">
              <w:rPr>
                <w:sz w:val="24"/>
                <w:szCs w:val="24"/>
                <w:u w:val="single"/>
              </w:rPr>
              <w:fldChar w:fldCharType="separate"/>
            </w:r>
            <w:r w:rsidRPr="001E224A">
              <w:rPr>
                <w:rFonts w:ascii="Arial" w:eastAsia="宋体" w:hint="eastAsia"/>
                <w:b/>
                <w:sz w:val="24"/>
                <w:szCs w:val="24"/>
                <w:u w:val="single"/>
              </w:rPr>
              <w:t>合</w:t>
            </w:r>
            <w:proofErr w:type="gramStart"/>
            <w:r w:rsidRPr="001E224A">
              <w:rPr>
                <w:rFonts w:ascii="Arial" w:eastAsia="宋体" w:hint="eastAsia"/>
                <w:b/>
                <w:sz w:val="24"/>
                <w:szCs w:val="24"/>
                <w:u w:val="single"/>
              </w:rPr>
              <w:t>规</w:t>
            </w:r>
            <w:proofErr w:type="gramEnd"/>
            <w:r w:rsidRPr="001E224A">
              <w:rPr>
                <w:rFonts w:ascii="Arial" w:eastAsia="宋体" w:hint="eastAsia"/>
                <w:b/>
                <w:sz w:val="24"/>
                <w:szCs w:val="24"/>
                <w:u w:val="single"/>
              </w:rPr>
              <w:t>政策指南的更多信息</w:t>
            </w:r>
            <w:r w:rsidRPr="001E224A">
              <w:rPr>
                <w:rFonts w:ascii="Arial" w:eastAsia="宋体" w:hint="eastAsia"/>
                <w:b/>
                <w:sz w:val="24"/>
                <w:szCs w:val="24"/>
                <w:u w:val="single"/>
              </w:rPr>
              <w:br/>
              <w:t>(/ICECI/Compliance Manuals/Compliance PolicyGuidance Manual/default.htm)</w:t>
            </w:r>
            <w:r w:rsidRPr="001E224A">
              <w:rPr>
                <w:rFonts w:ascii="Arial" w:eastAsia="宋体"/>
                <w:b/>
                <w:sz w:val="24"/>
                <w:szCs w:val="24"/>
                <w:u w:val="single"/>
              </w:rPr>
              <w:fldChar w:fldCharType="end"/>
            </w:r>
          </w:p>
        </w:tc>
      </w:tr>
      <w:tr w:rsidR="00A72F5F" w:rsidRPr="001E224A" w:rsidTr="00F05EBA">
        <w:tc>
          <w:tcPr>
            <w:tcW w:w="10884" w:type="dxa"/>
            <w:tcBorders>
              <w:top w:val="single" w:sz="6" w:space="0" w:color="4F81BD" w:themeColor="accent1"/>
              <w:left w:val="single" w:sz="6" w:space="0" w:color="DDDDDD"/>
              <w:bottom w:val="single" w:sz="6" w:space="0" w:color="DDDDDD"/>
              <w:right w:val="single" w:sz="6" w:space="0" w:color="DDDDDD"/>
            </w:tcBorders>
            <w:vAlign w:val="center"/>
          </w:tcPr>
          <w:p w:rsidR="00A72F5F" w:rsidRPr="001E224A" w:rsidRDefault="00A72F5F" w:rsidP="00A72F5F">
            <w:pPr>
              <w:pStyle w:val="TableParagraph"/>
              <w:overflowPunct w:val="0"/>
              <w:snapToGrid w:val="0"/>
              <w:spacing w:beforeLines="50" w:before="120" w:afterLines="50" w:after="120" w:line="276" w:lineRule="auto"/>
              <w:ind w:leftChars="20" w:left="44" w:rightChars="20" w:right="44"/>
              <w:rPr>
                <w:rFonts w:ascii="Arial" w:eastAsia="宋体" w:hAnsi="Arial" w:cs="Arial"/>
                <w:sz w:val="24"/>
                <w:szCs w:val="24"/>
              </w:rPr>
            </w:pPr>
            <w:r w:rsidRPr="001E224A">
              <w:rPr>
                <w:rFonts w:ascii="Arial" w:eastAsia="宋体" w:hint="eastAsia"/>
                <w:b/>
                <w:sz w:val="24"/>
                <w:szCs w:val="24"/>
                <w:u w:val="single" w:color="000000"/>
              </w:rPr>
              <w:t>前言：合</w:t>
            </w:r>
            <w:proofErr w:type="gramStart"/>
            <w:r w:rsidRPr="001E224A">
              <w:rPr>
                <w:rFonts w:ascii="Arial" w:eastAsia="宋体" w:hint="eastAsia"/>
                <w:b/>
                <w:sz w:val="24"/>
                <w:szCs w:val="24"/>
                <w:u w:val="single" w:color="000000"/>
              </w:rPr>
              <w:t>规</w:t>
            </w:r>
            <w:proofErr w:type="gramEnd"/>
            <w:r w:rsidRPr="001E224A">
              <w:rPr>
                <w:rFonts w:ascii="Arial" w:eastAsia="宋体" w:hint="eastAsia"/>
                <w:b/>
                <w:sz w:val="24"/>
                <w:szCs w:val="24"/>
                <w:u w:val="single" w:color="000000"/>
              </w:rPr>
              <w:t>政策指南（</w:t>
            </w:r>
            <w:r w:rsidRPr="001E224A">
              <w:rPr>
                <w:rFonts w:ascii="Arial" w:eastAsia="宋体" w:hint="eastAsia"/>
                <w:b/>
                <w:sz w:val="24"/>
                <w:szCs w:val="24"/>
                <w:u w:val="single" w:color="000000"/>
              </w:rPr>
              <w:t>CPG</w:t>
            </w:r>
            <w:r w:rsidRPr="001E224A">
              <w:rPr>
                <w:rFonts w:ascii="Arial" w:eastAsia="宋体" w:hint="eastAsia"/>
                <w:b/>
                <w:sz w:val="24"/>
                <w:szCs w:val="24"/>
                <w:u w:val="single" w:color="000000"/>
              </w:rPr>
              <w:t>）</w:t>
            </w:r>
            <w:r w:rsidRPr="001E224A">
              <w:rPr>
                <w:rFonts w:ascii="Arial" w:eastAsia="宋体" w:hint="eastAsia"/>
                <w:b/>
                <w:sz w:val="24"/>
                <w:szCs w:val="24"/>
                <w:u w:val="single" w:color="000000"/>
              </w:rPr>
              <w:br/>
              <w:t xml:space="preserve">(/ICECI/Compliance Manuals/Compliance </w:t>
            </w:r>
            <w:proofErr w:type="spellStart"/>
            <w:r w:rsidRPr="001E224A">
              <w:rPr>
                <w:rFonts w:ascii="Arial" w:eastAsia="宋体" w:hint="eastAsia"/>
                <w:b/>
                <w:sz w:val="24"/>
                <w:szCs w:val="24"/>
                <w:u w:val="single" w:color="000000"/>
              </w:rPr>
              <w:t>PolicyGuidance</w:t>
            </w:r>
            <w:proofErr w:type="spellEnd"/>
            <w:r w:rsidRPr="001E224A">
              <w:rPr>
                <w:rFonts w:ascii="Arial" w:eastAsia="宋体" w:hint="eastAsia"/>
                <w:b/>
                <w:sz w:val="24"/>
                <w:szCs w:val="24"/>
                <w:u w:val="single" w:color="000000"/>
              </w:rPr>
              <w:t xml:space="preserve"> Manual/ucm116271.htm) </w:t>
            </w:r>
          </w:p>
        </w:tc>
      </w:tr>
      <w:tr w:rsidR="00A72F5F" w:rsidRPr="001E224A" w:rsidTr="00F05EBA">
        <w:tc>
          <w:tcPr>
            <w:tcW w:w="10884" w:type="dxa"/>
            <w:tcBorders>
              <w:top w:val="single" w:sz="6" w:space="0" w:color="DDDDDD"/>
              <w:left w:val="single" w:sz="6" w:space="0" w:color="DDDDDD"/>
              <w:bottom w:val="single" w:sz="6" w:space="0" w:color="DDDDDD"/>
              <w:right w:val="single" w:sz="6" w:space="0" w:color="DDDDDD"/>
            </w:tcBorders>
            <w:vAlign w:val="center"/>
          </w:tcPr>
          <w:p w:rsidR="00A72F5F" w:rsidRPr="001E224A" w:rsidRDefault="004F0777" w:rsidP="00A72F5F">
            <w:pPr>
              <w:pStyle w:val="TableParagraph"/>
              <w:overflowPunct w:val="0"/>
              <w:snapToGrid w:val="0"/>
              <w:spacing w:beforeLines="50" w:before="120" w:afterLines="50" w:after="120" w:line="276" w:lineRule="auto"/>
              <w:ind w:leftChars="20" w:left="44" w:rightChars="20" w:right="44"/>
              <w:rPr>
                <w:rFonts w:ascii="Arial" w:eastAsia="宋体" w:hAnsi="Arial" w:cs="Arial"/>
                <w:sz w:val="24"/>
                <w:szCs w:val="24"/>
              </w:rPr>
            </w:pPr>
            <w:hyperlink r:id="rId7">
              <w:r w:rsidR="00A72F5F" w:rsidRPr="001E224A">
                <w:rPr>
                  <w:rFonts w:ascii="Arial" w:eastAsia="宋体" w:hint="eastAsia"/>
                  <w:b/>
                  <w:sz w:val="24"/>
                  <w:szCs w:val="24"/>
                  <w:u w:val="single" w:color="000000"/>
                </w:rPr>
                <w:t>第一章</w:t>
              </w:r>
              <w:r w:rsidR="00A72F5F" w:rsidRPr="001E224A">
                <w:rPr>
                  <w:rFonts w:ascii="Arial" w:eastAsia="宋体" w:hint="eastAsia"/>
                  <w:b/>
                  <w:sz w:val="24"/>
                  <w:szCs w:val="24"/>
                  <w:u w:val="single" w:color="000000"/>
                </w:rPr>
                <w:t>-</w:t>
              </w:r>
              <w:r w:rsidR="00A72F5F" w:rsidRPr="001E224A">
                <w:rPr>
                  <w:rFonts w:ascii="Arial" w:eastAsia="宋体" w:hint="eastAsia"/>
                  <w:b/>
                  <w:sz w:val="24"/>
                  <w:szCs w:val="24"/>
                  <w:u w:val="single" w:color="000000"/>
                </w:rPr>
                <w:t>通则</w:t>
              </w:r>
              <w:r w:rsidR="00A72F5F" w:rsidRPr="001E224A">
                <w:rPr>
                  <w:rFonts w:ascii="Arial" w:eastAsia="宋体" w:hint="eastAsia"/>
                  <w:b/>
                  <w:sz w:val="24"/>
                  <w:szCs w:val="24"/>
                  <w:u w:val="single" w:color="000000"/>
                </w:rPr>
                <w:br/>
                <w:t>(/ICECI/Compliance Manuals/Compliance PolicyGuidance Manual/ucm116280.htm)</w:t>
              </w:r>
            </w:hyperlink>
          </w:p>
        </w:tc>
      </w:tr>
      <w:tr w:rsidR="00A72F5F" w:rsidRPr="001E224A" w:rsidTr="00F05EBA">
        <w:tc>
          <w:tcPr>
            <w:tcW w:w="10884" w:type="dxa"/>
            <w:tcBorders>
              <w:top w:val="single" w:sz="6" w:space="0" w:color="DDDDDD"/>
              <w:left w:val="single" w:sz="6" w:space="0" w:color="DDDDDD"/>
              <w:bottom w:val="single" w:sz="6" w:space="0" w:color="DDDDDD"/>
              <w:right w:val="single" w:sz="6" w:space="0" w:color="DDDDDD"/>
            </w:tcBorders>
            <w:vAlign w:val="center"/>
          </w:tcPr>
          <w:p w:rsidR="00A72F5F" w:rsidRPr="001E224A" w:rsidRDefault="004F0777" w:rsidP="00A72F5F">
            <w:pPr>
              <w:pStyle w:val="TableParagraph"/>
              <w:overflowPunct w:val="0"/>
              <w:snapToGrid w:val="0"/>
              <w:spacing w:beforeLines="50" w:before="120" w:afterLines="50" w:after="120" w:line="276" w:lineRule="auto"/>
              <w:ind w:leftChars="20" w:left="44" w:rightChars="20" w:right="44"/>
              <w:rPr>
                <w:rFonts w:ascii="Arial" w:eastAsia="宋体" w:hAnsi="Arial" w:cs="Arial"/>
                <w:sz w:val="24"/>
                <w:szCs w:val="24"/>
              </w:rPr>
            </w:pPr>
            <w:hyperlink r:id="rId8">
              <w:r w:rsidR="00A72F5F" w:rsidRPr="001E224A">
                <w:rPr>
                  <w:rFonts w:ascii="Arial" w:eastAsia="宋体" w:hint="eastAsia"/>
                  <w:b/>
                  <w:sz w:val="24"/>
                  <w:szCs w:val="24"/>
                  <w:u w:val="single" w:color="000000"/>
                </w:rPr>
                <w:t>第二章</w:t>
              </w:r>
              <w:r w:rsidR="00A72F5F" w:rsidRPr="001E224A">
                <w:rPr>
                  <w:rFonts w:ascii="Arial" w:eastAsia="宋体" w:hint="eastAsia"/>
                  <w:b/>
                  <w:sz w:val="24"/>
                  <w:szCs w:val="24"/>
                  <w:u w:val="single" w:color="000000"/>
                </w:rPr>
                <w:t>-</w:t>
              </w:r>
              <w:r w:rsidR="00A72F5F" w:rsidRPr="001E224A">
                <w:rPr>
                  <w:rFonts w:ascii="Arial" w:eastAsia="宋体" w:hint="eastAsia"/>
                  <w:b/>
                  <w:sz w:val="24"/>
                  <w:szCs w:val="24"/>
                  <w:u w:val="single" w:color="000000"/>
                </w:rPr>
                <w:t>生物制剂</w:t>
              </w:r>
              <w:r w:rsidR="00A72F5F" w:rsidRPr="001E224A">
                <w:rPr>
                  <w:rFonts w:ascii="Arial" w:eastAsia="宋体"/>
                  <w:b/>
                  <w:sz w:val="24"/>
                  <w:szCs w:val="24"/>
                  <w:u w:val="single" w:color="000000"/>
                </w:rPr>
                <w:br/>
              </w:r>
              <w:r w:rsidR="00A72F5F" w:rsidRPr="001E224A">
                <w:rPr>
                  <w:rFonts w:ascii="Arial" w:eastAsia="宋体" w:hint="eastAsia"/>
                  <w:b/>
                  <w:sz w:val="24"/>
                  <w:szCs w:val="24"/>
                  <w:u w:val="single" w:color="000000"/>
                </w:rPr>
                <w:t>(/ICECI/Compliance Manuals/Compliance PolicyGuidance Manual/ucm116336.htm)</w:t>
              </w:r>
            </w:hyperlink>
          </w:p>
        </w:tc>
      </w:tr>
      <w:tr w:rsidR="00A72F5F" w:rsidRPr="001E224A" w:rsidTr="00F05EBA">
        <w:tc>
          <w:tcPr>
            <w:tcW w:w="10884" w:type="dxa"/>
            <w:tcBorders>
              <w:top w:val="single" w:sz="6" w:space="0" w:color="DDDDDD"/>
              <w:left w:val="single" w:sz="6" w:space="0" w:color="DDDDDD"/>
              <w:bottom w:val="single" w:sz="6" w:space="0" w:color="DDDDDD"/>
              <w:right w:val="single" w:sz="6" w:space="0" w:color="DDDDDD"/>
            </w:tcBorders>
            <w:vAlign w:val="center"/>
          </w:tcPr>
          <w:p w:rsidR="00A72F5F" w:rsidRPr="001E224A" w:rsidRDefault="004F0777" w:rsidP="00A72F5F">
            <w:pPr>
              <w:pStyle w:val="TableParagraph"/>
              <w:overflowPunct w:val="0"/>
              <w:snapToGrid w:val="0"/>
              <w:spacing w:beforeLines="50" w:before="120" w:afterLines="50" w:after="120" w:line="276" w:lineRule="auto"/>
              <w:ind w:leftChars="20" w:left="44" w:rightChars="20" w:right="44"/>
              <w:rPr>
                <w:rFonts w:ascii="Arial" w:eastAsia="宋体" w:hAnsi="Arial" w:cs="Arial"/>
                <w:sz w:val="24"/>
                <w:szCs w:val="24"/>
              </w:rPr>
            </w:pPr>
            <w:hyperlink r:id="rId9">
              <w:r w:rsidR="00A72F5F" w:rsidRPr="001E224A">
                <w:rPr>
                  <w:rFonts w:ascii="Arial" w:eastAsia="宋体" w:hint="eastAsia"/>
                  <w:b/>
                  <w:sz w:val="24"/>
                  <w:szCs w:val="24"/>
                  <w:u w:val="single" w:color="000000"/>
                </w:rPr>
                <w:t>第三章</w:t>
              </w:r>
              <w:r w:rsidR="00A72F5F" w:rsidRPr="001E224A">
                <w:rPr>
                  <w:rFonts w:ascii="Arial" w:eastAsia="宋体" w:hint="eastAsia"/>
                  <w:b/>
                  <w:sz w:val="24"/>
                  <w:szCs w:val="24"/>
                  <w:u w:val="single" w:color="000000"/>
                </w:rPr>
                <w:t>-</w:t>
              </w:r>
              <w:r w:rsidR="00A72F5F" w:rsidRPr="001E224A">
                <w:rPr>
                  <w:rFonts w:ascii="Arial" w:eastAsia="宋体" w:hint="eastAsia"/>
                  <w:b/>
                  <w:sz w:val="24"/>
                  <w:szCs w:val="24"/>
                  <w:u w:val="single" w:color="000000"/>
                </w:rPr>
                <w:t>器械</w:t>
              </w:r>
              <w:r w:rsidR="00A72F5F" w:rsidRPr="001E224A">
                <w:rPr>
                  <w:rFonts w:ascii="Arial" w:eastAsia="宋体"/>
                  <w:b/>
                  <w:sz w:val="24"/>
                  <w:szCs w:val="24"/>
                  <w:u w:val="single" w:color="000000"/>
                </w:rPr>
                <w:br/>
              </w:r>
              <w:r w:rsidR="00A72F5F" w:rsidRPr="001E224A">
                <w:rPr>
                  <w:rFonts w:ascii="Arial" w:eastAsia="宋体" w:hint="eastAsia"/>
                  <w:b/>
                  <w:sz w:val="24"/>
                  <w:szCs w:val="24"/>
                  <w:u w:val="single" w:color="000000"/>
                </w:rPr>
                <w:t>(/ICECI/Compliance Manuals/Compliance PolicyGuidance Manual/ucm116801.htm)</w:t>
              </w:r>
            </w:hyperlink>
          </w:p>
        </w:tc>
      </w:tr>
      <w:tr w:rsidR="00A72F5F" w:rsidRPr="001E224A" w:rsidTr="00F05EBA">
        <w:tc>
          <w:tcPr>
            <w:tcW w:w="10884" w:type="dxa"/>
            <w:tcBorders>
              <w:top w:val="single" w:sz="6" w:space="0" w:color="DDDDDD"/>
              <w:left w:val="single" w:sz="6" w:space="0" w:color="DDDDDD"/>
              <w:bottom w:val="single" w:sz="6" w:space="0" w:color="DDDDDD"/>
              <w:right w:val="single" w:sz="6" w:space="0" w:color="DDDDDD"/>
            </w:tcBorders>
            <w:vAlign w:val="center"/>
          </w:tcPr>
          <w:p w:rsidR="00A72F5F" w:rsidRPr="001E224A" w:rsidRDefault="004F0777" w:rsidP="00A72F5F">
            <w:pPr>
              <w:pStyle w:val="TableParagraph"/>
              <w:overflowPunct w:val="0"/>
              <w:snapToGrid w:val="0"/>
              <w:spacing w:beforeLines="50" w:before="120" w:afterLines="50" w:after="120" w:line="276" w:lineRule="auto"/>
              <w:ind w:leftChars="20" w:left="44" w:rightChars="20" w:right="44"/>
              <w:rPr>
                <w:rFonts w:ascii="Arial" w:eastAsia="宋体" w:hAnsi="Arial" w:cs="Arial"/>
                <w:sz w:val="24"/>
                <w:szCs w:val="24"/>
              </w:rPr>
            </w:pPr>
            <w:hyperlink r:id="rId10">
              <w:r w:rsidR="00A72F5F" w:rsidRPr="001E224A">
                <w:rPr>
                  <w:rFonts w:ascii="Arial" w:eastAsia="宋体" w:hint="eastAsia"/>
                  <w:b/>
                  <w:sz w:val="24"/>
                  <w:szCs w:val="24"/>
                  <w:u w:val="single" w:color="000000"/>
                </w:rPr>
                <w:t>第四章</w:t>
              </w:r>
              <w:r w:rsidR="00A72F5F" w:rsidRPr="001E224A">
                <w:rPr>
                  <w:rFonts w:ascii="Arial" w:eastAsia="宋体" w:hint="eastAsia"/>
                  <w:b/>
                  <w:sz w:val="24"/>
                  <w:szCs w:val="24"/>
                  <w:u w:val="single" w:color="000000"/>
                </w:rPr>
                <w:t>-</w:t>
              </w:r>
              <w:r w:rsidR="00A72F5F" w:rsidRPr="001E224A">
                <w:rPr>
                  <w:rFonts w:ascii="Arial" w:eastAsia="宋体" w:hint="eastAsia"/>
                  <w:b/>
                  <w:sz w:val="24"/>
                  <w:szCs w:val="24"/>
                  <w:u w:val="single" w:color="000000"/>
                </w:rPr>
                <w:t>人用药品</w:t>
              </w:r>
              <w:r w:rsidR="00A72F5F" w:rsidRPr="001E224A">
                <w:rPr>
                  <w:rFonts w:ascii="Arial" w:eastAsia="宋体"/>
                  <w:b/>
                  <w:sz w:val="24"/>
                  <w:szCs w:val="24"/>
                  <w:u w:val="single" w:color="000000"/>
                </w:rPr>
                <w:br/>
              </w:r>
              <w:r w:rsidR="00A72F5F" w:rsidRPr="001E224A">
                <w:rPr>
                  <w:rFonts w:ascii="Arial" w:eastAsia="宋体" w:hint="eastAsia"/>
                  <w:b/>
                  <w:sz w:val="24"/>
                  <w:szCs w:val="24"/>
                  <w:u w:val="single" w:color="000000"/>
                </w:rPr>
                <w:t>(/ICECI/Compliance Manuals/Compliance PolicyGuidance Manual/ucm119572.htm)</w:t>
              </w:r>
            </w:hyperlink>
          </w:p>
        </w:tc>
      </w:tr>
      <w:tr w:rsidR="00A72F5F" w:rsidRPr="001E224A" w:rsidTr="00F05EBA">
        <w:tc>
          <w:tcPr>
            <w:tcW w:w="10884" w:type="dxa"/>
            <w:tcBorders>
              <w:top w:val="single" w:sz="6" w:space="0" w:color="DDDDDD"/>
              <w:left w:val="single" w:sz="6" w:space="0" w:color="DDDDDD"/>
              <w:bottom w:val="single" w:sz="6" w:space="0" w:color="DDDDDD"/>
              <w:right w:val="single" w:sz="6" w:space="0" w:color="DDDDDD"/>
            </w:tcBorders>
            <w:vAlign w:val="center"/>
          </w:tcPr>
          <w:p w:rsidR="00A72F5F" w:rsidRPr="001E224A" w:rsidRDefault="00A72F5F" w:rsidP="00A72F5F">
            <w:pPr>
              <w:pStyle w:val="TableParagraph"/>
              <w:overflowPunct w:val="0"/>
              <w:snapToGrid w:val="0"/>
              <w:spacing w:beforeLines="50" w:before="120" w:afterLines="50" w:after="120" w:line="276" w:lineRule="auto"/>
              <w:ind w:leftChars="20" w:left="44" w:rightChars="20" w:right="44"/>
              <w:rPr>
                <w:rFonts w:ascii="Arial" w:eastAsia="宋体"/>
                <w:b/>
                <w:sz w:val="24"/>
                <w:szCs w:val="24"/>
                <w:u w:val="single" w:color="000000"/>
              </w:rPr>
            </w:pPr>
            <w:r w:rsidRPr="001E224A">
              <w:rPr>
                <w:sz w:val="24"/>
                <w:szCs w:val="24"/>
              </w:rPr>
              <w:fldChar w:fldCharType="begin"/>
            </w:r>
            <w:r w:rsidRPr="001E224A">
              <w:rPr>
                <w:sz w:val="24"/>
                <w:szCs w:val="24"/>
              </w:rPr>
              <w:instrText xml:space="preserve"> HYPERLINK "https://www.fda.gov/ICECI/ComplianceManuals/CompliancePolicyGuidanceManual/ucm119194.htm" \h </w:instrText>
            </w:r>
            <w:r w:rsidRPr="001E224A">
              <w:rPr>
                <w:sz w:val="24"/>
                <w:szCs w:val="24"/>
              </w:rPr>
              <w:fldChar w:fldCharType="separate"/>
            </w:r>
            <w:r w:rsidRPr="001E224A">
              <w:rPr>
                <w:rFonts w:ascii="Arial" w:eastAsia="宋体" w:hint="eastAsia"/>
                <w:b/>
                <w:sz w:val="24"/>
                <w:szCs w:val="24"/>
                <w:u w:val="single" w:color="000000"/>
              </w:rPr>
              <w:t>第五章</w:t>
            </w:r>
            <w:r w:rsidRPr="001E224A">
              <w:rPr>
                <w:rFonts w:ascii="Arial" w:eastAsia="宋体" w:hint="eastAsia"/>
                <w:b/>
                <w:sz w:val="24"/>
                <w:szCs w:val="24"/>
                <w:u w:val="single" w:color="000000"/>
              </w:rPr>
              <w:t>-</w:t>
            </w:r>
            <w:r w:rsidRPr="001E224A">
              <w:rPr>
                <w:rFonts w:ascii="Arial" w:eastAsia="宋体" w:hint="eastAsia"/>
                <w:b/>
                <w:sz w:val="24"/>
                <w:szCs w:val="24"/>
                <w:u w:val="single" w:color="000000"/>
              </w:rPr>
              <w:t>食品、颜料和化妆品</w:t>
            </w:r>
          </w:p>
          <w:p w:rsidR="00A72F5F" w:rsidRPr="001E224A" w:rsidRDefault="00A72F5F" w:rsidP="00A72F5F">
            <w:pPr>
              <w:pStyle w:val="TableParagraph"/>
              <w:overflowPunct w:val="0"/>
              <w:snapToGrid w:val="0"/>
              <w:spacing w:beforeLines="50" w:before="120" w:afterLines="50" w:after="120" w:line="276" w:lineRule="auto"/>
              <w:ind w:leftChars="20" w:left="44" w:rightChars="20" w:right="44"/>
              <w:rPr>
                <w:rFonts w:ascii="Arial" w:eastAsia="宋体" w:hAnsi="Arial" w:cs="Arial"/>
                <w:sz w:val="24"/>
                <w:szCs w:val="24"/>
              </w:rPr>
            </w:pPr>
            <w:r w:rsidRPr="001E224A">
              <w:rPr>
                <w:rFonts w:ascii="Arial" w:eastAsia="宋体" w:hint="eastAsia"/>
                <w:b/>
                <w:sz w:val="24"/>
                <w:szCs w:val="24"/>
                <w:u w:val="single" w:color="000000"/>
              </w:rPr>
              <w:t>(/ICECI/Compliance Manuals/Compliance PolicyGuidance Manual/ucm119194.htm)</w:t>
            </w:r>
            <w:r w:rsidRPr="001E224A">
              <w:rPr>
                <w:rFonts w:ascii="Arial" w:eastAsia="宋体"/>
                <w:b/>
                <w:sz w:val="24"/>
                <w:szCs w:val="24"/>
                <w:u w:val="single" w:color="000000"/>
              </w:rPr>
              <w:fldChar w:fldCharType="end"/>
            </w:r>
          </w:p>
        </w:tc>
      </w:tr>
      <w:tr w:rsidR="00A72F5F" w:rsidRPr="001E224A" w:rsidTr="00F05EBA">
        <w:tc>
          <w:tcPr>
            <w:tcW w:w="10884" w:type="dxa"/>
            <w:tcBorders>
              <w:top w:val="single" w:sz="6" w:space="0" w:color="DDDDDD"/>
              <w:left w:val="single" w:sz="6" w:space="0" w:color="DDDDDD"/>
              <w:bottom w:val="single" w:sz="6" w:space="0" w:color="DDDDDD"/>
              <w:right w:val="single" w:sz="6" w:space="0" w:color="DDDDDD"/>
            </w:tcBorders>
            <w:vAlign w:val="center"/>
          </w:tcPr>
          <w:p w:rsidR="00A72F5F" w:rsidRPr="001E224A" w:rsidRDefault="004F0777" w:rsidP="00A72F5F">
            <w:pPr>
              <w:overflowPunct w:val="0"/>
              <w:snapToGrid w:val="0"/>
              <w:spacing w:beforeLines="50" w:before="120" w:afterLines="50" w:after="120" w:line="276" w:lineRule="auto"/>
              <w:ind w:leftChars="20" w:left="44" w:rightChars="20" w:right="44"/>
              <w:rPr>
                <w:rFonts w:ascii="Arial" w:hAnsi="Arial" w:cs="Arial"/>
                <w:sz w:val="24"/>
                <w:szCs w:val="24"/>
              </w:rPr>
            </w:pPr>
            <w:hyperlink r:id="rId11">
              <w:r w:rsidR="00A72F5F" w:rsidRPr="001E224A">
                <w:rPr>
                  <w:rFonts w:ascii="Arial" w:hint="eastAsia"/>
                  <w:b/>
                  <w:sz w:val="24"/>
                  <w:szCs w:val="24"/>
                  <w:u w:val="single" w:color="000000"/>
                </w:rPr>
                <w:t>第六章</w:t>
              </w:r>
              <w:r w:rsidR="00A72F5F" w:rsidRPr="001E224A">
                <w:rPr>
                  <w:rFonts w:ascii="Arial" w:hint="eastAsia"/>
                  <w:b/>
                  <w:sz w:val="24"/>
                  <w:szCs w:val="24"/>
                  <w:u w:val="single" w:color="000000"/>
                </w:rPr>
                <w:t>-</w:t>
              </w:r>
              <w:r w:rsidR="00A72F5F" w:rsidRPr="001E224A">
                <w:rPr>
                  <w:rFonts w:ascii="Arial" w:hint="eastAsia"/>
                  <w:b/>
                  <w:sz w:val="24"/>
                  <w:szCs w:val="24"/>
                  <w:u w:val="single" w:color="000000"/>
                </w:rPr>
                <w:t>兽医医学</w:t>
              </w:r>
              <w:r w:rsidR="00A72F5F" w:rsidRPr="001E224A">
                <w:rPr>
                  <w:rFonts w:ascii="Arial"/>
                  <w:b/>
                  <w:sz w:val="24"/>
                  <w:szCs w:val="24"/>
                  <w:u w:val="single" w:color="000000"/>
                </w:rPr>
                <w:br/>
              </w:r>
              <w:r w:rsidR="00A72F5F" w:rsidRPr="001E224A">
                <w:rPr>
                  <w:rFonts w:ascii="Arial" w:hint="eastAsia"/>
                  <w:b/>
                  <w:sz w:val="24"/>
                  <w:szCs w:val="24"/>
                  <w:u w:val="single" w:color="000000"/>
                </w:rPr>
                <w:t>(/ICECI/Compliance Manuals/Compliance PolicyGuidance Manual/ucm117042.htm)</w:t>
              </w:r>
            </w:hyperlink>
          </w:p>
        </w:tc>
      </w:tr>
      <w:bookmarkEnd w:id="1"/>
      <w:bookmarkEnd w:id="2"/>
    </w:tbl>
    <w:p w:rsidR="009F0C2A" w:rsidRDefault="009F0C2A" w:rsidP="00A72F5F">
      <w:pPr>
        <w:snapToGrid w:val="0"/>
        <w:spacing w:afterLines="50" w:after="120" w:line="300" w:lineRule="auto"/>
        <w:jc w:val="both"/>
      </w:pPr>
    </w:p>
    <w:sectPr w:rsidR="009F0C2A" w:rsidSect="00A72F5F">
      <w:headerReference w:type="default" r:id="rId12"/>
      <w:footerReference w:type="default" r:id="rId13"/>
      <w:pgSz w:w="11900" w:h="16820"/>
      <w:pgMar w:top="567" w:right="567" w:bottom="567" w:left="567" w:header="290" w:footer="27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C2A" w:rsidRDefault="00364FCF">
      <w:r>
        <w:separator/>
      </w:r>
    </w:p>
  </w:endnote>
  <w:endnote w:type="continuationSeparator" w:id="0">
    <w:p w:rsidR="009F0C2A" w:rsidRDefault="00364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0F0" w:rsidRDefault="005E2AD4">
    <w:pPr>
      <w:spacing w:line="14" w:lineRule="auto"/>
      <w:rPr>
        <w:sz w:val="20"/>
        <w:szCs w:val="20"/>
      </w:rPr>
    </w:pPr>
    <w:r>
      <w:rPr>
        <w:noProof/>
      </w:rPr>
      <mc:AlternateContent>
        <mc:Choice Requires="wps">
          <w:drawing>
            <wp:anchor distT="0" distB="0" distL="114300" distR="114300" simplePos="0" relativeHeight="503312648" behindDoc="1" locked="0" layoutInCell="1" allowOverlap="1">
              <wp:simplePos x="0" y="0"/>
              <wp:positionH relativeFrom="page">
                <wp:posOffset>317500</wp:posOffset>
              </wp:positionH>
              <wp:positionV relativeFrom="page">
                <wp:posOffset>10369550</wp:posOffset>
              </wp:positionV>
              <wp:extent cx="4225290" cy="127000"/>
              <wp:effectExtent l="3175" t="0" r="635" b="0"/>
              <wp:wrapNone/>
              <wp:docPr id="2" name="9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529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60F0" w:rsidRDefault="00364FCF">
                          <w:pPr>
                            <w:spacing w:line="184" w:lineRule="exact"/>
                            <w:ind w:left="20"/>
                            <w:rPr>
                              <w:rFonts w:ascii="Arial" w:eastAsia="宋体" w:hAnsi="Arial" w:cs="Arial"/>
                              <w:sz w:val="16"/>
                              <w:szCs w:val="16"/>
                            </w:rPr>
                          </w:pPr>
                          <w:r>
                            <w:rPr>
                              <w:rFonts w:ascii="Arial" w:eastAsia="宋体" w:hint="eastAsia"/>
                              <w:sz w:val="16"/>
                            </w:rPr>
                            <w:t>https://</w:t>
                          </w:r>
                          <w:hyperlink r:id="rId1">
                            <w:r>
                              <w:rPr>
                                <w:rFonts w:ascii="Arial" w:eastAsia="宋体" w:hint="eastAsia"/>
                                <w:sz w:val="16"/>
                              </w:rPr>
                              <w:t>www.fda.gov/ICECI/ComplianceManuals/CompliancePolicyGuidanceManual/ucm073929.htm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955" o:spid="_x0000_s1026" type="#_x0000_t202" style="position:absolute;margin-left:25pt;margin-top:816.5pt;width:332.7pt;height:10pt;z-index:-3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" filled="f" stroked="f">
              <v:textbox inset="0,0,0,0">
                <w:txbxContent>
                  <w:p w:rsidR="007360F0" w:rsidRDefault="00364FCF">
                    <w:pPr>
                      <w:spacing w:line="184" w:lineRule="exact"/>
                      <w:ind w:left="20"/>
                      <w:rPr>
                        <w:rFonts w:ascii="Arial" w:eastAsia="宋体" w:hAnsi="Arial" w:cs="Arial"/>
                        <w:sz w:val="16"/>
                        <w:szCs w:val="16"/>
                      </w:rPr>
                    </w:pPr>
                    <w:r>
                      <w:rPr>
                        <w:rFonts w:ascii="Arial" w:eastAsia="宋体" w:hint="eastAsia"/>
                        <w:sz w:val="16"/>
                      </w:rPr>
                      <w:t>https://</w:t>
                    </w:r>
                    <w:hyperlink r:id="rId2">
                      <w:r>
                        <w:rPr>
                          <w:rFonts w:ascii="Arial" w:eastAsia="宋体" w:hint="eastAsia"/>
                          <w:sz w:val="16"/>
                        </w:rPr>
                        <w:t>www.fda.gov/ICECI/ComplianceManuals/CompliancePolicyGuidanceManual/ucm073929.htm</w:t>
                      </w:r>
                    </w:hyperlink>
                  </w:p>
                </w:txbxContent>
              </v:textbox>
              <w10:wrap anchorx="page" anchory="page"/>
            </v:shape>
          </w:pict>
        </mc:Fallback>
      </mc:AlternateContent>
    </w:r>
    <w:r>
      <w:rPr>
        <w:noProof/>
      </w:rPr>
      <mc:AlternateContent>
        <mc:Choice Requires="wps">
          <w:drawing>
            <wp:anchor distT="0" distB="0" distL="114300" distR="114300" simplePos="0" relativeHeight="503312672" behindDoc="1" locked="0" layoutInCell="1" allowOverlap="1">
              <wp:simplePos x="0" y="0"/>
              <wp:positionH relativeFrom="page">
                <wp:posOffset>7073900</wp:posOffset>
              </wp:positionH>
              <wp:positionV relativeFrom="page">
                <wp:posOffset>10369550</wp:posOffset>
              </wp:positionV>
              <wp:extent cx="170815" cy="127000"/>
              <wp:effectExtent l="0" t="0" r="3810" b="0"/>
              <wp:wrapNone/>
              <wp:docPr id="1" name="4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60F0" w:rsidRDefault="00364FCF">
                          <w:pPr>
                            <w:spacing w:line="184" w:lineRule="exact"/>
                            <w:ind w:left="40"/>
                            <w:rPr>
                              <w:rFonts w:ascii="Arial" w:eastAsia="宋体" w:hAnsi="Arial" w:cs="Arial"/>
                              <w:sz w:val="16"/>
                              <w:szCs w:val="16"/>
                            </w:rPr>
                          </w:pPr>
                          <w:r>
                            <w:fldChar w:fldCharType="begin"/>
                          </w:r>
                          <w:r>
                            <w:rPr>
                              <w:rFonts w:ascii="Arial" w:eastAsia="宋体" w:hint="eastAsia"/>
                              <w:sz w:val="16"/>
                            </w:rPr>
                            <w:instrText xml:space="preserve"> PAGE </w:instrText>
                          </w:r>
                          <w:r>
                            <w:fldChar w:fldCharType="separate"/>
                          </w:r>
                          <w:r w:rsidR="00985F7B">
                            <w:rPr>
                              <w:rFonts w:ascii="Arial" w:eastAsia="宋体"/>
                              <w:noProof/>
                              <w:sz w:val="16"/>
                            </w:rPr>
                            <w:t>1</w:t>
                          </w:r>
                          <w:r>
                            <w:fldChar w:fldCharType="end"/>
                          </w:r>
                          <w:r>
                            <w:rPr>
                              <w:rFonts w:ascii="Arial" w:eastAsia="宋体" w:hint="eastAsia"/>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4576" o:spid="_x0000_s1027" type="#_x0000_t202" style="position:absolute;margin-left:557pt;margin-top:816.5pt;width:13.45pt;height:10pt;z-index:-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" filled="f" stroked="f">
              <v:textbox inset="0,0,0,0">
                <w:txbxContent>
                  <w:p w:rsidR="007360F0" w:rsidRDefault="00364FCF">
                    <w:pPr>
                      <w:spacing w:line="184" w:lineRule="exact"/>
                      <w:ind w:left="40"/>
                      <w:rPr>
                        <w:rFonts w:ascii="Arial" w:eastAsia="宋体" w:hAnsi="Arial" w:cs="Arial"/>
                        <w:sz w:val="16"/>
                        <w:szCs w:val="16"/>
                      </w:rPr>
                    </w:pPr>
                    <w:r>
                      <w:fldChar w:fldCharType="begin"/>
                    </w:r>
                    <w:r>
                      <w:rPr>
                        <w:rFonts w:ascii="Arial" w:eastAsia="宋体" w:hint="eastAsia"/>
                        <w:sz w:val="16"/>
                      </w:rPr>
                      <w:instrText xml:space="preserve"> PAGE </w:instrText>
                    </w:r>
                    <w:r>
                      <w:fldChar w:fldCharType="separate"/>
                    </w:r>
                    <w:r w:rsidR="00985F7B">
                      <w:rPr>
                        <w:rFonts w:ascii="Arial" w:eastAsia="宋体"/>
                        <w:noProof/>
                        <w:sz w:val="16"/>
                      </w:rPr>
                      <w:t>1</w:t>
                    </w:r>
                    <w:r>
                      <w:fldChar w:fldCharType="end"/>
                    </w:r>
                    <w:r>
                      <w:rPr>
                        <w:rFonts w:ascii="Arial" w:eastAsia="宋体" w:hint="eastAsia"/>
                        <w:sz w:val="16"/>
                      </w:rPr>
                      <w:t>/2</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C2A" w:rsidRDefault="00364FCF">
      <w:r>
        <w:separator/>
      </w:r>
    </w:p>
  </w:footnote>
  <w:footnote w:type="continuationSeparator" w:id="0">
    <w:p w:rsidR="009F0C2A" w:rsidRDefault="00364F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F5F" w:rsidRPr="00A72F5F" w:rsidRDefault="00A72F5F" w:rsidP="00A72F5F">
    <w:pPr>
      <w:tabs>
        <w:tab w:val="left" w:pos="3402"/>
      </w:tabs>
      <w:snapToGrid w:val="0"/>
      <w:spacing w:afterLines="200" w:after="480" w:line="300" w:lineRule="auto"/>
      <w:ind w:left="20"/>
      <w:rPr>
        <w:rFonts w:ascii="Arial" w:eastAsia="宋体" w:hAnsi="Arial" w:cs="Arial"/>
        <w:sz w:val="15"/>
        <w:szCs w:val="15"/>
      </w:rPr>
    </w:pPr>
    <w:r w:rsidRPr="00A72F5F">
      <w:rPr>
        <w:rFonts w:ascii="Arial" w:eastAsia="宋体" w:hint="eastAsia"/>
        <w:sz w:val="15"/>
        <w:szCs w:val="15"/>
      </w:rPr>
      <w:t>2017</w:t>
    </w:r>
    <w:r w:rsidRPr="00A72F5F">
      <w:rPr>
        <w:rFonts w:ascii="Arial" w:eastAsia="宋体" w:hint="eastAsia"/>
        <w:sz w:val="15"/>
        <w:szCs w:val="15"/>
      </w:rPr>
      <w:t>年</w:t>
    </w:r>
    <w:r w:rsidRPr="00A72F5F">
      <w:rPr>
        <w:rFonts w:ascii="Arial" w:eastAsia="宋体" w:hint="eastAsia"/>
        <w:sz w:val="15"/>
        <w:szCs w:val="15"/>
      </w:rPr>
      <w:t>8</w:t>
    </w:r>
    <w:r w:rsidRPr="00A72F5F">
      <w:rPr>
        <w:rFonts w:ascii="Arial" w:eastAsia="宋体" w:hint="eastAsia"/>
        <w:sz w:val="15"/>
        <w:szCs w:val="15"/>
      </w:rPr>
      <w:t>月</w:t>
    </w:r>
    <w:r w:rsidRPr="00A72F5F">
      <w:rPr>
        <w:rFonts w:ascii="Arial" w:eastAsia="宋体" w:hint="eastAsia"/>
        <w:sz w:val="15"/>
        <w:szCs w:val="15"/>
      </w:rPr>
      <w:t>10</w:t>
    </w:r>
    <w:r w:rsidRPr="00A72F5F">
      <w:rPr>
        <w:rFonts w:ascii="Arial" w:eastAsia="宋体" w:hint="eastAsia"/>
        <w:sz w:val="15"/>
        <w:szCs w:val="15"/>
      </w:rPr>
      <w:t>日</w:t>
    </w:r>
    <w:r w:rsidRPr="00A72F5F">
      <w:rPr>
        <w:rFonts w:ascii="Arial" w:eastAsia="宋体" w:hint="eastAsia"/>
        <w:sz w:val="15"/>
        <w:szCs w:val="15"/>
      </w:rPr>
      <w:tab/>
    </w:r>
    <w:r w:rsidRPr="00A72F5F">
      <w:rPr>
        <w:rFonts w:ascii="Arial" w:eastAsia="宋体" w:hint="eastAsia"/>
        <w:sz w:val="15"/>
        <w:szCs w:val="15"/>
      </w:rPr>
      <w:t>合</w:t>
    </w:r>
    <w:proofErr w:type="gramStart"/>
    <w:r w:rsidRPr="00A72F5F">
      <w:rPr>
        <w:rFonts w:ascii="Arial" w:eastAsia="宋体" w:hint="eastAsia"/>
        <w:sz w:val="15"/>
        <w:szCs w:val="15"/>
      </w:rPr>
      <w:t>规</w:t>
    </w:r>
    <w:proofErr w:type="gramEnd"/>
    <w:r w:rsidRPr="00A72F5F">
      <w:rPr>
        <w:rFonts w:ascii="Arial" w:eastAsia="宋体" w:hint="eastAsia"/>
        <w:sz w:val="15"/>
        <w:szCs w:val="15"/>
      </w:rPr>
      <w:t>政策指南</w:t>
    </w:r>
    <w:r w:rsidRPr="00A72F5F">
      <w:rPr>
        <w:rFonts w:ascii="Arial" w:eastAsia="宋体" w:hint="eastAsia"/>
        <w:sz w:val="15"/>
        <w:szCs w:val="15"/>
      </w:rPr>
      <w:t>&gt;CPG</w:t>
    </w:r>
    <w:r w:rsidRPr="00A72F5F">
      <w:rPr>
        <w:rFonts w:ascii="Arial" w:eastAsia="宋体" w:hint="eastAsia"/>
        <w:sz w:val="15"/>
        <w:szCs w:val="15"/>
      </w:rPr>
      <w:t>章节</w:t>
    </w:r>
    <w:r w:rsidRPr="00A72F5F">
      <w:rPr>
        <w:rFonts w:ascii="Arial" w:eastAsia="宋体" w:hint="eastAsia"/>
        <w:sz w:val="15"/>
        <w:szCs w:val="15"/>
      </w:rPr>
      <w:t>398.200</w:t>
    </w:r>
    <w:r w:rsidRPr="00A72F5F">
      <w:rPr>
        <w:rFonts w:ascii="Arial" w:eastAsia="宋体" w:hint="eastAsia"/>
        <w:sz w:val="15"/>
        <w:szCs w:val="15"/>
      </w:rPr>
      <w:t>危险诊断</w:t>
    </w:r>
    <w:r w:rsidRPr="00A72F5F">
      <w:rPr>
        <w:rFonts w:ascii="Arial" w:eastAsia="宋体" w:hint="eastAsia"/>
        <w:sz w:val="15"/>
        <w:szCs w:val="15"/>
      </w:rPr>
      <w:t>X</w:t>
    </w:r>
    <w:r w:rsidRPr="00A72F5F">
      <w:rPr>
        <w:rFonts w:ascii="Arial" w:eastAsia="宋体" w:hint="eastAsia"/>
        <w:sz w:val="15"/>
        <w:szCs w:val="15"/>
      </w:rPr>
      <w:t>射线系统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0F0"/>
    <w:rsid w:val="00364FCF"/>
    <w:rsid w:val="005E2AD4"/>
    <w:rsid w:val="007360F0"/>
    <w:rsid w:val="00985F7B"/>
    <w:rsid w:val="009F0C2A"/>
    <w:rsid w:val="00A72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pPr>
    <w:rPr>
      <w:rFonts w:ascii="Arial" w:eastAsia="宋体" w:hAnsi="Arial"/>
      <w:sz w:val="25"/>
      <w:szCs w:val="25"/>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364F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64FCF"/>
    <w:rPr>
      <w:sz w:val="18"/>
      <w:szCs w:val="18"/>
    </w:rPr>
  </w:style>
  <w:style w:type="paragraph" w:styleId="a6">
    <w:name w:val="footer"/>
    <w:basedOn w:val="a"/>
    <w:link w:val="Char0"/>
    <w:uiPriority w:val="99"/>
    <w:unhideWhenUsed/>
    <w:rsid w:val="00364FCF"/>
    <w:pPr>
      <w:tabs>
        <w:tab w:val="center" w:pos="4153"/>
        <w:tab w:val="right" w:pos="8306"/>
      </w:tabs>
      <w:snapToGrid w:val="0"/>
    </w:pPr>
    <w:rPr>
      <w:sz w:val="18"/>
      <w:szCs w:val="18"/>
    </w:rPr>
  </w:style>
  <w:style w:type="character" w:customStyle="1" w:styleId="Char0">
    <w:name w:val="页脚 Char"/>
    <w:basedOn w:val="a0"/>
    <w:link w:val="a6"/>
    <w:uiPriority w:val="99"/>
    <w:rsid w:val="00364FC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pPr>
    <w:rPr>
      <w:rFonts w:ascii="Arial" w:eastAsia="宋体" w:hAnsi="Arial"/>
      <w:sz w:val="25"/>
      <w:szCs w:val="25"/>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364F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64FCF"/>
    <w:rPr>
      <w:sz w:val="18"/>
      <w:szCs w:val="18"/>
    </w:rPr>
  </w:style>
  <w:style w:type="paragraph" w:styleId="a6">
    <w:name w:val="footer"/>
    <w:basedOn w:val="a"/>
    <w:link w:val="Char0"/>
    <w:uiPriority w:val="99"/>
    <w:unhideWhenUsed/>
    <w:rsid w:val="00364FCF"/>
    <w:pPr>
      <w:tabs>
        <w:tab w:val="center" w:pos="4153"/>
        <w:tab w:val="right" w:pos="8306"/>
      </w:tabs>
      <w:snapToGrid w:val="0"/>
    </w:pPr>
    <w:rPr>
      <w:sz w:val="18"/>
      <w:szCs w:val="18"/>
    </w:rPr>
  </w:style>
  <w:style w:type="character" w:customStyle="1" w:styleId="Char0">
    <w:name w:val="页脚 Char"/>
    <w:basedOn w:val="a0"/>
    <w:link w:val="a6"/>
    <w:uiPriority w:val="99"/>
    <w:rsid w:val="00364FC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fda.gov/ICECI/ComplianceManuals/CompliancePolicyGuidanceManual/ucm116336.ht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da.gov/ICECI/ComplianceManuals/CompliancePolicyGuidanceManual/ucm116280.htm"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fda.gov/ICECI/ComplianceManuals/CompliancePolicyGuidanceManual/ucm117042.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fda.gov/ICECI/ComplianceManuals/CompliancePolicyGuidanceManual/ucm119572.htm" TargetMode="External"/><Relationship Id="rId4" Type="http://schemas.openxmlformats.org/officeDocument/2006/relationships/webSettings" Target="webSettings.xml"/><Relationship Id="rId9" Type="http://schemas.openxmlformats.org/officeDocument/2006/relationships/hyperlink" Target="https://www.fda.gov/ICECI/ComplianceManuals/CompliancePolicyGuidanceManual/ucm116801.ht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fda.gov/ICECI/ComplianceManuals/CompliancePolicyGuidanceManual/ucm073929.htm" TargetMode="External"/><Relationship Id="rId1" Type="http://schemas.openxmlformats.org/officeDocument/2006/relationships/hyperlink" Target="http://www.fda.gov/ICECI/ComplianceManuals/CompliancePolicyGuidanceManual/ucm07392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307</Words>
  <Characters>1752</Characters>
  <Application>Microsoft Office Word</Application>
  <DocSecurity>0</DocSecurity>
  <Lines>14</Lines>
  <Paragraphs>4</Paragraphs>
  <ScaleCrop>false</ScaleCrop>
  <Company>Microsoft</Company>
  <LinksUpToDate>false</LinksUpToDate>
  <CharactersWithSpaces>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cathy-wen</dc:creator>
  <cp:lastModifiedBy>cathy-wen</cp:lastModifiedBy>
  <cp:revision>2</cp:revision>
  <dcterms:created xsi:type="dcterms:W3CDTF">2017-11-17T12:31:00Z</dcterms:created>
  <dcterms:modified xsi:type="dcterms:W3CDTF">2017-11-17T12:31:00Z</dcterms:modified>
</cp:coreProperties>
</file>