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EB" w:rsidRDefault="009964DB" w:rsidP="00E828F6">
      <w:pPr>
        <w:overflowPunct w:val="0"/>
        <w:snapToGrid w:val="0"/>
        <w:spacing w:beforeLines="600" w:before="1440" w:afterLines="50" w:after="120" w:line="300" w:lineRule="auto"/>
        <w:rPr>
          <w:rFonts w:ascii="Arial" w:eastAsia="宋体" w:hAnsi="Arial" w:cs="Arial"/>
          <w:sz w:val="64"/>
          <w:szCs w:val="64"/>
        </w:rPr>
      </w:pPr>
      <w:r>
        <w:rPr>
          <w:rFonts w:ascii="Arial" w:eastAsia="宋体" w:hint="eastAsia"/>
          <w:b/>
          <w:sz w:val="64"/>
        </w:rPr>
        <w:t>CPG</w:t>
      </w:r>
      <w:r>
        <w:rPr>
          <w:rFonts w:ascii="Arial" w:eastAsia="宋体" w:hint="eastAsia"/>
          <w:b/>
          <w:sz w:val="64"/>
        </w:rPr>
        <w:t>章节</w:t>
      </w:r>
      <w:r>
        <w:rPr>
          <w:rFonts w:ascii="Arial" w:eastAsia="宋体" w:hint="eastAsia"/>
          <w:b/>
          <w:sz w:val="64"/>
        </w:rPr>
        <w:t xml:space="preserve">397.100 </w:t>
      </w:r>
      <w:r>
        <w:rPr>
          <w:rFonts w:ascii="Arial" w:eastAsia="宋体" w:hint="eastAsia"/>
          <w:b/>
          <w:sz w:val="64"/>
        </w:rPr>
        <w:t>瞬时</w:t>
      </w:r>
      <w:r w:rsidR="003E638A">
        <w:rPr>
          <w:rFonts w:ascii="Arial" w:eastAsia="宋体" w:hint="eastAsia"/>
          <w:b/>
          <w:sz w:val="64"/>
        </w:rPr>
        <w:t>-</w:t>
      </w:r>
      <w:r>
        <w:rPr>
          <w:rFonts w:ascii="Arial" w:eastAsia="宋体" w:hint="eastAsia"/>
          <w:b/>
          <w:sz w:val="64"/>
        </w:rPr>
        <w:t>最大超声功率指示的精确度要求</w:t>
      </w:r>
      <w:r>
        <w:rPr>
          <w:rFonts w:ascii="Arial" w:eastAsia="宋体" w:hint="eastAsia"/>
          <w:b/>
          <w:sz w:val="64"/>
        </w:rPr>
        <w:t>, 21 CFR 1050.10(c)(1)(ii)</w:t>
      </w:r>
    </w:p>
    <w:p w:rsidR="007E75EB" w:rsidRPr="0011572D" w:rsidRDefault="009964DB" w:rsidP="0011572D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11572D">
        <w:rPr>
          <w:rFonts w:hint="eastAsia"/>
          <w:sz w:val="28"/>
          <w:szCs w:val="28"/>
        </w:rPr>
        <w:t>背景：</w:t>
      </w:r>
    </w:p>
    <w:p w:rsidR="007E75EB" w:rsidRPr="0011572D" w:rsidRDefault="009964DB" w:rsidP="0011572D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11572D">
        <w:rPr>
          <w:rFonts w:hint="eastAsia"/>
          <w:sz w:val="28"/>
          <w:szCs w:val="28"/>
        </w:rPr>
        <w:t>超声治疗性能标准的主题段要求，具有幅度调制（脉冲）输出波形的装置提供瞬时</w:t>
      </w:r>
      <w:r w:rsidR="003E638A" w:rsidRPr="0011572D">
        <w:rPr>
          <w:rFonts w:hint="eastAsia"/>
          <w:sz w:val="28"/>
          <w:szCs w:val="28"/>
        </w:rPr>
        <w:t>-</w:t>
      </w:r>
      <w:r w:rsidRPr="0011572D">
        <w:rPr>
          <w:rFonts w:hint="eastAsia"/>
          <w:sz w:val="28"/>
          <w:szCs w:val="28"/>
        </w:rPr>
        <w:t>最大超声功率和强度的指示。该要求还规定，</w:t>
      </w:r>
      <w:r w:rsidRPr="00280603">
        <w:rPr>
          <w:rFonts w:hint="eastAsia"/>
          <w:sz w:val="28"/>
          <w:szCs w:val="28"/>
        </w:rPr>
        <w:t>对超过最大排放量</w:t>
      </w:r>
      <w:r w:rsidRPr="00280603">
        <w:rPr>
          <w:rFonts w:hint="eastAsia"/>
          <w:sz w:val="28"/>
          <w:szCs w:val="28"/>
        </w:rPr>
        <w:t>10</w:t>
      </w:r>
      <w:r w:rsidRPr="00280603">
        <w:rPr>
          <w:rFonts w:hint="eastAsia"/>
          <w:sz w:val="28"/>
          <w:szCs w:val="28"/>
        </w:rPr>
        <w:t>％的所有排放物，瞬时</w:t>
      </w:r>
      <w:r w:rsidRPr="00280603">
        <w:rPr>
          <w:rFonts w:hint="eastAsia"/>
          <w:sz w:val="28"/>
          <w:szCs w:val="28"/>
        </w:rPr>
        <w:t xml:space="preserve">- </w:t>
      </w:r>
      <w:r w:rsidRPr="00280603">
        <w:rPr>
          <w:rFonts w:hint="eastAsia"/>
          <w:sz w:val="28"/>
          <w:szCs w:val="28"/>
        </w:rPr>
        <w:t>最大超声功率指示和瞬时</w:t>
      </w:r>
      <w:r w:rsidRPr="00280603">
        <w:rPr>
          <w:rFonts w:hint="eastAsia"/>
          <w:sz w:val="28"/>
          <w:szCs w:val="28"/>
        </w:rPr>
        <w:t>-</w:t>
      </w:r>
      <w:r w:rsidRPr="00280603">
        <w:rPr>
          <w:rFonts w:hint="eastAsia"/>
          <w:sz w:val="28"/>
          <w:szCs w:val="28"/>
        </w:rPr>
        <w:t>最大</w:t>
      </w:r>
      <w:r w:rsidRPr="00280603">
        <w:rPr>
          <w:rFonts w:hint="eastAsia"/>
          <w:sz w:val="28"/>
          <w:szCs w:val="28"/>
        </w:rPr>
        <w:t>-</w:t>
      </w:r>
      <w:r w:rsidRPr="00280603">
        <w:rPr>
          <w:rFonts w:hint="eastAsia"/>
          <w:sz w:val="28"/>
          <w:szCs w:val="28"/>
        </w:rPr>
        <w:t>瞬时平均强度比值的误差总和不得超过</w:t>
      </w:r>
      <w:r w:rsidRPr="00280603">
        <w:rPr>
          <w:rFonts w:hint="eastAsia"/>
          <w:sz w:val="28"/>
          <w:szCs w:val="28"/>
        </w:rPr>
        <w:t>+ 20</w:t>
      </w:r>
      <w:r w:rsidRPr="00280603">
        <w:rPr>
          <w:rFonts w:hint="eastAsia"/>
          <w:sz w:val="28"/>
          <w:szCs w:val="28"/>
        </w:rPr>
        <w:t>％。</w:t>
      </w:r>
    </w:p>
    <w:p w:rsidR="007E75EB" w:rsidRPr="0011572D" w:rsidRDefault="009964DB" w:rsidP="0011572D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11572D">
        <w:rPr>
          <w:rFonts w:hint="eastAsia"/>
          <w:sz w:val="28"/>
          <w:szCs w:val="28"/>
        </w:rPr>
        <w:t>以这种方式规定了该准确度要求，即，作为误差的总和，以便将指示中的误差与瞬时</w:t>
      </w:r>
      <w:r w:rsidR="003E638A" w:rsidRPr="0011572D">
        <w:rPr>
          <w:rFonts w:hint="eastAsia"/>
          <w:sz w:val="28"/>
          <w:szCs w:val="28"/>
        </w:rPr>
        <w:t>-</w:t>
      </w:r>
      <w:r w:rsidRPr="0011572D">
        <w:rPr>
          <w:rFonts w:hint="eastAsia"/>
          <w:sz w:val="28"/>
          <w:szCs w:val="28"/>
        </w:rPr>
        <w:t>平均功率的测量中的不确定性相关联。在当前的现有技术中，瞬时</w:t>
      </w:r>
      <w:r w:rsidR="003E638A" w:rsidRPr="0011572D">
        <w:rPr>
          <w:rFonts w:hint="eastAsia"/>
          <w:sz w:val="28"/>
          <w:szCs w:val="28"/>
        </w:rPr>
        <w:t>-</w:t>
      </w:r>
      <w:r w:rsidRPr="0011572D">
        <w:rPr>
          <w:rFonts w:hint="eastAsia"/>
          <w:sz w:val="28"/>
          <w:szCs w:val="28"/>
        </w:rPr>
        <w:t>平均功率的测量可以比瞬时</w:t>
      </w:r>
      <w:r w:rsidR="003E638A" w:rsidRPr="0011572D">
        <w:rPr>
          <w:rFonts w:hint="eastAsia"/>
          <w:sz w:val="28"/>
          <w:szCs w:val="28"/>
        </w:rPr>
        <w:t>-</w:t>
      </w:r>
      <w:r w:rsidRPr="0011572D">
        <w:rPr>
          <w:rFonts w:hint="eastAsia"/>
          <w:sz w:val="28"/>
          <w:szCs w:val="28"/>
        </w:rPr>
        <w:t>最大功率的测量更精确（例如，通过辐射力技术），其目前必须依赖于水听器测量。此外，许多超声治疗器械能够在脉冲或连续模式下运行；由于这种器械的生产测试将包括瞬时</w:t>
      </w:r>
      <w:r w:rsidR="003E638A" w:rsidRPr="0011572D">
        <w:rPr>
          <w:rFonts w:hint="eastAsia"/>
          <w:sz w:val="28"/>
          <w:szCs w:val="28"/>
        </w:rPr>
        <w:t>-</w:t>
      </w:r>
      <w:r w:rsidRPr="0011572D">
        <w:rPr>
          <w:rFonts w:hint="eastAsia"/>
          <w:sz w:val="28"/>
          <w:szCs w:val="28"/>
        </w:rPr>
        <w:t>平均功率的测量（以校准连续模式），因此将脉冲模式的校准与相同的测量相关联是合理的。</w:t>
      </w:r>
    </w:p>
    <w:p w:rsidR="007E75EB" w:rsidRPr="0011572D" w:rsidRDefault="009964DB" w:rsidP="0011572D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11572D">
        <w:rPr>
          <w:rFonts w:hint="eastAsia"/>
          <w:sz w:val="28"/>
          <w:szCs w:val="28"/>
        </w:rPr>
        <w:t>该部分的标准的实际措辞在用户和制造商之间造成了一些混乱。</w:t>
      </w:r>
      <w:r w:rsidRPr="0011572D">
        <w:rPr>
          <w:rFonts w:hint="eastAsia"/>
          <w:sz w:val="28"/>
          <w:szCs w:val="28"/>
        </w:rPr>
        <w:t>*</w:t>
      </w:r>
      <w:r w:rsidRPr="0011572D">
        <w:rPr>
          <w:rFonts w:hint="eastAsia"/>
          <w:sz w:val="28"/>
          <w:szCs w:val="28"/>
        </w:rPr>
        <w:t>器械和放射卫生中心</w:t>
      </w:r>
      <w:r w:rsidRPr="0011572D">
        <w:rPr>
          <w:rFonts w:hint="eastAsia"/>
          <w:sz w:val="28"/>
          <w:szCs w:val="28"/>
        </w:rPr>
        <w:t>*</w:t>
      </w:r>
      <w:r w:rsidRPr="0011572D">
        <w:rPr>
          <w:rFonts w:hint="eastAsia"/>
          <w:sz w:val="28"/>
          <w:szCs w:val="28"/>
        </w:rPr>
        <w:t>计划正式修订标准，以便更清楚的说明要求。修订过程需要一定的时间；在过渡期内，关于脉冲模式校准的代理政策将如下所列。</w:t>
      </w:r>
    </w:p>
    <w:p w:rsidR="007E75EB" w:rsidRPr="0011572D" w:rsidRDefault="009964DB" w:rsidP="0011572D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11572D">
        <w:rPr>
          <w:rFonts w:hint="eastAsia"/>
          <w:sz w:val="28"/>
          <w:szCs w:val="28"/>
        </w:rPr>
        <w:t>政策：</w:t>
      </w:r>
    </w:p>
    <w:p w:rsidR="007E75EB" w:rsidRPr="0011572D" w:rsidRDefault="009964DB" w:rsidP="0011572D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11572D">
        <w:rPr>
          <w:rFonts w:hint="eastAsia"/>
          <w:sz w:val="28"/>
          <w:szCs w:val="28"/>
        </w:rPr>
        <w:t>关于脉冲模式校准的意图可以说明如下</w:t>
      </w:r>
      <w:r w:rsidR="00664B26" w:rsidRPr="0011572D">
        <w:rPr>
          <w:rFonts w:hint="eastAsia"/>
          <w:sz w:val="28"/>
          <w:szCs w:val="28"/>
        </w:rPr>
        <w:t>：</w:t>
      </w:r>
      <w:r w:rsidRPr="0011572D">
        <w:rPr>
          <w:rFonts w:hint="eastAsia"/>
          <w:sz w:val="28"/>
          <w:szCs w:val="28"/>
        </w:rPr>
        <w:t>必须指出瞬时</w:t>
      </w:r>
      <w:r w:rsidRPr="0011572D">
        <w:rPr>
          <w:rFonts w:hint="eastAsia"/>
          <w:sz w:val="28"/>
          <w:szCs w:val="28"/>
        </w:rPr>
        <w:t>-</w:t>
      </w:r>
      <w:r w:rsidRPr="0011572D">
        <w:rPr>
          <w:rFonts w:hint="eastAsia"/>
          <w:sz w:val="28"/>
          <w:szCs w:val="28"/>
        </w:rPr>
        <w:t>最大的功率和强度，并且必须指定瞬时</w:t>
      </w:r>
      <w:r w:rsidRPr="0011572D">
        <w:rPr>
          <w:rFonts w:hint="eastAsia"/>
          <w:sz w:val="28"/>
          <w:szCs w:val="28"/>
        </w:rPr>
        <w:t>-</w:t>
      </w:r>
      <w:r w:rsidRPr="0011572D">
        <w:rPr>
          <w:rFonts w:hint="eastAsia"/>
          <w:sz w:val="28"/>
          <w:szCs w:val="28"/>
        </w:rPr>
        <w:t>峰值与瞬时</w:t>
      </w:r>
      <w:r w:rsidRPr="0011572D">
        <w:rPr>
          <w:rFonts w:hint="eastAsia"/>
          <w:sz w:val="28"/>
          <w:szCs w:val="28"/>
        </w:rPr>
        <w:t>-</w:t>
      </w:r>
      <w:r w:rsidRPr="0011572D">
        <w:rPr>
          <w:rFonts w:hint="eastAsia"/>
          <w:sz w:val="28"/>
          <w:szCs w:val="28"/>
        </w:rPr>
        <w:t>平均强度的比值。对于给定的输出控制设置，所指示的瞬时</w:t>
      </w:r>
      <w:r w:rsidRPr="0011572D">
        <w:rPr>
          <w:rFonts w:hint="eastAsia"/>
          <w:sz w:val="28"/>
          <w:szCs w:val="28"/>
        </w:rPr>
        <w:t>-</w:t>
      </w:r>
      <w:r w:rsidRPr="0011572D">
        <w:rPr>
          <w:rFonts w:hint="eastAsia"/>
          <w:sz w:val="28"/>
          <w:szCs w:val="28"/>
        </w:rPr>
        <w:t>最大功率除以强度比值将产生瞬时</w:t>
      </w:r>
      <w:r w:rsidR="003E638A" w:rsidRPr="0011572D">
        <w:rPr>
          <w:rFonts w:hint="eastAsia"/>
          <w:sz w:val="28"/>
          <w:szCs w:val="28"/>
        </w:rPr>
        <w:t>-</w:t>
      </w:r>
      <w:r w:rsidRPr="0011572D">
        <w:rPr>
          <w:rFonts w:hint="eastAsia"/>
          <w:sz w:val="28"/>
          <w:szCs w:val="28"/>
        </w:rPr>
        <w:t>平均功率的值。</w:t>
      </w:r>
    </w:p>
    <w:p w:rsidR="0011572D" w:rsidRPr="0011572D" w:rsidRDefault="0011572D" w:rsidP="0011572D">
      <w:pPr>
        <w:overflowPunct w:val="0"/>
        <w:snapToGrid w:val="0"/>
        <w:spacing w:afterLines="100" w:after="240"/>
        <w:jc w:val="both"/>
        <w:rPr>
          <w:sz w:val="28"/>
          <w:szCs w:val="28"/>
        </w:rPr>
      </w:pPr>
      <w:r w:rsidRPr="0011572D">
        <w:rPr>
          <w:sz w:val="28"/>
          <w:szCs w:val="28"/>
        </w:rPr>
        <w:br w:type="page"/>
      </w:r>
    </w:p>
    <w:p w:rsidR="007E75EB" w:rsidRPr="0011572D" w:rsidRDefault="009964DB" w:rsidP="0011572D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11572D">
        <w:rPr>
          <w:rFonts w:hint="eastAsia"/>
          <w:sz w:val="28"/>
          <w:szCs w:val="28"/>
        </w:rPr>
        <w:lastRenderedPageBreak/>
        <w:t>对于相同的输出控制设置，该计算值必须与瞬时</w:t>
      </w:r>
      <w:r w:rsidR="003E638A" w:rsidRPr="0011572D">
        <w:rPr>
          <w:rFonts w:hint="eastAsia"/>
          <w:sz w:val="28"/>
          <w:szCs w:val="28"/>
        </w:rPr>
        <w:t>-</w:t>
      </w:r>
      <w:r w:rsidRPr="0011572D">
        <w:rPr>
          <w:rFonts w:hint="eastAsia"/>
          <w:sz w:val="28"/>
          <w:szCs w:val="28"/>
        </w:rPr>
        <w:t>平均功率的测量值一致，在</w:t>
      </w:r>
      <w:r w:rsidRPr="0011572D">
        <w:rPr>
          <w:rFonts w:hint="eastAsia"/>
          <w:sz w:val="28"/>
          <w:szCs w:val="28"/>
        </w:rPr>
        <w:t>+ 20</w:t>
      </w:r>
      <w:r w:rsidRPr="0011572D">
        <w:rPr>
          <w:rFonts w:hint="eastAsia"/>
          <w:sz w:val="28"/>
          <w:szCs w:val="28"/>
        </w:rPr>
        <w:t>％以内。本政策将指导</w:t>
      </w:r>
      <w:r w:rsidRPr="0011572D">
        <w:rPr>
          <w:rFonts w:hint="eastAsia"/>
          <w:sz w:val="28"/>
          <w:szCs w:val="28"/>
        </w:rPr>
        <w:t>* CDRH</w:t>
      </w:r>
      <w:r w:rsidRPr="0011572D">
        <w:rPr>
          <w:rFonts w:hint="eastAsia"/>
          <w:sz w:val="28"/>
          <w:szCs w:val="28"/>
        </w:rPr>
        <w:t>的</w:t>
      </w:r>
      <w:r w:rsidRPr="0011572D">
        <w:rPr>
          <w:rFonts w:hint="eastAsia"/>
          <w:sz w:val="28"/>
          <w:szCs w:val="28"/>
        </w:rPr>
        <w:t>*</w:t>
      </w:r>
      <w:r w:rsidRPr="0011572D">
        <w:rPr>
          <w:rFonts w:hint="eastAsia"/>
          <w:sz w:val="28"/>
          <w:szCs w:val="28"/>
        </w:rPr>
        <w:t>符合性测试，并应指导制造商进行生产测试。当提出修正案发表评论时，以及正式修订程序完成时，将会通知制造商和相关方。</w:t>
      </w:r>
    </w:p>
    <w:p w:rsidR="003E638A" w:rsidRPr="0011572D" w:rsidRDefault="009964DB" w:rsidP="0011572D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11572D">
        <w:rPr>
          <w:rFonts w:hint="eastAsia"/>
          <w:sz w:val="28"/>
          <w:szCs w:val="28"/>
        </w:rPr>
        <w:t>*</w:t>
      </w:r>
      <w:r w:rsidRPr="0011572D">
        <w:rPr>
          <w:rFonts w:hint="eastAsia"/>
          <w:sz w:val="28"/>
          <w:szCs w:val="28"/>
        </w:rPr>
        <w:t>星号之间的材料是新材料或改进材料</w:t>
      </w:r>
      <w:r w:rsidRPr="0011572D">
        <w:rPr>
          <w:rFonts w:hint="eastAsia"/>
          <w:sz w:val="28"/>
          <w:szCs w:val="28"/>
        </w:rPr>
        <w:t>*</w:t>
      </w:r>
    </w:p>
    <w:p w:rsidR="007E75EB" w:rsidRPr="0011572D" w:rsidRDefault="009964DB" w:rsidP="0011572D">
      <w:pPr>
        <w:pStyle w:val="a3"/>
        <w:overflowPunct w:val="0"/>
        <w:snapToGrid w:val="0"/>
        <w:spacing w:line="300" w:lineRule="auto"/>
        <w:ind w:left="0"/>
        <w:jc w:val="both"/>
        <w:rPr>
          <w:sz w:val="28"/>
          <w:szCs w:val="28"/>
        </w:rPr>
      </w:pPr>
      <w:r w:rsidRPr="0011572D">
        <w:rPr>
          <w:rFonts w:hint="eastAsia"/>
          <w:sz w:val="28"/>
          <w:szCs w:val="28"/>
        </w:rPr>
        <w:t>发布日期：</w:t>
      </w:r>
      <w:r w:rsidRPr="0011572D">
        <w:rPr>
          <w:rFonts w:hint="eastAsia"/>
          <w:sz w:val="28"/>
          <w:szCs w:val="28"/>
        </w:rPr>
        <w:t>1980</w:t>
      </w:r>
      <w:r w:rsidR="003E638A" w:rsidRPr="0011572D">
        <w:rPr>
          <w:rFonts w:hint="eastAsia"/>
          <w:sz w:val="28"/>
          <w:szCs w:val="28"/>
        </w:rPr>
        <w:t>年</w:t>
      </w:r>
      <w:r w:rsidR="003E638A" w:rsidRPr="0011572D">
        <w:rPr>
          <w:rFonts w:hint="eastAsia"/>
          <w:sz w:val="28"/>
          <w:szCs w:val="28"/>
        </w:rPr>
        <w:t>10</w:t>
      </w:r>
      <w:r w:rsidR="003E638A" w:rsidRPr="0011572D">
        <w:rPr>
          <w:rFonts w:hint="eastAsia"/>
          <w:sz w:val="28"/>
          <w:szCs w:val="28"/>
        </w:rPr>
        <w:t>月</w:t>
      </w:r>
      <w:r w:rsidR="003E638A" w:rsidRPr="0011572D">
        <w:rPr>
          <w:rFonts w:hint="eastAsia"/>
          <w:sz w:val="28"/>
          <w:szCs w:val="28"/>
        </w:rPr>
        <w:t>1</w:t>
      </w:r>
      <w:r w:rsidR="003E638A" w:rsidRPr="0011572D">
        <w:rPr>
          <w:rFonts w:hint="eastAsia"/>
          <w:sz w:val="28"/>
          <w:szCs w:val="28"/>
        </w:rPr>
        <w:t>日</w:t>
      </w:r>
    </w:p>
    <w:p w:rsidR="007E75EB" w:rsidRPr="0011572D" w:rsidRDefault="009964DB" w:rsidP="0011572D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11572D">
        <w:rPr>
          <w:rFonts w:hint="eastAsia"/>
          <w:sz w:val="28"/>
          <w:szCs w:val="28"/>
        </w:rPr>
        <w:t>修订日期：</w:t>
      </w:r>
      <w:r w:rsidRPr="0011572D">
        <w:rPr>
          <w:rFonts w:hint="eastAsia"/>
          <w:sz w:val="28"/>
          <w:szCs w:val="28"/>
        </w:rPr>
        <w:t>1995</w:t>
      </w:r>
      <w:r w:rsidRPr="0011572D">
        <w:rPr>
          <w:rFonts w:hint="eastAsia"/>
          <w:sz w:val="28"/>
          <w:szCs w:val="28"/>
        </w:rPr>
        <w:t>年</w:t>
      </w:r>
      <w:r w:rsidRPr="0011572D">
        <w:rPr>
          <w:rFonts w:hint="eastAsia"/>
          <w:sz w:val="28"/>
          <w:szCs w:val="28"/>
        </w:rPr>
        <w:t>3</w:t>
      </w:r>
      <w:r w:rsidRPr="0011572D">
        <w:rPr>
          <w:rFonts w:hint="eastAsia"/>
          <w:sz w:val="28"/>
          <w:szCs w:val="28"/>
        </w:rPr>
        <w:t>月</w:t>
      </w:r>
      <w:bookmarkStart w:id="0" w:name="_GoBack"/>
      <w:bookmarkEnd w:id="0"/>
    </w:p>
    <w:p w:rsidR="007E75EB" w:rsidRDefault="007E75EB" w:rsidP="0011572D">
      <w:pPr>
        <w:overflowPunct w:val="0"/>
        <w:snapToGrid w:val="0"/>
        <w:spacing w:afterLines="50" w:after="120" w:line="30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0796"/>
      </w:tblGrid>
      <w:tr w:rsidR="0011572D" w:rsidRPr="0047588A" w:rsidTr="0014051E">
        <w:tc>
          <w:tcPr>
            <w:tcW w:w="5000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:rsidR="0011572D" w:rsidRPr="00077A93" w:rsidRDefault="00B44019" w:rsidP="0014051E">
            <w:pPr>
              <w:pStyle w:val="TableParagraph"/>
              <w:tabs>
                <w:tab w:val="left" w:pos="6854"/>
              </w:tabs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sz w:val="24"/>
                <w:szCs w:val="24"/>
                <w:u w:val="single"/>
              </w:rPr>
            </w:pPr>
            <w:hyperlink r:id="rId7">
              <w:r w:rsidR="0011572D" w:rsidRPr="00077A93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合规政策指南的更多信息</w:t>
              </w:r>
              <w:r w:rsidR="0011572D" w:rsidRPr="00077A93">
                <w:rPr>
                  <w:rFonts w:ascii="Arial" w:eastAsia="宋体"/>
                  <w:b/>
                  <w:sz w:val="24"/>
                  <w:szCs w:val="24"/>
                  <w:u w:val="single"/>
                </w:rPr>
                <w:br/>
              </w:r>
              <w:r w:rsidR="0011572D" w:rsidRPr="00077A93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(/ICECI/Compliance Manuals/Compliance PolicyGuidance Manual/default.htm)</w:t>
              </w:r>
            </w:hyperlink>
          </w:p>
        </w:tc>
      </w:tr>
      <w:tr w:rsidR="0011572D" w:rsidRPr="0047588A" w:rsidTr="0014051E">
        <w:tc>
          <w:tcPr>
            <w:tcW w:w="5000" w:type="pct"/>
            <w:tcBorders>
              <w:top w:val="single" w:sz="12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1572D" w:rsidRPr="0047588A" w:rsidRDefault="00B44019" w:rsidP="0014051E">
            <w:pPr>
              <w:pStyle w:val="TableParagraph"/>
              <w:tabs>
                <w:tab w:val="left" w:pos="6854"/>
              </w:tabs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8"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前言：合规政策指南（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CPG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）</w:t>
              </w:r>
              <w:r w:rsidR="0011572D" w:rsidRPr="0047588A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（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/ICECI/Compliance Manuals/Compliance PolicyGuidance Manual/ucm116271.htm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）</w:t>
              </w:r>
            </w:hyperlink>
            <w:r w:rsidR="0011572D" w:rsidRPr="0047588A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11572D" w:rsidRPr="0047588A" w:rsidTr="0014051E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1572D" w:rsidRPr="0047588A" w:rsidRDefault="00B44019" w:rsidP="0014051E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9"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第一章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通则</w:t>
              </w:r>
              <w:r w:rsidR="0011572D" w:rsidRPr="0047588A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（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/ICECI/Compliance Manuals/Compliance PolicyGuidance Manual/ucm116280.htm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  <w:tr w:rsidR="0011572D" w:rsidRPr="0047588A" w:rsidTr="0014051E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1572D" w:rsidRPr="0047588A" w:rsidRDefault="00B44019" w:rsidP="0014051E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0"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第二章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生物制剂</w:t>
              </w:r>
              <w:r w:rsidR="0011572D" w:rsidRPr="0047588A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（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/ICECI/Compliance Manuals/Compliance PolicyGuidance Manual/ucm116336.htm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  <w:tr w:rsidR="0011572D" w:rsidRPr="0047588A" w:rsidTr="0014051E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1572D" w:rsidRPr="0047588A" w:rsidRDefault="00B44019" w:rsidP="0014051E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1"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第三章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器械</w:t>
              </w:r>
              <w:r w:rsidR="0011572D" w:rsidRPr="0047588A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（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/ICECI/Compliance Manuals/Compliance PolicyGuidance Manual/ucm116801.htm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  <w:tr w:rsidR="0011572D" w:rsidRPr="0047588A" w:rsidTr="0014051E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1572D" w:rsidRPr="0047588A" w:rsidRDefault="00B44019" w:rsidP="0014051E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2"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第四章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人用药品</w:t>
              </w:r>
              <w:r w:rsidR="0011572D" w:rsidRPr="0047588A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（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/ICECI/Compliance Manuals/Compliance PolicyGuidance Manual/ucm119572.htm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  <w:tr w:rsidR="0011572D" w:rsidRPr="0047588A" w:rsidTr="0014051E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1572D" w:rsidRPr="0047588A" w:rsidRDefault="00B44019" w:rsidP="0014051E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3"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第五章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食品、颜料和化妆品</w:t>
              </w:r>
              <w:r w:rsidR="0011572D" w:rsidRPr="0047588A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（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/ICECI/Compliance Manuals/Compliance PolicyGuidance Manual/ucm119194.htm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  <w:tr w:rsidR="0011572D" w:rsidRPr="0047588A" w:rsidTr="0014051E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1572D" w:rsidRPr="0047588A" w:rsidRDefault="00B44019" w:rsidP="0014051E">
            <w:pPr>
              <w:snapToGrid w:val="0"/>
              <w:spacing w:beforeLines="50" w:before="120" w:after="5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4"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第六章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兽医医学</w:t>
              </w:r>
              <w:r w:rsidR="0011572D" w:rsidRPr="0047588A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11572D" w:rsidRPr="0047588A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Manual/ucm117042.htm)</w:t>
              </w:r>
            </w:hyperlink>
          </w:p>
        </w:tc>
      </w:tr>
    </w:tbl>
    <w:p w:rsidR="009964DB" w:rsidRPr="0011572D" w:rsidRDefault="009964DB" w:rsidP="0011572D">
      <w:pPr>
        <w:overflowPunct w:val="0"/>
        <w:snapToGrid w:val="0"/>
        <w:spacing w:afterLines="50" w:after="120" w:line="300" w:lineRule="auto"/>
      </w:pPr>
    </w:p>
    <w:sectPr w:rsidR="009964DB" w:rsidRPr="0011572D" w:rsidSect="0011572D">
      <w:headerReference w:type="default" r:id="rId15"/>
      <w:footerReference w:type="default" r:id="rId16"/>
      <w:pgSz w:w="11900" w:h="16820"/>
      <w:pgMar w:top="567" w:right="567" w:bottom="567" w:left="567" w:header="290" w:footer="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DB" w:rsidRDefault="009964DB">
      <w:r>
        <w:separator/>
      </w:r>
    </w:p>
  </w:endnote>
  <w:endnote w:type="continuationSeparator" w:id="0">
    <w:p w:rsidR="009964DB" w:rsidRDefault="0099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2D" w:rsidRPr="0011572D" w:rsidRDefault="0011572D" w:rsidP="0011572D">
    <w:pPr>
      <w:tabs>
        <w:tab w:val="right" w:pos="10773"/>
      </w:tabs>
      <w:spacing w:line="184" w:lineRule="exact"/>
      <w:ind w:left="40"/>
      <w:rPr>
        <w:rFonts w:ascii="Arial" w:eastAsia="宋体" w:hAnsi="Arial" w:cs="Arial"/>
        <w:sz w:val="15"/>
        <w:szCs w:val="15"/>
      </w:rPr>
    </w:pPr>
    <w:r w:rsidRPr="0011572D">
      <w:rPr>
        <w:rFonts w:ascii="Arial" w:eastAsia="宋体" w:hint="eastAsia"/>
        <w:sz w:val="15"/>
        <w:szCs w:val="15"/>
      </w:rPr>
      <w:t>https://</w:t>
    </w:r>
    <w:hyperlink r:id="rId1">
      <w:r w:rsidRPr="0011572D">
        <w:rPr>
          <w:rFonts w:ascii="Arial" w:eastAsia="宋体" w:hint="eastAsia"/>
          <w:sz w:val="15"/>
          <w:szCs w:val="15"/>
        </w:rPr>
        <w:t>www.fda.gov/ICECI/ComplianceManuals/CompliancePolicyGuidanceManual/ucm073927.htm</w:t>
      </w:r>
    </w:hyperlink>
    <w:r w:rsidRPr="0011572D">
      <w:rPr>
        <w:rFonts w:ascii="Arial" w:eastAsia="宋体" w:hint="eastAsia"/>
        <w:sz w:val="15"/>
        <w:szCs w:val="15"/>
      </w:rPr>
      <w:tab/>
    </w:r>
    <w:r w:rsidRPr="0011572D">
      <w:rPr>
        <w:sz w:val="15"/>
        <w:szCs w:val="15"/>
      </w:rPr>
      <w:fldChar w:fldCharType="begin"/>
    </w:r>
    <w:r w:rsidRPr="0011572D">
      <w:rPr>
        <w:rFonts w:ascii="Arial" w:eastAsia="宋体" w:hint="eastAsia"/>
        <w:sz w:val="15"/>
        <w:szCs w:val="15"/>
      </w:rPr>
      <w:instrText xml:space="preserve"> PAGE </w:instrText>
    </w:r>
    <w:r w:rsidRPr="0011572D">
      <w:rPr>
        <w:sz w:val="15"/>
        <w:szCs w:val="15"/>
      </w:rPr>
      <w:fldChar w:fldCharType="separate"/>
    </w:r>
    <w:r w:rsidR="00B44019">
      <w:rPr>
        <w:rFonts w:ascii="Arial" w:eastAsia="宋体"/>
        <w:noProof/>
        <w:sz w:val="15"/>
        <w:szCs w:val="15"/>
      </w:rPr>
      <w:t>2</w:t>
    </w:r>
    <w:r w:rsidRPr="0011572D">
      <w:rPr>
        <w:sz w:val="15"/>
        <w:szCs w:val="15"/>
      </w:rPr>
      <w:fldChar w:fldCharType="end"/>
    </w:r>
    <w:r w:rsidRPr="0011572D">
      <w:rPr>
        <w:rFonts w:ascii="Arial" w:eastAsia="宋体" w:hint="eastAsia"/>
        <w:sz w:val="15"/>
        <w:szCs w:val="15"/>
      </w:rPr>
      <w:t>/2</w:t>
    </w:r>
  </w:p>
  <w:p w:rsidR="007E75EB" w:rsidRPr="0011572D" w:rsidRDefault="007E75EB" w:rsidP="0011572D">
    <w:pPr>
      <w:tabs>
        <w:tab w:val="right" w:pos="10773"/>
      </w:tabs>
      <w:spacing w:line="14" w:lineRule="auto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DB" w:rsidRDefault="009964DB">
      <w:r>
        <w:separator/>
      </w:r>
    </w:p>
  </w:footnote>
  <w:footnote w:type="continuationSeparator" w:id="0">
    <w:p w:rsidR="009964DB" w:rsidRDefault="00996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2D" w:rsidRPr="0011572D" w:rsidRDefault="0011572D" w:rsidP="0011572D">
    <w:pPr>
      <w:tabs>
        <w:tab w:val="left" w:pos="2127"/>
      </w:tabs>
      <w:snapToGrid w:val="0"/>
      <w:spacing w:afterLines="200" w:after="480" w:line="300" w:lineRule="auto"/>
      <w:ind w:left="20"/>
      <w:rPr>
        <w:rFonts w:ascii="Arial" w:eastAsia="宋体" w:hAnsi="Arial" w:cs="Arial"/>
        <w:sz w:val="15"/>
        <w:szCs w:val="15"/>
      </w:rPr>
    </w:pPr>
    <w:r w:rsidRPr="0011572D">
      <w:rPr>
        <w:rFonts w:ascii="Arial" w:eastAsia="宋体" w:hAnsi="Arial" w:hint="eastAsia"/>
        <w:sz w:val="15"/>
        <w:szCs w:val="15"/>
      </w:rPr>
      <w:t>2017</w:t>
    </w:r>
    <w:r w:rsidRPr="0011572D">
      <w:rPr>
        <w:rFonts w:ascii="Arial" w:eastAsia="宋体" w:hAnsi="Arial" w:hint="eastAsia"/>
        <w:sz w:val="15"/>
        <w:szCs w:val="15"/>
      </w:rPr>
      <w:t>年</w:t>
    </w:r>
    <w:r w:rsidRPr="0011572D">
      <w:rPr>
        <w:rFonts w:ascii="Arial" w:eastAsia="宋体" w:hAnsi="Arial" w:hint="eastAsia"/>
        <w:sz w:val="15"/>
        <w:szCs w:val="15"/>
      </w:rPr>
      <w:t>8</w:t>
    </w:r>
    <w:r w:rsidRPr="0011572D">
      <w:rPr>
        <w:rFonts w:ascii="Arial" w:eastAsia="宋体" w:hAnsi="Arial" w:hint="eastAsia"/>
        <w:sz w:val="15"/>
        <w:szCs w:val="15"/>
      </w:rPr>
      <w:t>月</w:t>
    </w:r>
    <w:r w:rsidRPr="0011572D">
      <w:rPr>
        <w:rFonts w:ascii="Arial" w:eastAsia="宋体" w:hAnsi="Arial" w:hint="eastAsia"/>
        <w:sz w:val="15"/>
        <w:szCs w:val="15"/>
      </w:rPr>
      <w:t>10</w:t>
    </w:r>
    <w:r w:rsidRPr="0011572D">
      <w:rPr>
        <w:rFonts w:ascii="Arial" w:eastAsia="宋体" w:hAnsi="Arial" w:hint="eastAsia"/>
        <w:sz w:val="15"/>
        <w:szCs w:val="15"/>
      </w:rPr>
      <w:t>日</w:t>
    </w:r>
    <w:r w:rsidRPr="0011572D">
      <w:rPr>
        <w:rFonts w:ascii="Arial" w:eastAsia="宋体" w:hAnsi="Arial" w:hint="eastAsia"/>
        <w:sz w:val="15"/>
        <w:szCs w:val="15"/>
      </w:rPr>
      <w:tab/>
    </w:r>
    <w:r w:rsidRPr="0011572D">
      <w:rPr>
        <w:rFonts w:ascii="Arial" w:eastAsia="宋体" w:hAnsi="Arial" w:hint="eastAsia"/>
        <w:sz w:val="15"/>
        <w:szCs w:val="15"/>
      </w:rPr>
      <w:t>合规政策指南</w:t>
    </w:r>
    <w:r w:rsidRPr="0011572D">
      <w:rPr>
        <w:rFonts w:ascii="Arial" w:eastAsia="宋体" w:hAnsi="Arial" w:hint="eastAsia"/>
        <w:sz w:val="15"/>
        <w:szCs w:val="15"/>
      </w:rPr>
      <w:t>&gt;CPG</w:t>
    </w:r>
    <w:r w:rsidRPr="0011572D">
      <w:rPr>
        <w:rFonts w:ascii="Arial" w:eastAsia="宋体" w:hAnsi="Arial" w:hint="eastAsia"/>
        <w:sz w:val="15"/>
        <w:szCs w:val="15"/>
      </w:rPr>
      <w:t>章节</w:t>
    </w:r>
    <w:r w:rsidRPr="0011572D">
      <w:rPr>
        <w:rFonts w:ascii="Arial" w:eastAsia="宋体" w:hAnsi="Arial" w:hint="eastAsia"/>
        <w:sz w:val="15"/>
        <w:szCs w:val="15"/>
      </w:rPr>
      <w:t xml:space="preserve">397.100 </w:t>
    </w:r>
    <w:r w:rsidRPr="0011572D">
      <w:rPr>
        <w:rFonts w:ascii="Arial" w:eastAsia="宋体" w:hAnsi="Arial" w:hint="eastAsia"/>
        <w:sz w:val="15"/>
        <w:szCs w:val="15"/>
      </w:rPr>
      <w:t>瞬时</w:t>
    </w:r>
    <w:r w:rsidRPr="0011572D">
      <w:rPr>
        <w:rFonts w:ascii="Arial" w:eastAsia="宋体" w:hAnsi="Arial" w:hint="eastAsia"/>
        <w:sz w:val="15"/>
        <w:szCs w:val="15"/>
      </w:rPr>
      <w:t>-</w:t>
    </w:r>
    <w:r w:rsidRPr="0011572D">
      <w:rPr>
        <w:rFonts w:ascii="Arial" w:eastAsia="宋体" w:hAnsi="Arial" w:hint="eastAsia"/>
        <w:sz w:val="15"/>
        <w:szCs w:val="15"/>
      </w:rPr>
      <w:t>最大超声功率指示的精确度要求</w:t>
    </w:r>
    <w:r w:rsidRPr="0011572D">
      <w:rPr>
        <w:rFonts w:ascii="Arial" w:eastAsia="宋体" w:hAnsi="Arial" w:hint="eastAsia"/>
        <w:sz w:val="15"/>
        <w:szCs w:val="15"/>
      </w:rPr>
      <w:t>, 21 CFR 1050.10(c)(1)(ii)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EB"/>
    <w:rsid w:val="0011572D"/>
    <w:rsid w:val="00280603"/>
    <w:rsid w:val="003E638A"/>
    <w:rsid w:val="003F2661"/>
    <w:rsid w:val="005A0B65"/>
    <w:rsid w:val="00664B26"/>
    <w:rsid w:val="007E75EB"/>
    <w:rsid w:val="00961F9B"/>
    <w:rsid w:val="009964DB"/>
    <w:rsid w:val="00B44019"/>
    <w:rsid w:val="00B96F95"/>
    <w:rsid w:val="00BF58BD"/>
    <w:rsid w:val="00E828F6"/>
    <w:rsid w:val="00F7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3E6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E638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E63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E63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3E6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E638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E63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E63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ucm116271.htm" TargetMode="External"/><Relationship Id="rId13" Type="http://schemas.openxmlformats.org/officeDocument/2006/relationships/hyperlink" Target="https://www.fda.gov/ICECI/ComplianceManuals/CompliancePolicyGuidanceManual/ucm119194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da.gov/ICECI/ComplianceManuals/CompliancePolicyGuidanceManual/default.htm" TargetMode="External"/><Relationship Id="rId12" Type="http://schemas.openxmlformats.org/officeDocument/2006/relationships/hyperlink" Target="https://www.fda.gov/ICECI/ComplianceManuals/CompliancePolicyGuidanceManual/ucm119572.ht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da.gov/ICECI/ComplianceManuals/CompliancePolicyGuidanceManual/ucm116801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da.gov/ICECI/ComplianceManuals/CompliancePolicyGuidanceManual/ucm11633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ICECI/ComplianceManuals/CompliancePolicyGuidanceManual/ucm116280.htm" TargetMode="External"/><Relationship Id="rId14" Type="http://schemas.openxmlformats.org/officeDocument/2006/relationships/hyperlink" Target="https://www.fda.gov/ICECI/ComplianceManuals/CompliancePolicyGuidanceManual/ucm117042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ICECI/ComplianceManuals/CompliancePolicyGuidanceManual/ucm07392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cathy-wen</dc:creator>
  <cp:lastModifiedBy>cathy-wen</cp:lastModifiedBy>
  <cp:revision>2</cp:revision>
  <dcterms:created xsi:type="dcterms:W3CDTF">2017-11-17T12:17:00Z</dcterms:created>
  <dcterms:modified xsi:type="dcterms:W3CDTF">2017-11-17T12:17:00Z</dcterms:modified>
</cp:coreProperties>
</file>