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B4" w:rsidRPr="004418FA" w:rsidRDefault="002430B4" w:rsidP="004418FA">
      <w:pPr>
        <w:snapToGrid w:val="0"/>
        <w:spacing w:line="300" w:lineRule="auto"/>
        <w:jc w:val="center"/>
        <w:rPr>
          <w:rFonts w:ascii="Arial" w:eastAsia="宋体" w:hAnsi="Arial" w:cs="Arial"/>
          <w:b/>
          <w:sz w:val="36"/>
          <w:szCs w:val="36"/>
        </w:rPr>
      </w:pPr>
      <w:bookmarkStart w:id="0" w:name="OLE_LINK17"/>
      <w:bookmarkStart w:id="1" w:name="OLE_LINK154"/>
      <w:bookmarkStart w:id="2" w:name="OLE_LINK25"/>
      <w:bookmarkStart w:id="3" w:name="OLE_LINK27"/>
      <w:bookmarkStart w:id="4" w:name="OLE_LINK28"/>
      <w:bookmarkStart w:id="5" w:name="OLE_LINK29"/>
      <w:bookmarkStart w:id="6" w:name="_GoBack"/>
      <w:bookmarkEnd w:id="6"/>
      <w:r w:rsidRPr="004418FA">
        <w:rPr>
          <w:rFonts w:ascii="Arial" w:eastAsia="宋体" w:hAnsi="Arial" w:cs="Arial"/>
          <w:b/>
          <w:sz w:val="36"/>
          <w:szCs w:val="36"/>
        </w:rPr>
        <w:t>行业和食品药品监督管理局工作人员</w:t>
      </w:r>
      <w:r w:rsidR="00921E51">
        <w:rPr>
          <w:rFonts w:ascii="Arial" w:eastAsia="宋体" w:hAnsi="Arial" w:cs="Arial" w:hint="eastAsia"/>
          <w:b/>
          <w:sz w:val="36"/>
          <w:szCs w:val="36"/>
        </w:rPr>
        <w:t>指南</w:t>
      </w:r>
    </w:p>
    <w:p w:rsidR="002430B4" w:rsidRPr="004418FA" w:rsidRDefault="00DC07DE" w:rsidP="004418FA">
      <w:pPr>
        <w:snapToGrid w:val="0"/>
        <w:spacing w:line="300" w:lineRule="auto"/>
        <w:jc w:val="center"/>
        <w:rPr>
          <w:rFonts w:ascii="Arial" w:eastAsia="宋体" w:hAnsi="Arial" w:cs="Arial"/>
          <w:b/>
          <w:sz w:val="36"/>
          <w:szCs w:val="36"/>
        </w:rPr>
      </w:pPr>
      <w:bookmarkStart w:id="7" w:name="OLE_LINK2"/>
      <w:bookmarkStart w:id="8" w:name="OLE_LINK3"/>
      <w:bookmarkStart w:id="9" w:name="OLE_LINK5"/>
      <w:bookmarkStart w:id="10" w:name="OLE_LINK6"/>
      <w:bookmarkStart w:id="11" w:name="OLE_LINK1"/>
      <w:bookmarkStart w:id="12" w:name="OLE_LINK4"/>
      <w:r w:rsidRPr="004418FA">
        <w:rPr>
          <w:rFonts w:ascii="Arial" w:eastAsia="宋体" w:hAnsi="Arial" w:cs="Arial"/>
          <w:b/>
          <w:sz w:val="36"/>
          <w:szCs w:val="36"/>
        </w:rPr>
        <w:t>商业分</w:t>
      </w:r>
      <w:r w:rsidR="00F01752" w:rsidRPr="004418FA">
        <w:rPr>
          <w:rFonts w:ascii="Arial" w:eastAsia="宋体" w:hAnsi="Arial" w:cs="Arial"/>
          <w:b/>
          <w:sz w:val="36"/>
          <w:szCs w:val="36"/>
        </w:rPr>
        <w:t>销</w:t>
      </w:r>
      <w:r w:rsidR="00921E51">
        <w:rPr>
          <w:rFonts w:ascii="Arial" w:eastAsia="宋体" w:hAnsi="Arial" w:cs="Arial" w:hint="eastAsia"/>
          <w:b/>
          <w:sz w:val="36"/>
          <w:szCs w:val="36"/>
        </w:rPr>
        <w:t>的</w:t>
      </w:r>
      <w:r w:rsidR="00921E51">
        <w:rPr>
          <w:rFonts w:ascii="Arial" w:eastAsia="宋体" w:hAnsi="Arial" w:cs="Arial"/>
          <w:b/>
          <w:sz w:val="36"/>
          <w:szCs w:val="36"/>
        </w:rPr>
        <w:t>被分析物特效试剂</w:t>
      </w:r>
      <w:r w:rsidRPr="004418FA">
        <w:rPr>
          <w:rFonts w:ascii="Arial" w:eastAsia="宋体" w:hAnsi="Arial" w:cs="Arial"/>
          <w:b/>
          <w:sz w:val="36"/>
          <w:szCs w:val="36"/>
        </w:rPr>
        <w:t>：常见问题</w:t>
      </w:r>
      <w:bookmarkEnd w:id="7"/>
      <w:bookmarkEnd w:id="8"/>
      <w:bookmarkEnd w:id="9"/>
      <w:bookmarkEnd w:id="10"/>
    </w:p>
    <w:bookmarkEnd w:id="0"/>
    <w:bookmarkEnd w:id="1"/>
    <w:bookmarkEnd w:id="11"/>
    <w:bookmarkEnd w:id="12"/>
    <w:p w:rsidR="002430B4" w:rsidRPr="00F31118" w:rsidRDefault="002430B4" w:rsidP="004418FA">
      <w:pPr>
        <w:snapToGrid w:val="0"/>
        <w:spacing w:line="300" w:lineRule="auto"/>
        <w:jc w:val="center"/>
        <w:rPr>
          <w:rFonts w:ascii="Arial" w:eastAsia="宋体" w:hAnsi="Arial" w:cs="Arial"/>
        </w:rPr>
      </w:pPr>
    </w:p>
    <w:p w:rsidR="002430B4" w:rsidRPr="004418FA" w:rsidRDefault="002430B4" w:rsidP="004418FA">
      <w:pPr>
        <w:snapToGrid w:val="0"/>
        <w:spacing w:line="300" w:lineRule="auto"/>
        <w:jc w:val="center"/>
        <w:rPr>
          <w:rFonts w:ascii="Arial" w:eastAsia="宋体" w:hAnsi="Arial" w:cs="Arial"/>
          <w:b/>
        </w:rPr>
      </w:pPr>
      <w:r w:rsidRPr="004418FA">
        <w:rPr>
          <w:rFonts w:ascii="Arial" w:eastAsia="宋体" w:hAnsi="Arial" w:cs="Arial"/>
          <w:b/>
        </w:rPr>
        <w:t>文件发布日期：</w:t>
      </w:r>
      <w:r w:rsidRPr="004418FA">
        <w:rPr>
          <w:rFonts w:ascii="Arial" w:eastAsia="宋体" w:hAnsi="Arial" w:cs="Arial"/>
          <w:b/>
        </w:rPr>
        <w:t>200</w:t>
      </w:r>
      <w:r w:rsidR="00DC07DE" w:rsidRPr="004418FA">
        <w:rPr>
          <w:rFonts w:ascii="Arial" w:eastAsia="宋体" w:hAnsi="Arial" w:cs="Arial"/>
          <w:b/>
        </w:rPr>
        <w:t>7</w:t>
      </w:r>
      <w:r w:rsidRPr="004418FA">
        <w:rPr>
          <w:rFonts w:ascii="Arial" w:eastAsia="宋体" w:hAnsi="Arial" w:cs="Arial"/>
          <w:b/>
        </w:rPr>
        <w:t>年</w:t>
      </w:r>
      <w:r w:rsidR="00DC07DE" w:rsidRPr="004418FA">
        <w:rPr>
          <w:rFonts w:ascii="Arial" w:eastAsia="宋体" w:hAnsi="Arial" w:cs="Arial"/>
          <w:b/>
        </w:rPr>
        <w:t>9</w:t>
      </w:r>
      <w:r w:rsidRPr="004418FA">
        <w:rPr>
          <w:rFonts w:ascii="Arial" w:eastAsia="宋体" w:hAnsi="Arial" w:cs="Arial"/>
          <w:b/>
        </w:rPr>
        <w:t>月</w:t>
      </w:r>
      <w:r w:rsidR="00DC07DE" w:rsidRPr="004418FA">
        <w:rPr>
          <w:rFonts w:ascii="Arial" w:eastAsia="宋体" w:hAnsi="Arial" w:cs="Arial"/>
          <w:b/>
        </w:rPr>
        <w:t>14</w:t>
      </w:r>
      <w:r w:rsidRPr="004418FA">
        <w:rPr>
          <w:rFonts w:ascii="Arial" w:eastAsia="宋体" w:hAnsi="Arial" w:cs="Arial"/>
          <w:b/>
        </w:rPr>
        <w:t>日</w:t>
      </w:r>
    </w:p>
    <w:p w:rsidR="002430B4" w:rsidRPr="004418FA" w:rsidRDefault="002430B4" w:rsidP="004418FA">
      <w:pPr>
        <w:snapToGrid w:val="0"/>
        <w:spacing w:line="300" w:lineRule="auto"/>
        <w:jc w:val="center"/>
        <w:rPr>
          <w:rFonts w:ascii="Arial" w:eastAsia="宋体" w:hAnsi="Arial" w:cs="Arial"/>
          <w:b/>
        </w:rPr>
      </w:pPr>
    </w:p>
    <w:p w:rsidR="002430B4" w:rsidRPr="004418FA" w:rsidRDefault="002430B4" w:rsidP="004418FA">
      <w:pPr>
        <w:snapToGrid w:val="0"/>
        <w:spacing w:line="300" w:lineRule="auto"/>
        <w:jc w:val="center"/>
        <w:rPr>
          <w:rFonts w:ascii="Arial" w:eastAsia="宋体" w:hAnsi="Arial" w:cs="Arial"/>
          <w:b/>
        </w:rPr>
      </w:pPr>
      <w:r w:rsidRPr="004418FA">
        <w:rPr>
          <w:rFonts w:ascii="Arial" w:eastAsia="宋体" w:hAnsi="Arial" w:cs="Arial"/>
          <w:b/>
        </w:rPr>
        <w:t>本文件的草案于</w:t>
      </w:r>
      <w:r w:rsidRPr="004418FA">
        <w:rPr>
          <w:rFonts w:ascii="Arial" w:eastAsia="宋体" w:hAnsi="Arial" w:cs="Arial"/>
          <w:b/>
        </w:rPr>
        <w:t>2006</w:t>
      </w:r>
      <w:r w:rsidRPr="004418FA">
        <w:rPr>
          <w:rFonts w:ascii="Arial" w:eastAsia="宋体" w:hAnsi="Arial" w:cs="Arial"/>
          <w:b/>
        </w:rPr>
        <w:t>年</w:t>
      </w:r>
      <w:r w:rsidR="0032381D" w:rsidRPr="004418FA">
        <w:rPr>
          <w:rFonts w:ascii="Arial" w:eastAsia="宋体" w:hAnsi="Arial" w:cs="Arial"/>
          <w:b/>
        </w:rPr>
        <w:t>9</w:t>
      </w:r>
      <w:r w:rsidRPr="004418FA">
        <w:rPr>
          <w:rFonts w:ascii="Arial" w:eastAsia="宋体" w:hAnsi="Arial" w:cs="Arial"/>
          <w:b/>
        </w:rPr>
        <w:t>月</w:t>
      </w:r>
      <w:r w:rsidR="0032381D" w:rsidRPr="004418FA">
        <w:rPr>
          <w:rFonts w:ascii="Arial" w:eastAsia="宋体" w:hAnsi="Arial" w:cs="Arial"/>
          <w:b/>
        </w:rPr>
        <w:t>7</w:t>
      </w:r>
      <w:r w:rsidRPr="004418FA">
        <w:rPr>
          <w:rFonts w:ascii="Arial" w:eastAsia="宋体" w:hAnsi="Arial" w:cs="Arial"/>
          <w:b/>
        </w:rPr>
        <w:t>日发布</w:t>
      </w:r>
    </w:p>
    <w:p w:rsidR="002430B4" w:rsidRPr="00F31118" w:rsidRDefault="002430B4" w:rsidP="003059EA">
      <w:pPr>
        <w:snapToGrid w:val="0"/>
        <w:spacing w:line="300" w:lineRule="auto"/>
        <w:rPr>
          <w:rFonts w:ascii="Arial" w:eastAsia="宋体" w:hAnsi="Arial" w:cs="Arial"/>
        </w:rPr>
      </w:pPr>
    </w:p>
    <w:p w:rsidR="00A77B8E" w:rsidRPr="00F31118" w:rsidRDefault="002430B4" w:rsidP="003059EA">
      <w:pPr>
        <w:snapToGrid w:val="0"/>
        <w:spacing w:line="300" w:lineRule="auto"/>
        <w:rPr>
          <w:rFonts w:ascii="Arial" w:eastAsia="宋体" w:hAnsi="Arial" w:cs="Arial"/>
        </w:rPr>
      </w:pPr>
      <w:r w:rsidRPr="00F31118">
        <w:rPr>
          <w:rFonts w:ascii="Arial" w:eastAsia="宋体" w:hAnsi="Arial" w:cs="Arial"/>
        </w:rPr>
        <w:t>对本文件若有疑问，请致电</w:t>
      </w:r>
      <w:r w:rsidRPr="00F31118">
        <w:rPr>
          <w:rFonts w:ascii="Arial" w:eastAsia="宋体" w:hAnsi="Arial" w:cs="Arial"/>
        </w:rPr>
        <w:t>240-276-</w:t>
      </w:r>
      <w:r w:rsidR="00A77B8E" w:rsidRPr="00F31118">
        <w:rPr>
          <w:rFonts w:ascii="Arial" w:eastAsia="宋体" w:hAnsi="Arial" w:cs="Arial"/>
        </w:rPr>
        <w:t>0694</w:t>
      </w:r>
      <w:r w:rsidRPr="00F31118">
        <w:rPr>
          <w:rFonts w:ascii="Arial" w:eastAsia="宋体" w:hAnsi="Arial" w:cs="Arial"/>
        </w:rPr>
        <w:t>与</w:t>
      </w:r>
      <w:r w:rsidR="00A77B8E" w:rsidRPr="00F31118">
        <w:rPr>
          <w:rFonts w:ascii="Arial" w:eastAsia="宋体" w:hAnsi="Arial" w:cs="Arial"/>
        </w:rPr>
        <w:t>Courtney Harper</w:t>
      </w:r>
      <w:r w:rsidRPr="00F31118">
        <w:rPr>
          <w:rFonts w:ascii="Arial" w:eastAsia="宋体" w:hAnsi="Arial" w:cs="Arial"/>
        </w:rPr>
        <w:t>联系（</w:t>
      </w:r>
      <w:proofErr w:type="spellStart"/>
      <w:r w:rsidR="00A77B8E" w:rsidRPr="001E1AFD">
        <w:rPr>
          <w:rFonts w:ascii="Arial" w:eastAsia="宋体" w:hAnsi="Arial" w:cs="Arial"/>
          <w:color w:val="0000FF"/>
          <w:u w:val="single"/>
        </w:rPr>
        <w:t>courtney.harper</w:t>
      </w:r>
      <w:proofErr w:type="spellEnd"/>
      <w:r w:rsidR="00A77B8E" w:rsidRPr="001E1AFD">
        <w:rPr>
          <w:rFonts w:ascii="Arial" w:eastAsia="宋体" w:hAnsi="Arial" w:cs="Arial"/>
          <w:color w:val="0000FF"/>
          <w:u w:val="single"/>
        </w:rPr>
        <w:t xml:space="preserve"> </w:t>
      </w:r>
      <w:r w:rsidRPr="001E1AFD">
        <w:rPr>
          <w:rFonts w:ascii="Arial" w:eastAsia="宋体" w:hAnsi="Arial" w:cs="Arial"/>
          <w:color w:val="0000FF"/>
          <w:u w:val="single"/>
        </w:rPr>
        <w:t>@fda.hhs.gov</w:t>
      </w:r>
      <w:r w:rsidRPr="00F31118">
        <w:rPr>
          <w:rFonts w:ascii="Arial" w:eastAsia="宋体" w:hAnsi="Arial" w:cs="Arial"/>
        </w:rPr>
        <w:t>）</w:t>
      </w:r>
      <w:r w:rsidR="00A77B8E" w:rsidRPr="00F31118">
        <w:rPr>
          <w:rFonts w:ascii="Arial" w:eastAsia="宋体" w:hAnsi="Arial" w:cs="Arial"/>
        </w:rPr>
        <w:t>。对本文件</w:t>
      </w:r>
      <w:r w:rsidR="00200F3D" w:rsidRPr="00F31118">
        <w:rPr>
          <w:rFonts w:ascii="Arial" w:eastAsia="宋体" w:hAnsi="Arial" w:cs="Arial"/>
        </w:rPr>
        <w:t>适用于</w:t>
      </w:r>
      <w:r w:rsidR="00371A98" w:rsidRPr="00F31118">
        <w:rPr>
          <w:rFonts w:ascii="Arial" w:eastAsia="宋体" w:hAnsi="Arial" w:cs="Arial"/>
        </w:rPr>
        <w:t>生物制</w:t>
      </w:r>
      <w:r w:rsidR="00BE228D" w:rsidRPr="00F31118">
        <w:rPr>
          <w:rFonts w:ascii="Arial" w:eastAsia="宋体" w:hAnsi="Arial" w:cs="Arial"/>
        </w:rPr>
        <w:t>品</w:t>
      </w:r>
      <w:r w:rsidR="00371A98" w:rsidRPr="00F31118">
        <w:rPr>
          <w:rFonts w:ascii="Arial" w:eastAsia="宋体" w:hAnsi="Arial" w:cs="Arial"/>
        </w:rPr>
        <w:t>评价</w:t>
      </w:r>
      <w:r w:rsidR="00BE228D" w:rsidRPr="00F31118">
        <w:rPr>
          <w:rFonts w:ascii="Arial" w:eastAsia="宋体" w:hAnsi="Arial" w:cs="Arial"/>
        </w:rPr>
        <w:t>和</w:t>
      </w:r>
      <w:r w:rsidR="00371A98" w:rsidRPr="00F31118">
        <w:rPr>
          <w:rFonts w:ascii="Arial" w:eastAsia="宋体" w:hAnsi="Arial" w:cs="Arial"/>
        </w:rPr>
        <w:t>研究中心监管</w:t>
      </w:r>
      <w:r w:rsidR="00921E51">
        <w:rPr>
          <w:rFonts w:ascii="Arial" w:eastAsia="宋体" w:hAnsi="Arial" w:cs="Arial"/>
        </w:rPr>
        <w:t>器械</w:t>
      </w:r>
      <w:r w:rsidR="00371A98" w:rsidRPr="00F31118">
        <w:rPr>
          <w:rFonts w:ascii="Arial" w:eastAsia="宋体" w:hAnsi="Arial" w:cs="Arial"/>
        </w:rPr>
        <w:t>方面的疑问，请致电</w:t>
      </w:r>
      <w:r w:rsidR="00371A98" w:rsidRPr="00F31118">
        <w:rPr>
          <w:rFonts w:ascii="Arial" w:eastAsia="宋体" w:hAnsi="Arial" w:cs="Arial"/>
        </w:rPr>
        <w:t>301-827-3518</w:t>
      </w:r>
      <w:r w:rsidR="00371A98" w:rsidRPr="00F31118">
        <w:rPr>
          <w:rFonts w:ascii="Arial" w:eastAsia="宋体" w:hAnsi="Arial" w:cs="Arial"/>
        </w:rPr>
        <w:t>与</w:t>
      </w:r>
      <w:r w:rsidR="00371A98" w:rsidRPr="00F31118">
        <w:rPr>
          <w:rFonts w:ascii="Arial" w:eastAsia="宋体" w:hAnsi="Arial" w:cs="Arial"/>
        </w:rPr>
        <w:t xml:space="preserve">Martin </w:t>
      </w:r>
      <w:proofErr w:type="spellStart"/>
      <w:r w:rsidR="00371A98" w:rsidRPr="00F31118">
        <w:rPr>
          <w:rFonts w:ascii="Arial" w:eastAsia="宋体" w:hAnsi="Arial" w:cs="Arial"/>
        </w:rPr>
        <w:t>Ruta</w:t>
      </w:r>
      <w:proofErr w:type="spellEnd"/>
      <w:r w:rsidR="00371A98" w:rsidRPr="00F31118">
        <w:rPr>
          <w:rFonts w:ascii="Arial" w:eastAsia="宋体" w:hAnsi="Arial" w:cs="Arial"/>
        </w:rPr>
        <w:t>联系。</w:t>
      </w:r>
    </w:p>
    <w:p w:rsidR="00371A98" w:rsidRPr="00F31118" w:rsidRDefault="00371A98" w:rsidP="003059EA">
      <w:pPr>
        <w:snapToGrid w:val="0"/>
        <w:spacing w:line="300" w:lineRule="auto"/>
        <w:rPr>
          <w:rFonts w:ascii="Arial" w:eastAsia="宋体" w:hAnsi="Arial" w:cs="Arial"/>
        </w:rPr>
      </w:pPr>
    </w:p>
    <w:p w:rsidR="008E4F5F" w:rsidRDefault="00371A98" w:rsidP="003059EA">
      <w:pPr>
        <w:snapToGrid w:val="0"/>
        <w:spacing w:line="300" w:lineRule="auto"/>
        <w:rPr>
          <w:rFonts w:ascii="Arial" w:eastAsia="宋体" w:hAnsi="Arial" w:cs="Arial"/>
        </w:rPr>
      </w:pPr>
      <w:r w:rsidRPr="00F31118">
        <w:rPr>
          <w:rFonts w:ascii="Arial" w:eastAsia="宋体" w:hAnsi="Arial" w:cs="Arial"/>
          <w:noProof/>
        </w:rPr>
        <w:drawing>
          <wp:inline distT="0" distB="0" distL="0" distR="0" wp14:anchorId="712F5A9E" wp14:editId="40B44A19">
            <wp:extent cx="941524" cy="1008408"/>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47279" cy="1014572"/>
                    </a:xfrm>
                    <a:prstGeom prst="rect">
                      <a:avLst/>
                    </a:prstGeom>
                  </pic:spPr>
                </pic:pic>
              </a:graphicData>
            </a:graphic>
          </wp:inline>
        </w:drawing>
      </w: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59264" behindDoc="0" locked="0" layoutInCell="1" allowOverlap="1" wp14:anchorId="5F8B6DBB" wp14:editId="02FD982C">
                <wp:simplePos x="0" y="0"/>
                <wp:positionH relativeFrom="column">
                  <wp:posOffset>0</wp:posOffset>
                </wp:positionH>
                <wp:positionV relativeFrom="paragraph">
                  <wp:posOffset>24674</wp:posOffset>
                </wp:positionV>
                <wp:extent cx="1219200" cy="1230086"/>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19200" cy="1230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2F5F" w:rsidRDefault="00DA2F5F">
                            <w:r>
                              <w:rPr>
                                <w:noProof/>
                              </w:rPr>
                              <w:drawing>
                                <wp:inline distT="0" distB="0" distL="0" distR="0" wp14:anchorId="0D6755A7" wp14:editId="504DA81B">
                                  <wp:extent cx="1055915" cy="1027858"/>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66847" cy="10384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1.95pt;width:96pt;height:9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" filled="f" stroked="f" strokeweight=".5pt">
                <v:textbox>
                  <w:txbxContent>
                    <w:p w:rsidR="00DA2F5F" w:rsidRDefault="00DA2F5F">
                      <w:r>
                        <w:rPr>
                          <w:noProof/>
                        </w:rPr>
                        <w:drawing>
                          <wp:inline distT="0" distB="0" distL="0" distR="0" wp14:anchorId="53BFAAC0" wp14:editId="7B067BF6">
                            <wp:extent cx="1055915" cy="1027858"/>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66847" cy="1038499"/>
                                    </a:xfrm>
                                    <a:prstGeom prst="rect">
                                      <a:avLst/>
                                    </a:prstGeom>
                                  </pic:spPr>
                                </pic:pic>
                              </a:graphicData>
                            </a:graphic>
                          </wp:inline>
                        </w:drawing>
                      </w:r>
                    </w:p>
                  </w:txbxContent>
                </v:textbox>
              </v:shape>
            </w:pict>
          </mc:Fallback>
        </mc:AlternateContent>
      </w: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8E4F5F" w:rsidRDefault="008E4F5F" w:rsidP="003059EA">
      <w:pPr>
        <w:snapToGrid w:val="0"/>
        <w:spacing w:line="300" w:lineRule="auto"/>
        <w:rPr>
          <w:rFonts w:ascii="Arial" w:eastAsia="宋体" w:hAnsi="Arial" w:cs="Arial"/>
        </w:rPr>
      </w:pPr>
    </w:p>
    <w:p w:rsidR="006D4288" w:rsidRPr="00F31118" w:rsidRDefault="006D4288" w:rsidP="008E4F5F">
      <w:pPr>
        <w:snapToGrid w:val="0"/>
        <w:spacing w:line="300" w:lineRule="auto"/>
        <w:jc w:val="right"/>
        <w:rPr>
          <w:rFonts w:ascii="Arial" w:eastAsia="宋体" w:hAnsi="Arial" w:cs="Arial"/>
        </w:rPr>
      </w:pPr>
      <w:r w:rsidRPr="00F31118">
        <w:rPr>
          <w:rFonts w:ascii="Arial" w:eastAsia="宋体" w:hAnsi="Arial" w:cs="Arial"/>
        </w:rPr>
        <w:t>美国卫生和公众服务部</w:t>
      </w:r>
    </w:p>
    <w:p w:rsidR="006D4288" w:rsidRPr="00F31118" w:rsidRDefault="006D4288" w:rsidP="008E4F5F">
      <w:pPr>
        <w:snapToGrid w:val="0"/>
        <w:spacing w:line="300" w:lineRule="auto"/>
        <w:jc w:val="right"/>
        <w:rPr>
          <w:rFonts w:ascii="Arial" w:eastAsia="宋体" w:hAnsi="Arial" w:cs="Arial"/>
        </w:rPr>
      </w:pPr>
      <w:r w:rsidRPr="00F31118">
        <w:rPr>
          <w:rFonts w:ascii="Arial" w:eastAsia="宋体" w:hAnsi="Arial" w:cs="Arial"/>
        </w:rPr>
        <w:t>食品药品监督管理局</w:t>
      </w:r>
    </w:p>
    <w:p w:rsidR="006D4288" w:rsidRPr="00F31118" w:rsidRDefault="00F01752" w:rsidP="008E4F5F">
      <w:pPr>
        <w:snapToGrid w:val="0"/>
        <w:spacing w:line="300" w:lineRule="auto"/>
        <w:jc w:val="right"/>
        <w:rPr>
          <w:rFonts w:ascii="Arial" w:eastAsia="宋体" w:hAnsi="Arial" w:cs="Arial"/>
        </w:rPr>
      </w:pPr>
      <w:r w:rsidRPr="00F31118">
        <w:rPr>
          <w:rFonts w:ascii="Arial" w:eastAsia="宋体" w:hAnsi="Arial" w:cs="Arial"/>
        </w:rPr>
        <w:t>医疗</w:t>
      </w:r>
      <w:r w:rsidR="00EE2C9A" w:rsidRPr="00F31118">
        <w:rPr>
          <w:rFonts w:ascii="Arial" w:eastAsia="宋体" w:hAnsi="Arial" w:cs="Arial"/>
        </w:rPr>
        <w:t>器械</w:t>
      </w:r>
      <w:r w:rsidR="00DA2F5F">
        <w:rPr>
          <w:rFonts w:ascii="Arial" w:eastAsia="宋体" w:hAnsi="Arial" w:cs="Arial" w:hint="eastAsia"/>
        </w:rPr>
        <w:t>与</w:t>
      </w:r>
      <w:r w:rsidR="006D4288" w:rsidRPr="00F31118">
        <w:rPr>
          <w:rFonts w:ascii="Arial" w:eastAsia="宋体" w:hAnsi="Arial" w:cs="Arial"/>
        </w:rPr>
        <w:t>放射</w:t>
      </w:r>
      <w:r w:rsidR="00DA2F5F">
        <w:rPr>
          <w:rFonts w:ascii="Arial" w:eastAsia="宋体" w:hAnsi="Arial" w:cs="Arial" w:hint="eastAsia"/>
        </w:rPr>
        <w:t>健康</w:t>
      </w:r>
      <w:r w:rsidR="006D4288" w:rsidRPr="00F31118">
        <w:rPr>
          <w:rFonts w:ascii="Arial" w:eastAsia="宋体" w:hAnsi="Arial" w:cs="Arial"/>
        </w:rPr>
        <w:t>中心</w:t>
      </w:r>
    </w:p>
    <w:p w:rsidR="00371A98" w:rsidRDefault="006D4288" w:rsidP="008E4F5F">
      <w:pPr>
        <w:snapToGrid w:val="0"/>
        <w:spacing w:line="300" w:lineRule="auto"/>
        <w:jc w:val="right"/>
        <w:rPr>
          <w:rFonts w:ascii="Arial" w:eastAsia="宋体" w:hAnsi="Arial" w:cs="Arial"/>
        </w:rPr>
      </w:pPr>
      <w:r w:rsidRPr="00F31118">
        <w:rPr>
          <w:rFonts w:ascii="Arial" w:eastAsia="宋体" w:hAnsi="Arial" w:cs="Arial"/>
        </w:rPr>
        <w:t>体外诊断</w:t>
      </w:r>
      <w:r w:rsidR="00EE2C9A" w:rsidRPr="00F31118">
        <w:rPr>
          <w:rFonts w:ascii="Arial" w:eastAsia="宋体" w:hAnsi="Arial" w:cs="Arial"/>
        </w:rPr>
        <w:t>器械</w:t>
      </w:r>
      <w:r w:rsidR="00DA2F5F">
        <w:rPr>
          <w:rFonts w:ascii="Arial" w:eastAsia="宋体" w:hAnsi="Arial" w:cs="Arial" w:hint="eastAsia"/>
        </w:rPr>
        <w:t>评估和</w:t>
      </w:r>
      <w:r w:rsidRPr="00F31118">
        <w:rPr>
          <w:rFonts w:ascii="Arial" w:eastAsia="宋体" w:hAnsi="Arial" w:cs="Arial"/>
        </w:rPr>
        <w:t>安全办公室</w:t>
      </w:r>
    </w:p>
    <w:p w:rsidR="008E4F5F" w:rsidRPr="00F31118" w:rsidRDefault="008E4F5F" w:rsidP="008E4F5F">
      <w:pPr>
        <w:snapToGrid w:val="0"/>
        <w:spacing w:line="300" w:lineRule="auto"/>
        <w:jc w:val="right"/>
        <w:rPr>
          <w:rFonts w:ascii="Arial" w:eastAsia="宋体" w:hAnsi="Arial" w:cs="Arial"/>
        </w:rPr>
      </w:pPr>
    </w:p>
    <w:p w:rsidR="002430B4" w:rsidRPr="00F31118" w:rsidRDefault="006D4288" w:rsidP="008E4F5F">
      <w:pPr>
        <w:snapToGrid w:val="0"/>
        <w:spacing w:line="300" w:lineRule="auto"/>
        <w:jc w:val="right"/>
        <w:rPr>
          <w:rFonts w:ascii="Arial" w:eastAsia="宋体" w:hAnsi="Arial" w:cs="Arial"/>
        </w:rPr>
      </w:pPr>
      <w:r w:rsidRPr="00F31118">
        <w:rPr>
          <w:rFonts w:ascii="Arial" w:eastAsia="宋体" w:hAnsi="Arial" w:cs="Arial"/>
        </w:rPr>
        <w:t>生物制</w:t>
      </w:r>
      <w:r w:rsidR="00EE2C9A" w:rsidRPr="00F31118">
        <w:rPr>
          <w:rFonts w:ascii="Arial" w:eastAsia="宋体" w:hAnsi="Arial" w:cs="Arial"/>
        </w:rPr>
        <w:t>品</w:t>
      </w:r>
      <w:r w:rsidRPr="00F31118">
        <w:rPr>
          <w:rFonts w:ascii="Arial" w:eastAsia="宋体" w:hAnsi="Arial" w:cs="Arial"/>
        </w:rPr>
        <w:t>评价</w:t>
      </w:r>
      <w:r w:rsidR="00DA2F5F">
        <w:rPr>
          <w:rFonts w:ascii="Arial" w:eastAsia="宋体" w:hAnsi="Arial" w:cs="Arial" w:hint="eastAsia"/>
        </w:rPr>
        <w:t>和</w:t>
      </w:r>
      <w:r w:rsidRPr="00F31118">
        <w:rPr>
          <w:rFonts w:ascii="Arial" w:eastAsia="宋体" w:hAnsi="Arial" w:cs="Arial"/>
        </w:rPr>
        <w:t>研究中心</w:t>
      </w:r>
    </w:p>
    <w:p w:rsidR="006041D4" w:rsidRDefault="006041D4">
      <w:pPr>
        <w:widowControl/>
        <w:jc w:val="left"/>
        <w:rPr>
          <w:rFonts w:ascii="Arial" w:eastAsia="宋体" w:hAnsi="Arial" w:cs="Arial"/>
          <w:b/>
        </w:rPr>
      </w:pPr>
      <w:r>
        <w:rPr>
          <w:rFonts w:ascii="Arial" w:eastAsia="宋体" w:hAnsi="Arial" w:cs="Arial"/>
          <w:b/>
        </w:rPr>
        <w:br w:type="page"/>
      </w:r>
    </w:p>
    <w:p w:rsidR="006D4288" w:rsidRPr="00CA084F" w:rsidRDefault="006D4288" w:rsidP="00CA084F">
      <w:pPr>
        <w:snapToGrid w:val="0"/>
        <w:spacing w:line="300" w:lineRule="auto"/>
        <w:jc w:val="center"/>
        <w:rPr>
          <w:rFonts w:ascii="Arial" w:eastAsia="宋体" w:hAnsi="Arial" w:cs="Arial"/>
          <w:b/>
          <w:sz w:val="36"/>
          <w:szCs w:val="36"/>
        </w:rPr>
      </w:pPr>
      <w:r w:rsidRPr="00CA084F">
        <w:rPr>
          <w:rFonts w:ascii="Arial" w:eastAsia="宋体" w:hAnsi="Arial" w:cs="Arial"/>
          <w:b/>
          <w:sz w:val="36"/>
          <w:szCs w:val="36"/>
        </w:rPr>
        <w:lastRenderedPageBreak/>
        <w:t>序言</w:t>
      </w:r>
    </w:p>
    <w:p w:rsidR="006D4288" w:rsidRPr="00F31118" w:rsidRDefault="006D4288" w:rsidP="003059EA">
      <w:pPr>
        <w:snapToGrid w:val="0"/>
        <w:spacing w:line="300" w:lineRule="auto"/>
        <w:rPr>
          <w:rFonts w:ascii="Arial" w:eastAsia="宋体" w:hAnsi="Arial" w:cs="Arial"/>
        </w:rPr>
      </w:pPr>
    </w:p>
    <w:p w:rsidR="00AE58B7" w:rsidRPr="00F31118" w:rsidRDefault="00AE58B7" w:rsidP="003059EA">
      <w:pPr>
        <w:snapToGrid w:val="0"/>
        <w:spacing w:line="300" w:lineRule="auto"/>
        <w:rPr>
          <w:rFonts w:ascii="Arial" w:eastAsia="宋体" w:hAnsi="Arial" w:cs="Arial"/>
          <w:b/>
        </w:rPr>
      </w:pPr>
      <w:r w:rsidRPr="00F31118">
        <w:rPr>
          <w:rFonts w:ascii="Arial" w:eastAsia="宋体" w:hAnsi="Arial" w:cs="Arial"/>
          <w:b/>
        </w:rPr>
        <w:t>评论</w:t>
      </w:r>
    </w:p>
    <w:p w:rsidR="00AE58B7" w:rsidRPr="00F31118" w:rsidRDefault="00AE58B7" w:rsidP="003059EA">
      <w:pPr>
        <w:snapToGrid w:val="0"/>
        <w:spacing w:line="300" w:lineRule="auto"/>
        <w:rPr>
          <w:rFonts w:ascii="Arial" w:eastAsia="宋体" w:hAnsi="Arial" w:cs="Arial"/>
        </w:rPr>
      </w:pPr>
    </w:p>
    <w:p w:rsidR="006D4288" w:rsidRPr="00F31118" w:rsidRDefault="00AE58B7" w:rsidP="003059EA">
      <w:pPr>
        <w:snapToGrid w:val="0"/>
        <w:spacing w:line="300" w:lineRule="auto"/>
        <w:rPr>
          <w:rFonts w:ascii="Arial" w:eastAsia="宋体" w:hAnsi="Arial" w:cs="Arial"/>
        </w:rPr>
      </w:pPr>
      <w:r w:rsidRPr="00F31118">
        <w:rPr>
          <w:rFonts w:ascii="Arial" w:eastAsia="宋体" w:hAnsi="Arial" w:cs="Arial"/>
        </w:rPr>
        <w:t>书面评论和建议可随时提交至食品药品监督管理局</w:t>
      </w:r>
      <w:r w:rsidR="00EE2C9A" w:rsidRPr="00F31118">
        <w:rPr>
          <w:rFonts w:ascii="Arial" w:eastAsia="宋体" w:hAnsi="Arial" w:cs="Arial"/>
        </w:rPr>
        <w:t>文档管理部</w:t>
      </w:r>
      <w:r w:rsidR="00DA2F5F">
        <w:rPr>
          <w:rFonts w:ascii="Arial" w:eastAsia="宋体" w:hAnsi="Arial" w:cs="Arial" w:hint="eastAsia"/>
        </w:rPr>
        <w:t>，</w:t>
      </w:r>
      <w:proofErr w:type="gramStart"/>
      <w:r w:rsidR="00DA2F5F" w:rsidRPr="00DA2F5F">
        <w:rPr>
          <w:rFonts w:ascii="Arial" w:eastAsia="宋体" w:hAnsi="Arial" w:cs="Arial" w:hint="eastAsia"/>
        </w:rPr>
        <w:t>供部门</w:t>
      </w:r>
      <w:proofErr w:type="gramEnd"/>
      <w:r w:rsidR="00DA2F5F" w:rsidRPr="00DA2F5F">
        <w:rPr>
          <w:rFonts w:ascii="Arial" w:eastAsia="宋体" w:hAnsi="Arial" w:cs="Arial" w:hint="eastAsia"/>
        </w:rPr>
        <w:t>审议</w:t>
      </w:r>
      <w:r w:rsidRPr="00F31118">
        <w:rPr>
          <w:rFonts w:ascii="Arial" w:eastAsia="宋体" w:hAnsi="Arial" w:cs="Arial"/>
        </w:rPr>
        <w:t>。通讯地址：</w:t>
      </w:r>
      <w:r w:rsidR="00DA2F5F" w:rsidRPr="00FA7CFC">
        <w:rPr>
          <w:rFonts w:ascii="Arial" w:eastAsia="宋体" w:hAnsi="Arial" w:cs="Arial"/>
        </w:rPr>
        <w:t>5630 Fishers Lane, rm. 1061, Rockville, MD 20852</w:t>
      </w:r>
      <w:r w:rsidRPr="00F31118">
        <w:rPr>
          <w:rFonts w:ascii="Arial" w:eastAsia="宋体" w:hAnsi="Arial" w:cs="Arial"/>
        </w:rPr>
        <w:t>。若为电子评论可提交至</w:t>
      </w:r>
      <w:r w:rsidRPr="00102F28">
        <w:rPr>
          <w:rFonts w:ascii="Arial" w:eastAsia="宋体" w:hAnsi="Arial" w:cs="Arial"/>
          <w:u w:val="single"/>
        </w:rPr>
        <w:t>http://www.fda.gov/dockets/ecomments</w:t>
      </w:r>
      <w:r w:rsidRPr="00F31118">
        <w:rPr>
          <w:rFonts w:ascii="Arial" w:eastAsia="宋体" w:hAnsi="Arial" w:cs="Arial"/>
        </w:rPr>
        <w:t>网站。</w:t>
      </w:r>
      <w:r w:rsidR="007573A2" w:rsidRPr="00F31118">
        <w:rPr>
          <w:rFonts w:ascii="Arial" w:eastAsia="宋体" w:hAnsi="Arial" w:cs="Arial"/>
        </w:rPr>
        <w:t>所有评论均以</w:t>
      </w:r>
      <w:r w:rsidR="00DA2F5F">
        <w:rPr>
          <w:rFonts w:ascii="Arial" w:eastAsia="宋体" w:hAnsi="Arial" w:cs="Arial" w:hint="eastAsia"/>
        </w:rPr>
        <w:t>文档</w:t>
      </w:r>
      <w:r w:rsidR="007573A2" w:rsidRPr="00F31118">
        <w:rPr>
          <w:rFonts w:ascii="Arial" w:eastAsia="宋体" w:hAnsi="Arial" w:cs="Arial"/>
        </w:rPr>
        <w:t>编号</w:t>
      </w:r>
      <w:r w:rsidR="007573A2" w:rsidRPr="00F31118">
        <w:rPr>
          <w:rFonts w:ascii="Arial" w:eastAsia="宋体" w:hAnsi="Arial" w:cs="Arial"/>
        </w:rPr>
        <w:t>2006D-0336</w:t>
      </w:r>
      <w:r w:rsidR="007573A2" w:rsidRPr="00F31118">
        <w:rPr>
          <w:rFonts w:ascii="Arial" w:eastAsia="宋体" w:hAnsi="Arial" w:cs="Arial"/>
        </w:rPr>
        <w:t>加以识别。</w:t>
      </w:r>
    </w:p>
    <w:p w:rsidR="007573A2" w:rsidRPr="00F31118" w:rsidRDefault="007573A2" w:rsidP="003059EA">
      <w:pPr>
        <w:snapToGrid w:val="0"/>
        <w:spacing w:line="300" w:lineRule="auto"/>
        <w:rPr>
          <w:rFonts w:ascii="Arial" w:eastAsia="宋体" w:hAnsi="Arial" w:cs="Arial"/>
        </w:rPr>
      </w:pPr>
    </w:p>
    <w:p w:rsidR="007573A2" w:rsidRPr="00F31118" w:rsidRDefault="007573A2" w:rsidP="003059EA">
      <w:pPr>
        <w:snapToGrid w:val="0"/>
        <w:spacing w:line="300" w:lineRule="auto"/>
        <w:rPr>
          <w:rFonts w:ascii="Arial" w:eastAsia="宋体" w:hAnsi="Arial" w:cs="Arial"/>
        </w:rPr>
      </w:pPr>
      <w:r w:rsidRPr="00F31118">
        <w:rPr>
          <w:rFonts w:ascii="Arial" w:eastAsia="宋体" w:hAnsi="Arial" w:cs="Arial"/>
        </w:rPr>
        <w:t>对本文件若有疑问，请致电</w:t>
      </w:r>
      <w:r w:rsidRPr="00F31118">
        <w:rPr>
          <w:rFonts w:ascii="Arial" w:eastAsia="宋体" w:hAnsi="Arial" w:cs="Arial"/>
        </w:rPr>
        <w:t>240-276-0694</w:t>
      </w:r>
      <w:r w:rsidRPr="00F31118">
        <w:rPr>
          <w:rFonts w:ascii="Arial" w:eastAsia="宋体" w:hAnsi="Arial" w:cs="Arial"/>
        </w:rPr>
        <w:t>与</w:t>
      </w:r>
      <w:r w:rsidRPr="00F31118">
        <w:rPr>
          <w:rFonts w:ascii="Arial" w:eastAsia="宋体" w:hAnsi="Arial" w:cs="Arial"/>
        </w:rPr>
        <w:t>Courtney Harper</w:t>
      </w:r>
      <w:r w:rsidRPr="00F31118">
        <w:rPr>
          <w:rFonts w:ascii="Arial" w:eastAsia="宋体" w:hAnsi="Arial" w:cs="Arial"/>
        </w:rPr>
        <w:t>联系。</w:t>
      </w:r>
    </w:p>
    <w:p w:rsidR="007573A2" w:rsidRPr="00F31118" w:rsidRDefault="007573A2" w:rsidP="003059EA">
      <w:pPr>
        <w:snapToGrid w:val="0"/>
        <w:spacing w:line="300" w:lineRule="auto"/>
        <w:rPr>
          <w:rFonts w:ascii="Arial" w:eastAsia="宋体" w:hAnsi="Arial" w:cs="Arial"/>
        </w:rPr>
      </w:pPr>
    </w:p>
    <w:p w:rsidR="007573A2" w:rsidRPr="00F31118" w:rsidRDefault="00DA2F5F" w:rsidP="003059EA">
      <w:pPr>
        <w:snapToGrid w:val="0"/>
        <w:spacing w:line="300" w:lineRule="auto"/>
        <w:rPr>
          <w:rFonts w:ascii="Arial" w:eastAsia="宋体" w:hAnsi="Arial" w:cs="Arial"/>
          <w:b/>
        </w:rPr>
      </w:pPr>
      <w:r>
        <w:rPr>
          <w:rFonts w:ascii="Arial" w:eastAsia="宋体" w:hAnsi="Arial" w:cs="Arial"/>
          <w:b/>
        </w:rPr>
        <w:t>其他副本</w:t>
      </w:r>
    </w:p>
    <w:p w:rsidR="007573A2" w:rsidRPr="00F31118" w:rsidRDefault="007573A2" w:rsidP="003059EA">
      <w:pPr>
        <w:snapToGrid w:val="0"/>
        <w:spacing w:line="300" w:lineRule="auto"/>
        <w:rPr>
          <w:rFonts w:ascii="Arial" w:eastAsia="宋体" w:hAnsi="Arial" w:cs="Arial"/>
        </w:rPr>
      </w:pPr>
    </w:p>
    <w:p w:rsidR="007573A2" w:rsidRPr="00F31118" w:rsidRDefault="00DA2F5F" w:rsidP="003059EA">
      <w:pPr>
        <w:snapToGrid w:val="0"/>
        <w:spacing w:line="300" w:lineRule="auto"/>
        <w:rPr>
          <w:rFonts w:ascii="Arial" w:eastAsia="宋体" w:hAnsi="Arial" w:cs="Arial"/>
        </w:rPr>
      </w:pPr>
      <w:r>
        <w:rPr>
          <w:rFonts w:ascii="Arial" w:eastAsia="宋体" w:hAnsi="Arial" w:cs="Arial"/>
        </w:rPr>
        <w:t>其他副本</w:t>
      </w:r>
      <w:r w:rsidR="007573A2" w:rsidRPr="00F31118">
        <w:rPr>
          <w:rFonts w:ascii="Arial" w:eastAsia="宋体" w:hAnsi="Arial" w:cs="Arial"/>
        </w:rPr>
        <w:t>可从网上下载，网址：</w:t>
      </w:r>
      <w:r w:rsidR="007573A2" w:rsidRPr="00CB72B8">
        <w:rPr>
          <w:rFonts w:ascii="Arial" w:eastAsia="宋体" w:hAnsi="Arial" w:cs="Arial"/>
          <w:u w:val="single"/>
        </w:rPr>
        <w:t>http://www.fda.gov/cdrh/oivd/guidance/1590.pdf</w:t>
      </w:r>
      <w:r w:rsidR="007573A2" w:rsidRPr="00F31118">
        <w:rPr>
          <w:rFonts w:ascii="Arial" w:eastAsia="宋体" w:hAnsi="Arial" w:cs="Arial"/>
        </w:rPr>
        <w:t>或</w:t>
      </w:r>
      <w:r w:rsidR="007D219C" w:rsidRPr="00F31118">
        <w:rPr>
          <w:rFonts w:ascii="Arial" w:eastAsia="宋体" w:hAnsi="Arial" w:cs="Arial"/>
        </w:rPr>
        <w:t>http://www.fda.gov/cber/guidelines.htm</w:t>
      </w:r>
      <w:r w:rsidR="007573A2" w:rsidRPr="00F31118">
        <w:rPr>
          <w:rFonts w:ascii="Arial" w:eastAsia="宋体" w:hAnsi="Arial" w:cs="Arial"/>
        </w:rPr>
        <w:t>。还可发送电邮申请至</w:t>
      </w:r>
      <w:r w:rsidR="007573A2" w:rsidRPr="00CB72B8">
        <w:rPr>
          <w:rFonts w:ascii="Arial" w:eastAsia="宋体" w:hAnsi="Arial" w:cs="Arial"/>
          <w:u w:val="single"/>
        </w:rPr>
        <w:t>dsmica@fda.hhs.gov</w:t>
      </w:r>
      <w:r w:rsidR="007573A2" w:rsidRPr="00F31118">
        <w:rPr>
          <w:rFonts w:ascii="Arial" w:eastAsia="宋体" w:hAnsi="Arial" w:cs="Arial"/>
        </w:rPr>
        <w:t>获取本</w:t>
      </w:r>
      <w:r w:rsidR="000F3824">
        <w:rPr>
          <w:rFonts w:ascii="Arial" w:eastAsia="宋体" w:hAnsi="Arial" w:cs="Arial"/>
        </w:rPr>
        <w:t>指导性文件</w:t>
      </w:r>
      <w:r w:rsidR="007573A2" w:rsidRPr="00F31118">
        <w:rPr>
          <w:rFonts w:ascii="Arial" w:eastAsia="宋体" w:hAnsi="Arial" w:cs="Arial"/>
        </w:rPr>
        <w:t>的电子副本或发送传真申请至</w:t>
      </w:r>
      <w:r w:rsidR="007573A2" w:rsidRPr="00F31118">
        <w:rPr>
          <w:rFonts w:ascii="Arial" w:eastAsia="宋体" w:hAnsi="Arial" w:cs="Arial"/>
        </w:rPr>
        <w:t>240-276-3151</w:t>
      </w:r>
      <w:r w:rsidR="007573A2" w:rsidRPr="00F31118">
        <w:rPr>
          <w:rFonts w:ascii="Arial" w:eastAsia="宋体" w:hAnsi="Arial" w:cs="Arial"/>
        </w:rPr>
        <w:t>获取复印件。请用文件编号</w:t>
      </w:r>
      <w:r w:rsidR="007573A2" w:rsidRPr="00F31118">
        <w:rPr>
          <w:rFonts w:ascii="Arial" w:eastAsia="宋体" w:hAnsi="Arial" w:cs="Arial"/>
        </w:rPr>
        <w:t>15</w:t>
      </w:r>
      <w:r w:rsidR="007D219C" w:rsidRPr="00F31118">
        <w:rPr>
          <w:rFonts w:ascii="Arial" w:eastAsia="宋体" w:hAnsi="Arial" w:cs="Arial"/>
        </w:rPr>
        <w:t>90</w:t>
      </w:r>
      <w:r w:rsidR="007573A2" w:rsidRPr="00F31118">
        <w:rPr>
          <w:rFonts w:ascii="Arial" w:eastAsia="宋体" w:hAnsi="Arial" w:cs="Arial"/>
        </w:rPr>
        <w:t>确认</w:t>
      </w:r>
      <w:r>
        <w:rPr>
          <w:rFonts w:ascii="Arial" w:eastAsia="宋体" w:hAnsi="Arial" w:cs="Arial"/>
        </w:rPr>
        <w:t>贵公司</w:t>
      </w:r>
      <w:r w:rsidR="007573A2" w:rsidRPr="00F31118">
        <w:rPr>
          <w:rFonts w:ascii="Arial" w:eastAsia="宋体" w:hAnsi="Arial" w:cs="Arial"/>
        </w:rPr>
        <w:t>索取的</w:t>
      </w:r>
      <w:r w:rsidR="000F3824">
        <w:rPr>
          <w:rFonts w:ascii="Arial" w:eastAsia="宋体" w:hAnsi="Arial" w:cs="Arial"/>
        </w:rPr>
        <w:t>指导性文件</w:t>
      </w:r>
      <w:r w:rsidR="007573A2" w:rsidRPr="00F31118">
        <w:rPr>
          <w:rFonts w:ascii="Arial" w:eastAsia="宋体" w:hAnsi="Arial" w:cs="Arial"/>
        </w:rPr>
        <w:t>。</w:t>
      </w:r>
      <w:r>
        <w:rPr>
          <w:rFonts w:ascii="Arial" w:eastAsia="宋体" w:hAnsi="Arial" w:cs="Arial"/>
        </w:rPr>
        <w:t>贵公司</w:t>
      </w:r>
      <w:r w:rsidR="007D219C" w:rsidRPr="00F31118">
        <w:rPr>
          <w:rFonts w:ascii="Arial" w:eastAsia="宋体" w:hAnsi="Arial" w:cs="Arial"/>
        </w:rPr>
        <w:t>亦可</w:t>
      </w:r>
      <w:r w:rsidR="00A03D57" w:rsidRPr="00F31118">
        <w:rPr>
          <w:rFonts w:ascii="Arial" w:eastAsia="宋体" w:hAnsi="Arial" w:cs="Arial"/>
        </w:rPr>
        <w:t>向</w:t>
      </w:r>
      <w:r w:rsidR="007D219C" w:rsidRPr="00F31118">
        <w:rPr>
          <w:rFonts w:ascii="Arial" w:eastAsia="宋体" w:hAnsi="Arial" w:cs="Arial"/>
        </w:rPr>
        <w:t>下列地址索取本</w:t>
      </w:r>
      <w:r w:rsidR="000F3824">
        <w:rPr>
          <w:rFonts w:ascii="Arial" w:eastAsia="宋体" w:hAnsi="Arial" w:cs="Arial"/>
        </w:rPr>
        <w:t>指导性文件</w:t>
      </w:r>
      <w:r w:rsidR="00545308" w:rsidRPr="00F31118">
        <w:rPr>
          <w:rFonts w:ascii="Arial" w:eastAsia="宋体" w:hAnsi="Arial" w:cs="Arial"/>
        </w:rPr>
        <w:t>的</w:t>
      </w:r>
      <w:r w:rsidR="007D219C" w:rsidRPr="00F31118">
        <w:rPr>
          <w:rFonts w:ascii="Arial" w:eastAsia="宋体" w:hAnsi="Arial" w:cs="Arial"/>
        </w:rPr>
        <w:t>副本：</w:t>
      </w:r>
    </w:p>
    <w:p w:rsidR="007D219C" w:rsidRPr="00F31118" w:rsidRDefault="007D219C" w:rsidP="003059EA">
      <w:pPr>
        <w:snapToGrid w:val="0"/>
        <w:spacing w:line="300" w:lineRule="auto"/>
        <w:rPr>
          <w:rFonts w:ascii="Arial" w:eastAsia="宋体" w:hAnsi="Arial" w:cs="Arial"/>
        </w:rPr>
      </w:pPr>
    </w:p>
    <w:p w:rsidR="00545308" w:rsidRPr="00F31118" w:rsidRDefault="00D000AC" w:rsidP="003059EA">
      <w:pPr>
        <w:snapToGrid w:val="0"/>
        <w:spacing w:line="300" w:lineRule="auto"/>
        <w:rPr>
          <w:rFonts w:ascii="Arial" w:eastAsia="宋体" w:hAnsi="Arial" w:cs="Arial"/>
        </w:rPr>
      </w:pPr>
      <w:r w:rsidRPr="00F31118">
        <w:rPr>
          <w:rFonts w:ascii="Arial" w:eastAsia="宋体" w:hAnsi="Arial" w:cs="Arial"/>
        </w:rPr>
        <w:t>交流、培训和制造商援助办公室，</w:t>
      </w:r>
      <w:r w:rsidRPr="00F31118">
        <w:rPr>
          <w:rFonts w:ascii="Arial" w:eastAsia="宋体" w:hAnsi="Arial" w:cs="Arial"/>
        </w:rPr>
        <w:t>HFM 40</w:t>
      </w:r>
      <w:r w:rsidRPr="00F31118">
        <w:rPr>
          <w:rFonts w:ascii="Arial" w:eastAsia="宋体" w:hAnsi="Arial" w:cs="Arial"/>
        </w:rPr>
        <w:t>生物制品评价和研究中心食品药品监督管理局</w:t>
      </w:r>
      <w:r w:rsidR="00545308" w:rsidRPr="00F31118">
        <w:rPr>
          <w:rFonts w:ascii="Arial" w:eastAsia="宋体" w:hAnsi="Arial" w:cs="Arial"/>
        </w:rPr>
        <w:t>1401 Rockville Pike, Suite 200N, Rockville, MD 20852-1448</w:t>
      </w:r>
    </w:p>
    <w:p w:rsidR="00D2076F" w:rsidRPr="00F31118" w:rsidRDefault="00D2076F" w:rsidP="003059EA">
      <w:pPr>
        <w:snapToGrid w:val="0"/>
        <w:spacing w:line="300" w:lineRule="auto"/>
        <w:rPr>
          <w:rFonts w:ascii="Arial" w:eastAsia="宋体" w:hAnsi="Arial" w:cs="Arial"/>
        </w:rPr>
      </w:pPr>
    </w:p>
    <w:p w:rsidR="007D219C" w:rsidRPr="00F31118" w:rsidRDefault="00A03D57" w:rsidP="003059EA">
      <w:pPr>
        <w:snapToGrid w:val="0"/>
        <w:spacing w:line="300" w:lineRule="auto"/>
        <w:rPr>
          <w:rFonts w:ascii="Arial" w:eastAsia="宋体" w:hAnsi="Arial" w:cs="Arial"/>
        </w:rPr>
      </w:pPr>
      <w:r w:rsidRPr="00F31118">
        <w:rPr>
          <w:rFonts w:ascii="Arial" w:eastAsia="宋体" w:hAnsi="Arial" w:cs="Arial"/>
        </w:rPr>
        <w:t>电话：</w:t>
      </w:r>
      <w:r w:rsidR="00545308" w:rsidRPr="00F31118">
        <w:rPr>
          <w:rFonts w:ascii="Arial" w:eastAsia="宋体" w:hAnsi="Arial" w:cs="Arial"/>
        </w:rPr>
        <w:t>800-835-4709</w:t>
      </w:r>
      <w:r w:rsidRPr="00F31118">
        <w:rPr>
          <w:rFonts w:ascii="Arial" w:eastAsia="宋体" w:hAnsi="Arial" w:cs="Arial"/>
        </w:rPr>
        <w:t>或</w:t>
      </w:r>
      <w:r w:rsidR="00545308" w:rsidRPr="00F31118">
        <w:rPr>
          <w:rFonts w:ascii="Arial" w:eastAsia="宋体" w:hAnsi="Arial" w:cs="Arial"/>
        </w:rPr>
        <w:t>301-827-1800</w:t>
      </w:r>
    </w:p>
    <w:p w:rsidR="007D219C" w:rsidRPr="00F31118" w:rsidRDefault="007D219C" w:rsidP="003059EA">
      <w:pPr>
        <w:snapToGrid w:val="0"/>
        <w:spacing w:line="300" w:lineRule="auto"/>
        <w:rPr>
          <w:rFonts w:ascii="Arial" w:eastAsia="宋体" w:hAnsi="Arial" w:cs="Arial"/>
        </w:rPr>
      </w:pPr>
    </w:p>
    <w:p w:rsidR="007573A2" w:rsidRPr="00F31118" w:rsidRDefault="007573A2" w:rsidP="003059EA">
      <w:pPr>
        <w:snapToGrid w:val="0"/>
        <w:spacing w:line="300" w:lineRule="auto"/>
        <w:rPr>
          <w:rFonts w:ascii="Arial" w:eastAsia="宋体" w:hAnsi="Arial" w:cs="Arial"/>
        </w:rPr>
      </w:pPr>
    </w:p>
    <w:p w:rsidR="00545308" w:rsidRPr="00F31118" w:rsidRDefault="00545308" w:rsidP="003059EA">
      <w:pPr>
        <w:snapToGrid w:val="0"/>
        <w:spacing w:line="300" w:lineRule="auto"/>
        <w:rPr>
          <w:rFonts w:ascii="Arial" w:eastAsia="宋体" w:hAnsi="Arial" w:cs="Arial"/>
        </w:rPr>
      </w:pPr>
    </w:p>
    <w:p w:rsidR="009A3607" w:rsidRDefault="009A3607">
      <w:pPr>
        <w:widowControl/>
        <w:jc w:val="left"/>
        <w:rPr>
          <w:rFonts w:ascii="Arial" w:eastAsia="宋体" w:hAnsi="Arial" w:cs="Arial"/>
          <w:b/>
        </w:rPr>
      </w:pPr>
      <w:r>
        <w:rPr>
          <w:rFonts w:ascii="Arial" w:eastAsia="宋体" w:hAnsi="Arial" w:cs="Arial"/>
          <w:b/>
        </w:rPr>
        <w:br w:type="page"/>
      </w:r>
    </w:p>
    <w:p w:rsidR="00545308" w:rsidRPr="009A3607" w:rsidRDefault="00545308" w:rsidP="009A3607">
      <w:pPr>
        <w:snapToGrid w:val="0"/>
        <w:spacing w:line="300" w:lineRule="auto"/>
        <w:jc w:val="center"/>
        <w:rPr>
          <w:rFonts w:ascii="Arial" w:eastAsia="宋体" w:hAnsi="Arial" w:cs="Arial"/>
          <w:b/>
          <w:sz w:val="36"/>
          <w:szCs w:val="36"/>
        </w:rPr>
      </w:pPr>
      <w:r w:rsidRPr="009A3607">
        <w:rPr>
          <w:rFonts w:ascii="Arial" w:eastAsia="宋体" w:hAnsi="Arial" w:cs="Arial"/>
          <w:b/>
          <w:sz w:val="36"/>
          <w:szCs w:val="36"/>
        </w:rPr>
        <w:lastRenderedPageBreak/>
        <w:t>行业和食品药品监督管理局工作人员</w:t>
      </w:r>
      <w:r w:rsidR="00DA2F5F">
        <w:rPr>
          <w:rFonts w:ascii="Arial" w:eastAsia="宋体" w:hAnsi="Arial" w:cs="Arial" w:hint="eastAsia"/>
          <w:b/>
          <w:sz w:val="36"/>
          <w:szCs w:val="36"/>
        </w:rPr>
        <w:t>指南</w:t>
      </w:r>
    </w:p>
    <w:p w:rsidR="00545308" w:rsidRPr="009A3607" w:rsidRDefault="00545308" w:rsidP="009A3607">
      <w:pPr>
        <w:snapToGrid w:val="0"/>
        <w:spacing w:line="300" w:lineRule="auto"/>
        <w:jc w:val="center"/>
        <w:rPr>
          <w:rFonts w:ascii="Arial" w:eastAsia="宋体" w:hAnsi="Arial" w:cs="Arial"/>
          <w:b/>
          <w:sz w:val="36"/>
          <w:szCs w:val="36"/>
        </w:rPr>
      </w:pPr>
      <w:r w:rsidRPr="009A3607">
        <w:rPr>
          <w:rFonts w:ascii="Arial" w:eastAsia="宋体" w:hAnsi="Arial" w:cs="Arial"/>
          <w:b/>
          <w:sz w:val="36"/>
          <w:szCs w:val="36"/>
        </w:rPr>
        <w:t>商业分</w:t>
      </w:r>
      <w:r w:rsidR="00F01752" w:rsidRPr="009A3607">
        <w:rPr>
          <w:rFonts w:ascii="Arial" w:eastAsia="宋体" w:hAnsi="Arial" w:cs="Arial"/>
          <w:b/>
          <w:sz w:val="36"/>
          <w:szCs w:val="36"/>
        </w:rPr>
        <w:t>销</w:t>
      </w:r>
      <w:r w:rsidR="00DA2F5F">
        <w:rPr>
          <w:rFonts w:ascii="Arial" w:eastAsia="宋体" w:hAnsi="Arial" w:cs="Arial" w:hint="eastAsia"/>
          <w:b/>
          <w:sz w:val="36"/>
          <w:szCs w:val="36"/>
        </w:rPr>
        <w:t>的</w:t>
      </w:r>
      <w:r w:rsidR="00921E51">
        <w:rPr>
          <w:rFonts w:ascii="Arial" w:eastAsia="宋体" w:hAnsi="Arial" w:cs="Arial"/>
          <w:b/>
          <w:sz w:val="36"/>
          <w:szCs w:val="36"/>
        </w:rPr>
        <w:t>被分析物特效试剂</w:t>
      </w:r>
      <w:r w:rsidRPr="009A3607">
        <w:rPr>
          <w:rFonts w:ascii="Arial" w:eastAsia="宋体" w:hAnsi="Arial" w:cs="Arial"/>
          <w:b/>
          <w:sz w:val="36"/>
          <w:szCs w:val="36"/>
        </w:rPr>
        <w:t>：常见问题</w:t>
      </w:r>
    </w:p>
    <w:p w:rsidR="00545308" w:rsidRPr="00F31118" w:rsidRDefault="00545308" w:rsidP="003059EA">
      <w:pPr>
        <w:snapToGrid w:val="0"/>
        <w:spacing w:line="300" w:lineRule="auto"/>
        <w:rPr>
          <w:rFonts w:ascii="Arial" w:eastAsia="宋体" w:hAnsi="Arial" w:cs="Arial"/>
        </w:rPr>
      </w:pPr>
    </w:p>
    <w:tbl>
      <w:tblPr>
        <w:tblStyle w:val="a5"/>
        <w:tblW w:w="0" w:type="auto"/>
        <w:tblLook w:val="04A0" w:firstRow="1" w:lastRow="0" w:firstColumn="1" w:lastColumn="0" w:noHBand="0" w:noVBand="1"/>
      </w:tblPr>
      <w:tblGrid>
        <w:gridCol w:w="8522"/>
      </w:tblGrid>
      <w:tr w:rsidR="00F15FB0" w:rsidRPr="00F31118" w:rsidTr="001335CA">
        <w:tc>
          <w:tcPr>
            <w:tcW w:w="8522" w:type="dxa"/>
            <w:tcBorders>
              <w:top w:val="single" w:sz="18" w:space="0" w:color="auto"/>
              <w:left w:val="single" w:sz="18" w:space="0" w:color="auto"/>
              <w:bottom w:val="single" w:sz="18" w:space="0" w:color="auto"/>
              <w:right w:val="single" w:sz="18" w:space="0" w:color="auto"/>
            </w:tcBorders>
          </w:tcPr>
          <w:p w:rsidR="00F15FB0" w:rsidRPr="00990FCE" w:rsidRDefault="00F15FB0" w:rsidP="003059EA">
            <w:pPr>
              <w:tabs>
                <w:tab w:val="left" w:pos="1851"/>
              </w:tabs>
              <w:snapToGrid w:val="0"/>
              <w:spacing w:line="300" w:lineRule="auto"/>
              <w:rPr>
                <w:rFonts w:ascii="Arial" w:eastAsia="宋体" w:hAnsi="Arial" w:cs="Arial"/>
                <w:i/>
              </w:rPr>
            </w:pPr>
            <w:r w:rsidRPr="00990FCE">
              <w:rPr>
                <w:rFonts w:ascii="Arial" w:eastAsia="宋体" w:hAnsi="Arial" w:cs="Arial"/>
                <w:i/>
              </w:rPr>
              <w:t>本</w:t>
            </w:r>
            <w:r w:rsidR="000F3824">
              <w:rPr>
                <w:rFonts w:ascii="Arial" w:eastAsia="宋体" w:hAnsi="Arial" w:cs="Arial"/>
                <w:i/>
              </w:rPr>
              <w:t>指导性文件</w:t>
            </w:r>
            <w:r w:rsidRPr="00990FCE">
              <w:rPr>
                <w:rFonts w:ascii="Arial" w:eastAsia="宋体" w:hAnsi="Arial" w:cs="Arial"/>
                <w:i/>
              </w:rPr>
              <w:t>代表食品药品监督管理局目前对该主题的意见。</w:t>
            </w:r>
            <w:r w:rsidR="000F3824" w:rsidRPr="000F3824">
              <w:rPr>
                <w:rFonts w:ascii="Arial" w:eastAsia="宋体" w:hAnsi="Arial" w:cs="Arial" w:hint="eastAsia"/>
                <w:i/>
              </w:rPr>
              <w:t>其不会为任何人创造或赋予任何权利，也不对</w:t>
            </w:r>
            <w:r w:rsidR="000F3824" w:rsidRPr="000F3824">
              <w:rPr>
                <w:rFonts w:ascii="Arial" w:eastAsia="宋体" w:hAnsi="Arial" w:cs="Arial" w:hint="eastAsia"/>
                <w:i/>
              </w:rPr>
              <w:t>FDA</w:t>
            </w:r>
            <w:r w:rsidR="000F3824" w:rsidRPr="000F3824">
              <w:rPr>
                <w:rFonts w:ascii="Arial" w:eastAsia="宋体" w:hAnsi="Arial" w:cs="Arial" w:hint="eastAsia"/>
                <w:i/>
              </w:rPr>
              <w:t>或公众具有约束力。如果替代方法满足适用的法律、法规或其两者的要求，可以使用替代方法。如果贵公司希望讨论一种替代方法，请联系负责实施本指南的</w:t>
            </w:r>
            <w:r w:rsidR="000F3824" w:rsidRPr="000F3824">
              <w:rPr>
                <w:rFonts w:ascii="Arial" w:eastAsia="宋体" w:hAnsi="Arial" w:cs="Arial" w:hint="eastAsia"/>
                <w:i/>
              </w:rPr>
              <w:t>FDA</w:t>
            </w:r>
            <w:r w:rsidR="000F3824" w:rsidRPr="000F3824">
              <w:rPr>
                <w:rFonts w:ascii="Arial" w:eastAsia="宋体" w:hAnsi="Arial" w:cs="Arial" w:hint="eastAsia"/>
                <w:i/>
              </w:rPr>
              <w:t>工作人员。如果贵公司无法确定适当的</w:t>
            </w:r>
            <w:r w:rsidR="000F3824" w:rsidRPr="000F3824">
              <w:rPr>
                <w:rFonts w:ascii="Arial" w:eastAsia="宋体" w:hAnsi="Arial" w:cs="Arial" w:hint="eastAsia"/>
                <w:i/>
              </w:rPr>
              <w:t>FDA</w:t>
            </w:r>
            <w:r w:rsidR="000F3824" w:rsidRPr="000F3824">
              <w:rPr>
                <w:rFonts w:ascii="Arial" w:eastAsia="宋体" w:hAnsi="Arial" w:cs="Arial" w:hint="eastAsia"/>
                <w:i/>
              </w:rPr>
              <w:t>工作人员，请拨打本指南标题页上列出的合适的电话号码。</w:t>
            </w:r>
          </w:p>
        </w:tc>
      </w:tr>
    </w:tbl>
    <w:p w:rsidR="00545308" w:rsidRPr="00F31118" w:rsidRDefault="00545308" w:rsidP="003059EA">
      <w:pPr>
        <w:snapToGrid w:val="0"/>
        <w:spacing w:line="300" w:lineRule="auto"/>
        <w:rPr>
          <w:rFonts w:ascii="Arial" w:eastAsia="宋体" w:hAnsi="Arial" w:cs="Arial"/>
        </w:rPr>
      </w:pPr>
    </w:p>
    <w:p w:rsidR="00545308" w:rsidRPr="00060D50" w:rsidRDefault="001C31B8" w:rsidP="003059EA">
      <w:pPr>
        <w:snapToGrid w:val="0"/>
        <w:spacing w:line="300" w:lineRule="auto"/>
        <w:rPr>
          <w:rFonts w:ascii="Arial" w:eastAsia="宋体" w:hAnsi="Arial" w:cs="Arial"/>
          <w:b/>
          <w:sz w:val="24"/>
          <w:szCs w:val="24"/>
        </w:rPr>
      </w:pPr>
      <w:r w:rsidRPr="00060D50">
        <w:rPr>
          <w:rFonts w:ascii="Arial" w:eastAsia="宋体" w:hAnsi="Arial" w:cs="Arial"/>
          <w:b/>
          <w:sz w:val="24"/>
          <w:szCs w:val="24"/>
        </w:rPr>
        <w:t>前</w:t>
      </w:r>
      <w:r w:rsidR="0007394F" w:rsidRPr="00060D50">
        <w:rPr>
          <w:rFonts w:ascii="Arial" w:eastAsia="宋体" w:hAnsi="Arial" w:cs="Arial"/>
          <w:b/>
          <w:sz w:val="24"/>
          <w:szCs w:val="24"/>
        </w:rPr>
        <w:t>言</w:t>
      </w:r>
    </w:p>
    <w:p w:rsidR="0007394F" w:rsidRPr="00F31118" w:rsidRDefault="0007394F" w:rsidP="003059EA">
      <w:pPr>
        <w:snapToGrid w:val="0"/>
        <w:spacing w:line="300" w:lineRule="auto"/>
        <w:rPr>
          <w:rFonts w:ascii="Arial" w:eastAsia="宋体" w:hAnsi="Arial" w:cs="Arial"/>
        </w:rPr>
      </w:pPr>
    </w:p>
    <w:p w:rsidR="0007394F" w:rsidRPr="00F31118" w:rsidRDefault="00384579" w:rsidP="003059EA">
      <w:pPr>
        <w:snapToGrid w:val="0"/>
        <w:spacing w:line="300" w:lineRule="auto"/>
        <w:rPr>
          <w:rFonts w:ascii="Arial" w:eastAsia="宋体" w:hAnsi="Arial" w:cs="Arial"/>
        </w:rPr>
      </w:pPr>
      <w:r w:rsidRPr="00F31118">
        <w:rPr>
          <w:rFonts w:ascii="Arial" w:eastAsia="宋体" w:hAnsi="Arial" w:cs="Arial"/>
        </w:rPr>
        <w:t>本</w:t>
      </w:r>
      <w:r w:rsidR="000F3824">
        <w:rPr>
          <w:rFonts w:ascii="Arial" w:eastAsia="宋体" w:hAnsi="Arial" w:cs="Arial"/>
        </w:rPr>
        <w:t>指导性文件</w:t>
      </w:r>
      <w:r w:rsidRPr="00F31118">
        <w:rPr>
          <w:rFonts w:ascii="Arial" w:eastAsia="宋体" w:hAnsi="Arial" w:cs="Arial"/>
        </w:rPr>
        <w:t>拟用于阐明商业分</w:t>
      </w:r>
      <w:r w:rsidR="001C31B8" w:rsidRPr="00F31118">
        <w:rPr>
          <w:rFonts w:ascii="Arial" w:eastAsia="宋体" w:hAnsi="Arial" w:cs="Arial"/>
        </w:rPr>
        <w:t>销</w:t>
      </w:r>
      <w:r w:rsidR="00921E51">
        <w:rPr>
          <w:rFonts w:ascii="Arial" w:eastAsia="宋体" w:hAnsi="Arial" w:cs="Arial"/>
        </w:rPr>
        <w:t>被分析物特效试剂</w:t>
      </w:r>
      <w:r w:rsidR="00C85C17" w:rsidRPr="00F31118">
        <w:rPr>
          <w:rFonts w:ascii="Arial" w:eastAsia="宋体" w:hAnsi="Arial" w:cs="Arial"/>
        </w:rPr>
        <w:t>（</w:t>
      </w:r>
      <w:r w:rsidR="00C85C17" w:rsidRPr="00F31118">
        <w:rPr>
          <w:rFonts w:ascii="Arial" w:eastAsia="宋体" w:hAnsi="Arial" w:cs="Arial"/>
        </w:rPr>
        <w:t>ASR</w:t>
      </w:r>
      <w:r w:rsidR="00502B94" w:rsidRPr="00F31118">
        <w:rPr>
          <w:rFonts w:ascii="Arial" w:eastAsia="宋体" w:hAnsi="Arial" w:cs="Arial"/>
        </w:rPr>
        <w:t>s</w:t>
      </w:r>
      <w:r w:rsidR="00C85C17" w:rsidRPr="00F31118">
        <w:rPr>
          <w:rFonts w:ascii="Arial" w:eastAsia="宋体" w:hAnsi="Arial" w:cs="Arial"/>
        </w:rPr>
        <w:t>）相关法规</w:t>
      </w:r>
      <w:bookmarkStart w:id="13" w:name="OLE_LINK9"/>
      <w:bookmarkStart w:id="14" w:name="OLE_LINK10"/>
      <w:r w:rsidR="00E21DFC" w:rsidRPr="00F31118">
        <w:rPr>
          <w:rFonts w:ascii="Arial" w:eastAsia="宋体" w:hAnsi="Arial" w:cs="Arial"/>
        </w:rPr>
        <w:t>（</w:t>
      </w:r>
      <w:r w:rsidR="00E21DFC" w:rsidRPr="00F31118">
        <w:rPr>
          <w:rFonts w:ascii="Arial" w:eastAsia="宋体" w:hAnsi="Arial" w:cs="Arial"/>
        </w:rPr>
        <w:t>21 CFR 809.10(e)</w:t>
      </w:r>
      <w:r w:rsidR="00E21DFC" w:rsidRPr="00F31118">
        <w:rPr>
          <w:rFonts w:ascii="Arial" w:eastAsia="宋体" w:hAnsi="Arial" w:cs="Arial"/>
        </w:rPr>
        <w:t>，</w:t>
      </w:r>
      <w:r w:rsidR="00E21DFC" w:rsidRPr="00F31118">
        <w:rPr>
          <w:rFonts w:ascii="Arial" w:eastAsia="宋体" w:hAnsi="Arial" w:cs="Arial"/>
        </w:rPr>
        <w:t>809.30</w:t>
      </w:r>
      <w:r w:rsidR="00E21DFC" w:rsidRPr="00F31118">
        <w:rPr>
          <w:rFonts w:ascii="Arial" w:eastAsia="宋体" w:hAnsi="Arial" w:cs="Arial"/>
        </w:rPr>
        <w:t>和</w:t>
      </w:r>
      <w:r w:rsidR="00E21DFC" w:rsidRPr="00F31118">
        <w:rPr>
          <w:rFonts w:ascii="Arial" w:eastAsia="宋体" w:hAnsi="Arial" w:cs="Arial"/>
        </w:rPr>
        <w:t>864.4020</w:t>
      </w:r>
      <w:r w:rsidR="00E21DFC" w:rsidRPr="00F31118">
        <w:rPr>
          <w:rFonts w:ascii="Arial" w:eastAsia="宋体" w:hAnsi="Arial" w:cs="Arial"/>
        </w:rPr>
        <w:t>）</w:t>
      </w:r>
      <w:bookmarkEnd w:id="13"/>
      <w:bookmarkEnd w:id="14"/>
      <w:r w:rsidR="00C85C17" w:rsidRPr="00F31118">
        <w:rPr>
          <w:rFonts w:ascii="Arial" w:eastAsia="宋体" w:hAnsi="Arial" w:cs="Arial"/>
        </w:rPr>
        <w:t>以及该试剂制造商的角色和责任。</w:t>
      </w:r>
      <w:r w:rsidR="00E21DFC" w:rsidRPr="00F31118">
        <w:rPr>
          <w:rFonts w:ascii="Arial" w:eastAsia="宋体" w:hAnsi="Arial" w:cs="Arial"/>
        </w:rPr>
        <w:t>本文件无意为临床实验室在</w:t>
      </w:r>
      <w:r w:rsidR="000963AB" w:rsidRPr="00F31118">
        <w:rPr>
          <w:rFonts w:ascii="Arial" w:eastAsia="宋体" w:hAnsi="Arial" w:cs="Arial"/>
        </w:rPr>
        <w:t>药事未核准检验（</w:t>
      </w:r>
      <w:r w:rsidR="000963AB" w:rsidRPr="00F31118">
        <w:rPr>
          <w:rFonts w:ascii="Arial" w:eastAsia="宋体" w:hAnsi="Arial" w:cs="Arial"/>
        </w:rPr>
        <w:t>LDT</w:t>
      </w:r>
      <w:r w:rsidR="00502B94" w:rsidRPr="00F31118">
        <w:rPr>
          <w:rFonts w:ascii="Arial" w:eastAsia="宋体" w:hAnsi="Arial" w:cs="Arial"/>
        </w:rPr>
        <w:t>s</w:t>
      </w:r>
      <w:r w:rsidR="000963AB" w:rsidRPr="00F31118">
        <w:rPr>
          <w:rFonts w:ascii="Arial" w:eastAsia="宋体" w:hAnsi="Arial" w:cs="Arial"/>
        </w:rPr>
        <w:t>）</w:t>
      </w:r>
      <w:r w:rsidR="006105C0" w:rsidRPr="00F31118">
        <w:rPr>
          <w:rFonts w:ascii="Arial" w:eastAsia="宋体" w:hAnsi="Arial" w:cs="Arial"/>
        </w:rPr>
        <w:t>开发中的作用提供指导。</w:t>
      </w:r>
      <w:r w:rsidR="000674D6" w:rsidRPr="00F31118">
        <w:rPr>
          <w:rFonts w:ascii="Arial" w:eastAsia="宋体" w:hAnsi="Arial" w:cs="Arial"/>
        </w:rPr>
        <w:t>本</w:t>
      </w:r>
      <w:r w:rsidR="000F3824">
        <w:rPr>
          <w:rFonts w:ascii="Arial" w:eastAsia="宋体" w:hAnsi="Arial" w:cs="Arial"/>
        </w:rPr>
        <w:t>指导性文件</w:t>
      </w:r>
      <w:r w:rsidR="000674D6" w:rsidRPr="00F31118">
        <w:rPr>
          <w:rFonts w:ascii="Arial" w:eastAsia="宋体" w:hAnsi="Arial" w:cs="Arial"/>
        </w:rPr>
        <w:t>遵循了药事未核准检验现行法规的实质、精神和意图。</w:t>
      </w:r>
    </w:p>
    <w:p w:rsidR="00545308" w:rsidRPr="00F31118" w:rsidRDefault="00545308" w:rsidP="003059EA">
      <w:pPr>
        <w:snapToGrid w:val="0"/>
        <w:spacing w:line="300" w:lineRule="auto"/>
        <w:rPr>
          <w:rFonts w:ascii="Arial" w:eastAsia="宋体" w:hAnsi="Arial" w:cs="Arial"/>
        </w:rPr>
      </w:pPr>
    </w:p>
    <w:p w:rsidR="0007394F" w:rsidRPr="00F31118" w:rsidRDefault="000674D6" w:rsidP="003059EA">
      <w:pPr>
        <w:snapToGrid w:val="0"/>
        <w:spacing w:line="300" w:lineRule="auto"/>
        <w:rPr>
          <w:rFonts w:ascii="Arial" w:eastAsia="宋体" w:hAnsi="Arial" w:cs="Arial"/>
        </w:rPr>
      </w:pPr>
      <w:r w:rsidRPr="00F31118">
        <w:rPr>
          <w:rFonts w:ascii="Arial" w:eastAsia="宋体" w:hAnsi="Arial" w:cs="Arial"/>
        </w:rPr>
        <w:t>本</w:t>
      </w:r>
      <w:r w:rsidR="000F3824">
        <w:rPr>
          <w:rFonts w:ascii="Arial" w:eastAsia="宋体" w:hAnsi="Arial" w:cs="Arial"/>
        </w:rPr>
        <w:t>指导性文件</w:t>
      </w:r>
      <w:r w:rsidR="00CD49C8" w:rsidRPr="00F31118">
        <w:rPr>
          <w:rFonts w:ascii="Arial" w:eastAsia="宋体" w:hAnsi="Arial" w:cs="Arial"/>
        </w:rPr>
        <w:t>介绍了有关如何销售</w:t>
      </w:r>
      <w:r w:rsidR="00921E51">
        <w:rPr>
          <w:rFonts w:ascii="Arial" w:eastAsia="宋体" w:hAnsi="Arial" w:cs="Arial"/>
        </w:rPr>
        <w:t>被分析物特效试剂</w:t>
      </w:r>
      <w:r w:rsidR="00CD49C8" w:rsidRPr="00F31118">
        <w:rPr>
          <w:rFonts w:ascii="Arial" w:eastAsia="宋体" w:hAnsi="Arial" w:cs="Arial"/>
        </w:rPr>
        <w:t>的某些常见问题并提供了食品药品监督管理局体外诊断</w:t>
      </w:r>
      <w:r w:rsidR="00921E51">
        <w:rPr>
          <w:rFonts w:ascii="Arial" w:eastAsia="宋体" w:hAnsi="Arial" w:cs="Arial"/>
        </w:rPr>
        <w:t>器械</w:t>
      </w:r>
      <w:r w:rsidR="00CD49C8" w:rsidRPr="00F31118">
        <w:rPr>
          <w:rFonts w:ascii="Arial" w:eastAsia="宋体" w:hAnsi="Arial" w:cs="Arial"/>
        </w:rPr>
        <w:t>评价和安全办公室（</w:t>
      </w:r>
      <w:r w:rsidR="00CD49C8" w:rsidRPr="00F31118">
        <w:rPr>
          <w:rFonts w:ascii="Arial" w:eastAsia="宋体" w:hAnsi="Arial" w:cs="Arial"/>
        </w:rPr>
        <w:t>OIVD</w:t>
      </w:r>
      <w:proofErr w:type="gramStart"/>
      <w:r w:rsidR="00502B94" w:rsidRPr="00F31118">
        <w:rPr>
          <w:rFonts w:ascii="Arial" w:eastAsia="宋体" w:hAnsi="Arial" w:cs="Arial"/>
        </w:rPr>
        <w:t>’</w:t>
      </w:r>
      <w:proofErr w:type="gramEnd"/>
      <w:r w:rsidR="00502B94" w:rsidRPr="00F31118">
        <w:rPr>
          <w:rFonts w:ascii="Arial" w:eastAsia="宋体" w:hAnsi="Arial" w:cs="Arial"/>
        </w:rPr>
        <w:t>s</w:t>
      </w:r>
      <w:r w:rsidR="00CD49C8" w:rsidRPr="00F31118">
        <w:rPr>
          <w:rFonts w:ascii="Arial" w:eastAsia="宋体" w:hAnsi="Arial" w:cs="Arial"/>
        </w:rPr>
        <w:t>）</w:t>
      </w:r>
      <w:r w:rsidR="001E0D3D" w:rsidRPr="00F31118">
        <w:rPr>
          <w:rFonts w:ascii="Arial" w:eastAsia="宋体" w:hAnsi="Arial" w:cs="Arial"/>
        </w:rPr>
        <w:t>和生物制剂评价研究中心（</w:t>
      </w:r>
      <w:r w:rsidR="001E0D3D" w:rsidRPr="00F31118">
        <w:rPr>
          <w:rFonts w:ascii="Arial" w:eastAsia="宋体" w:hAnsi="Arial" w:cs="Arial"/>
        </w:rPr>
        <w:t>CBER</w:t>
      </w:r>
      <w:proofErr w:type="gramStart"/>
      <w:r w:rsidR="00502B94" w:rsidRPr="00F31118">
        <w:rPr>
          <w:rFonts w:ascii="Arial" w:eastAsia="宋体" w:hAnsi="Arial" w:cs="Arial"/>
        </w:rPr>
        <w:t>’</w:t>
      </w:r>
      <w:proofErr w:type="gramEnd"/>
      <w:r w:rsidR="00502B94" w:rsidRPr="00F31118">
        <w:rPr>
          <w:rFonts w:ascii="Arial" w:eastAsia="宋体" w:hAnsi="Arial" w:cs="Arial"/>
        </w:rPr>
        <w:t>s</w:t>
      </w:r>
      <w:r w:rsidR="001E0D3D" w:rsidRPr="00F31118">
        <w:rPr>
          <w:rFonts w:ascii="Arial" w:eastAsia="宋体" w:hAnsi="Arial" w:cs="Arial"/>
        </w:rPr>
        <w:t>）对这些问题的答复。</w:t>
      </w:r>
      <w:r w:rsidR="005A2D71" w:rsidRPr="00F31118">
        <w:rPr>
          <w:rFonts w:ascii="Arial" w:eastAsia="宋体" w:hAnsi="Arial" w:cs="Arial"/>
        </w:rPr>
        <w:t>除另有所指外，在本</w:t>
      </w:r>
      <w:r w:rsidR="000F3824">
        <w:rPr>
          <w:rFonts w:ascii="Arial" w:eastAsia="宋体" w:hAnsi="Arial" w:cs="Arial"/>
        </w:rPr>
        <w:t>指导性文件</w:t>
      </w:r>
      <w:r w:rsidR="005A2D71" w:rsidRPr="00F31118">
        <w:rPr>
          <w:rFonts w:ascii="Arial" w:eastAsia="宋体" w:hAnsi="Arial" w:cs="Arial"/>
        </w:rPr>
        <w:t>中使用</w:t>
      </w:r>
      <w:r w:rsidR="005A2D71" w:rsidRPr="00F31118">
        <w:rPr>
          <w:rFonts w:ascii="Arial" w:eastAsia="宋体" w:hAnsi="Arial" w:cs="Arial"/>
        </w:rPr>
        <w:t>“</w:t>
      </w:r>
      <w:r w:rsidR="00921E51">
        <w:rPr>
          <w:rFonts w:ascii="Arial" w:eastAsia="宋体" w:hAnsi="Arial" w:cs="Arial"/>
        </w:rPr>
        <w:t>被分析物特效试剂</w:t>
      </w:r>
      <w:r w:rsidR="005A2D71" w:rsidRPr="00F31118">
        <w:rPr>
          <w:rFonts w:ascii="Arial" w:eastAsia="宋体" w:hAnsi="Arial" w:cs="Arial"/>
        </w:rPr>
        <w:t>”</w:t>
      </w:r>
      <w:r w:rsidR="005A2D71" w:rsidRPr="00F31118">
        <w:rPr>
          <w:rFonts w:ascii="Arial" w:eastAsia="宋体" w:hAnsi="Arial" w:cs="Arial"/>
        </w:rPr>
        <w:t>这个术语指的是商业分</w:t>
      </w:r>
      <w:r w:rsidR="00F01752" w:rsidRPr="00F31118">
        <w:rPr>
          <w:rFonts w:ascii="Arial" w:eastAsia="宋体" w:hAnsi="Arial" w:cs="Arial"/>
        </w:rPr>
        <w:t>销</w:t>
      </w:r>
      <w:r w:rsidR="00921E51">
        <w:rPr>
          <w:rFonts w:ascii="Arial" w:eastAsia="宋体" w:hAnsi="Arial" w:cs="Arial"/>
        </w:rPr>
        <w:t>被分析物特效试剂</w:t>
      </w:r>
      <w:r w:rsidR="005A2D71" w:rsidRPr="00F31118">
        <w:rPr>
          <w:rFonts w:ascii="Arial" w:eastAsia="宋体" w:hAnsi="Arial" w:cs="Arial"/>
        </w:rPr>
        <w:t>，</w:t>
      </w:r>
      <w:r w:rsidR="00012747" w:rsidRPr="00F31118">
        <w:rPr>
          <w:rFonts w:ascii="Arial" w:eastAsia="宋体" w:hAnsi="Arial" w:cs="Arial"/>
        </w:rPr>
        <w:t>而</w:t>
      </w:r>
      <w:r w:rsidR="00502B94" w:rsidRPr="00F31118">
        <w:rPr>
          <w:rFonts w:ascii="Arial" w:eastAsia="宋体" w:hAnsi="Arial" w:cs="Arial"/>
        </w:rPr>
        <w:t>“</w:t>
      </w:r>
      <w:r w:rsidR="00502B94" w:rsidRPr="00F31118">
        <w:rPr>
          <w:rFonts w:ascii="Arial" w:eastAsia="宋体" w:hAnsi="Arial" w:cs="Arial"/>
        </w:rPr>
        <w:t>制造商</w:t>
      </w:r>
      <w:r w:rsidR="00502B94" w:rsidRPr="00F31118">
        <w:rPr>
          <w:rFonts w:ascii="Arial" w:eastAsia="宋体" w:hAnsi="Arial" w:cs="Arial"/>
        </w:rPr>
        <w:t>”</w:t>
      </w:r>
      <w:r w:rsidR="00012747" w:rsidRPr="00F31118">
        <w:rPr>
          <w:rFonts w:ascii="Arial" w:eastAsia="宋体" w:hAnsi="Arial" w:cs="Arial"/>
        </w:rPr>
        <w:t>这个术语则指的是商业分</w:t>
      </w:r>
      <w:r w:rsidR="00F01752" w:rsidRPr="00F31118">
        <w:rPr>
          <w:rFonts w:ascii="Arial" w:eastAsia="宋体" w:hAnsi="Arial" w:cs="Arial"/>
        </w:rPr>
        <w:t>销</w:t>
      </w:r>
      <w:r w:rsidR="00921E51">
        <w:rPr>
          <w:rFonts w:ascii="Arial" w:eastAsia="宋体" w:hAnsi="Arial" w:cs="Arial"/>
        </w:rPr>
        <w:t>被分析物特效试剂</w:t>
      </w:r>
      <w:r w:rsidR="00012747" w:rsidRPr="00F31118">
        <w:rPr>
          <w:rFonts w:ascii="Arial" w:eastAsia="宋体" w:hAnsi="Arial" w:cs="Arial"/>
        </w:rPr>
        <w:t>的制造商。</w:t>
      </w:r>
    </w:p>
    <w:p w:rsidR="006105C0" w:rsidRPr="00F31118" w:rsidRDefault="006105C0" w:rsidP="003059EA">
      <w:pPr>
        <w:snapToGrid w:val="0"/>
        <w:spacing w:line="300" w:lineRule="auto"/>
        <w:rPr>
          <w:rFonts w:ascii="Arial" w:eastAsia="宋体" w:hAnsi="Arial" w:cs="Arial"/>
        </w:rPr>
      </w:pPr>
    </w:p>
    <w:p w:rsidR="00307B75" w:rsidRPr="00F31118" w:rsidRDefault="00F10F45" w:rsidP="003059EA">
      <w:pPr>
        <w:snapToGrid w:val="0"/>
        <w:spacing w:line="300" w:lineRule="auto"/>
        <w:rPr>
          <w:rFonts w:ascii="Arial" w:eastAsia="宋体" w:hAnsi="Arial" w:cs="Arial"/>
        </w:rPr>
      </w:pPr>
      <w:r w:rsidRPr="00F31118">
        <w:rPr>
          <w:rFonts w:ascii="Arial" w:eastAsia="宋体" w:hAnsi="Arial" w:cs="Arial"/>
        </w:rPr>
        <w:t>食品药品监督管理局提供本</w:t>
      </w:r>
      <w:r w:rsidR="000F3824">
        <w:rPr>
          <w:rFonts w:ascii="Arial" w:eastAsia="宋体" w:hAnsi="Arial" w:cs="Arial"/>
        </w:rPr>
        <w:t>指导性文件</w:t>
      </w:r>
      <w:r w:rsidRPr="00F31118">
        <w:rPr>
          <w:rFonts w:ascii="Arial" w:eastAsia="宋体" w:hAnsi="Arial" w:cs="Arial"/>
        </w:rPr>
        <w:t>的</w:t>
      </w:r>
      <w:r w:rsidR="00D23807" w:rsidRPr="00F31118">
        <w:rPr>
          <w:rFonts w:ascii="Arial" w:eastAsia="宋体" w:hAnsi="Arial" w:cs="Arial"/>
        </w:rPr>
        <w:t>目的是消除在</w:t>
      </w:r>
      <w:r w:rsidR="00921E51">
        <w:rPr>
          <w:rFonts w:ascii="Arial" w:eastAsia="宋体" w:hAnsi="Arial" w:cs="Arial"/>
        </w:rPr>
        <w:t>被分析物特效试剂</w:t>
      </w:r>
      <w:r w:rsidR="00D23807" w:rsidRPr="00F31118">
        <w:rPr>
          <w:rFonts w:ascii="Arial" w:eastAsia="宋体" w:hAnsi="Arial" w:cs="Arial"/>
        </w:rPr>
        <w:t>制造商中存在的涉及</w:t>
      </w:r>
      <w:r w:rsidR="00C80454" w:rsidRPr="00F31118">
        <w:rPr>
          <w:rFonts w:ascii="Arial" w:eastAsia="宋体" w:hAnsi="Arial" w:cs="Arial"/>
        </w:rPr>
        <w:t>特定销售活动</w:t>
      </w:r>
      <w:r w:rsidR="00CA7517" w:rsidRPr="00F31118">
        <w:rPr>
          <w:rFonts w:ascii="Arial" w:eastAsia="宋体" w:hAnsi="Arial" w:cs="Arial"/>
        </w:rPr>
        <w:t>的混乱现象。如本</w:t>
      </w:r>
      <w:r w:rsidR="000F3824">
        <w:rPr>
          <w:rFonts w:ascii="Arial" w:eastAsia="宋体" w:hAnsi="Arial" w:cs="Arial"/>
        </w:rPr>
        <w:t>指导性文件</w:t>
      </w:r>
      <w:r w:rsidR="00CA7517" w:rsidRPr="00F31118">
        <w:rPr>
          <w:rFonts w:ascii="Arial" w:eastAsia="宋体" w:hAnsi="Arial" w:cs="Arial"/>
        </w:rPr>
        <w:t>所述，</w:t>
      </w:r>
      <w:r w:rsidR="00921E51">
        <w:rPr>
          <w:rFonts w:ascii="Arial" w:eastAsia="宋体" w:hAnsi="Arial" w:cs="Arial"/>
        </w:rPr>
        <w:t>被分析物特效试剂</w:t>
      </w:r>
      <w:r w:rsidR="00307B75" w:rsidRPr="00F31118">
        <w:rPr>
          <w:rFonts w:ascii="Arial" w:eastAsia="宋体" w:hAnsi="Arial" w:cs="Arial"/>
        </w:rPr>
        <w:t>是药事未核准检验的</w:t>
      </w:r>
      <w:r w:rsidR="00A82711" w:rsidRPr="00F31118">
        <w:rPr>
          <w:rFonts w:ascii="Arial" w:eastAsia="宋体" w:hAnsi="Arial" w:cs="Arial"/>
        </w:rPr>
        <w:t>构造板块</w:t>
      </w:r>
      <w:r w:rsidR="00307B75" w:rsidRPr="00F31118">
        <w:rPr>
          <w:rFonts w:ascii="Arial" w:eastAsia="宋体" w:hAnsi="Arial" w:cs="Arial"/>
        </w:rPr>
        <w:t>（见本文件第</w:t>
      </w:r>
      <w:r w:rsidR="00307B75" w:rsidRPr="00F31118">
        <w:rPr>
          <w:rFonts w:ascii="Arial" w:eastAsia="宋体" w:hAnsi="Arial" w:cs="Arial"/>
        </w:rPr>
        <w:t>2</w:t>
      </w:r>
      <w:r w:rsidR="00307B75" w:rsidRPr="00F31118">
        <w:rPr>
          <w:rFonts w:ascii="Arial" w:eastAsia="宋体" w:hAnsi="Arial" w:cs="Arial"/>
        </w:rPr>
        <w:t>节）。</w:t>
      </w:r>
      <w:r w:rsidR="000A6766" w:rsidRPr="00F31118">
        <w:rPr>
          <w:rFonts w:ascii="Arial" w:eastAsia="宋体" w:hAnsi="Arial" w:cs="Arial"/>
        </w:rPr>
        <w:t>在</w:t>
      </w:r>
      <w:r w:rsidR="000A6766" w:rsidRPr="00F31118">
        <w:rPr>
          <w:rFonts w:ascii="Arial" w:eastAsia="宋体" w:hAnsi="Arial" w:cs="Arial"/>
        </w:rPr>
        <w:t>21 CFR 864.4020</w:t>
      </w:r>
      <w:r w:rsidR="000A6766" w:rsidRPr="00F31118">
        <w:rPr>
          <w:rFonts w:ascii="Arial" w:eastAsia="宋体" w:hAnsi="Arial" w:cs="Arial"/>
        </w:rPr>
        <w:t>中对</w:t>
      </w:r>
      <w:r w:rsidR="00921E51">
        <w:rPr>
          <w:rFonts w:ascii="Arial" w:eastAsia="宋体" w:hAnsi="Arial" w:cs="Arial"/>
        </w:rPr>
        <w:t>被分析物特效试剂</w:t>
      </w:r>
      <w:r w:rsidR="000A6766" w:rsidRPr="00F31118">
        <w:rPr>
          <w:rFonts w:ascii="Arial" w:eastAsia="宋体" w:hAnsi="Arial" w:cs="Arial"/>
        </w:rPr>
        <w:t>进行了定义和分类。</w:t>
      </w:r>
      <w:r w:rsidR="00191CA6" w:rsidRPr="00F31118">
        <w:rPr>
          <w:rFonts w:ascii="Arial" w:eastAsia="宋体" w:hAnsi="Arial" w:cs="Arial"/>
        </w:rPr>
        <w:t>食品药品监督管理局利用本</w:t>
      </w:r>
      <w:r w:rsidR="000F3824">
        <w:rPr>
          <w:rFonts w:ascii="Arial" w:eastAsia="宋体" w:hAnsi="Arial" w:cs="Arial"/>
        </w:rPr>
        <w:t>指导性文件</w:t>
      </w:r>
      <w:r w:rsidR="00191CA6" w:rsidRPr="00F31118">
        <w:rPr>
          <w:rFonts w:ascii="Arial" w:eastAsia="宋体" w:hAnsi="Arial" w:cs="Arial"/>
        </w:rPr>
        <w:t>力图告知</w:t>
      </w:r>
      <w:r w:rsidR="00921E51">
        <w:rPr>
          <w:rFonts w:ascii="Arial" w:eastAsia="宋体" w:hAnsi="Arial" w:cs="Arial"/>
        </w:rPr>
        <w:t>被分析物特效试剂</w:t>
      </w:r>
      <w:r w:rsidR="00191CA6" w:rsidRPr="00F31118">
        <w:rPr>
          <w:rFonts w:ascii="Arial" w:eastAsia="宋体" w:hAnsi="Arial" w:cs="Arial"/>
        </w:rPr>
        <w:t>制造商其</w:t>
      </w:r>
      <w:r w:rsidR="008B067D" w:rsidRPr="00F31118">
        <w:rPr>
          <w:rFonts w:ascii="Arial" w:eastAsia="宋体" w:hAnsi="Arial" w:cs="Arial"/>
        </w:rPr>
        <w:t>认为</w:t>
      </w:r>
      <w:r w:rsidR="00191CA6" w:rsidRPr="00F31118">
        <w:rPr>
          <w:rFonts w:ascii="Arial" w:eastAsia="宋体" w:hAnsi="Arial" w:cs="Arial"/>
        </w:rPr>
        <w:t>下列活动</w:t>
      </w:r>
      <w:r w:rsidR="008B067D" w:rsidRPr="00F31118">
        <w:rPr>
          <w:rFonts w:ascii="Arial" w:eastAsia="宋体" w:hAnsi="Arial" w:cs="Arial"/>
        </w:rPr>
        <w:t>与</w:t>
      </w:r>
      <w:r w:rsidR="008B067D" w:rsidRPr="00F31118">
        <w:rPr>
          <w:rFonts w:ascii="Arial" w:eastAsia="宋体" w:hAnsi="Arial" w:cs="Arial"/>
        </w:rPr>
        <w:t>21 CFR 864.4020</w:t>
      </w:r>
      <w:r w:rsidR="008B067D" w:rsidRPr="00F31118">
        <w:rPr>
          <w:rFonts w:ascii="Arial" w:eastAsia="宋体" w:hAnsi="Arial" w:cs="Arial"/>
        </w:rPr>
        <w:t>定义的</w:t>
      </w:r>
      <w:r w:rsidR="00921E51">
        <w:rPr>
          <w:rFonts w:ascii="Arial" w:eastAsia="宋体" w:hAnsi="Arial" w:cs="Arial"/>
        </w:rPr>
        <w:t>被分析物特效试剂</w:t>
      </w:r>
      <w:r w:rsidR="00240845" w:rsidRPr="00F31118">
        <w:rPr>
          <w:rFonts w:ascii="Arial" w:eastAsia="宋体" w:hAnsi="Arial" w:cs="Arial"/>
        </w:rPr>
        <w:t>的</w:t>
      </w:r>
      <w:r w:rsidR="008B067D" w:rsidRPr="00F31118">
        <w:rPr>
          <w:rFonts w:ascii="Arial" w:eastAsia="宋体" w:hAnsi="Arial" w:cs="Arial"/>
        </w:rPr>
        <w:t>销售</w:t>
      </w:r>
      <w:r w:rsidR="00240845" w:rsidRPr="00F31118">
        <w:rPr>
          <w:rFonts w:ascii="Arial" w:eastAsia="宋体" w:hAnsi="Arial" w:cs="Arial"/>
        </w:rPr>
        <w:t>活动是相矛盾的：</w:t>
      </w:r>
    </w:p>
    <w:p w:rsidR="00240845" w:rsidRPr="00F31118" w:rsidRDefault="00240845" w:rsidP="003059EA">
      <w:pPr>
        <w:snapToGrid w:val="0"/>
        <w:spacing w:line="300" w:lineRule="auto"/>
        <w:rPr>
          <w:rFonts w:ascii="Arial" w:eastAsia="宋体" w:hAnsi="Arial" w:cs="Arial"/>
        </w:rPr>
      </w:pPr>
    </w:p>
    <w:p w:rsidR="00240845" w:rsidRPr="00F31118" w:rsidRDefault="00240845" w:rsidP="003059EA">
      <w:pPr>
        <w:snapToGrid w:val="0"/>
        <w:spacing w:line="300" w:lineRule="auto"/>
        <w:rPr>
          <w:rFonts w:ascii="Arial" w:eastAsia="宋体" w:hAnsi="Arial" w:cs="Arial"/>
        </w:rPr>
      </w:pPr>
      <w:r w:rsidRPr="00F31118">
        <w:rPr>
          <w:rFonts w:ascii="Arial" w:eastAsia="宋体" w:hAnsi="Arial" w:cs="Arial"/>
        </w:rPr>
        <w:t>·</w:t>
      </w:r>
      <w:r w:rsidR="00C47E29" w:rsidRPr="00F31118">
        <w:rPr>
          <w:rFonts w:ascii="Arial" w:eastAsia="宋体" w:hAnsi="Arial" w:cs="Arial"/>
        </w:rPr>
        <w:t>将</w:t>
      </w:r>
      <w:r w:rsidR="00BE49B0" w:rsidRPr="00F31118">
        <w:rPr>
          <w:rFonts w:ascii="Arial" w:eastAsia="宋体" w:hAnsi="Arial" w:cs="Arial"/>
        </w:rPr>
        <w:t>某种</w:t>
      </w:r>
      <w:r w:rsidR="00C47E29" w:rsidRPr="00F31118">
        <w:rPr>
          <w:rFonts w:ascii="Arial" w:eastAsia="宋体" w:hAnsi="Arial" w:cs="Arial"/>
        </w:rPr>
        <w:t>单一</w:t>
      </w:r>
      <w:r w:rsidR="00921E51">
        <w:rPr>
          <w:rFonts w:ascii="Arial" w:eastAsia="宋体" w:hAnsi="Arial" w:cs="Arial"/>
        </w:rPr>
        <w:t>被分析物特效试剂</w:t>
      </w:r>
      <w:r w:rsidR="00C47E29" w:rsidRPr="00F31118">
        <w:rPr>
          <w:rFonts w:ascii="Arial" w:eastAsia="宋体" w:hAnsi="Arial" w:cs="Arial"/>
        </w:rPr>
        <w:t>与另一种产品（如其它</w:t>
      </w:r>
      <w:r w:rsidR="00921E51">
        <w:rPr>
          <w:rFonts w:ascii="Arial" w:eastAsia="宋体" w:hAnsi="Arial" w:cs="Arial"/>
        </w:rPr>
        <w:t>被分析物特效试剂</w:t>
      </w:r>
      <w:r w:rsidR="00C47E29" w:rsidRPr="00F31118">
        <w:rPr>
          <w:rFonts w:ascii="Arial" w:eastAsia="宋体" w:hAnsi="Arial" w:cs="Arial"/>
        </w:rPr>
        <w:t>、通用试剂、质控品、指定实验室仪器、软件等）</w:t>
      </w:r>
      <w:r w:rsidR="00BE49B0" w:rsidRPr="00F31118">
        <w:rPr>
          <w:rFonts w:ascii="Arial" w:eastAsia="宋体" w:hAnsi="Arial" w:cs="Arial"/>
        </w:rPr>
        <w:t>捆绑</w:t>
      </w:r>
      <w:r w:rsidR="00C47E29" w:rsidRPr="00F31118">
        <w:rPr>
          <w:rFonts w:ascii="Arial" w:eastAsia="宋体" w:hAnsi="Arial" w:cs="Arial"/>
        </w:rPr>
        <w:t>使用或</w:t>
      </w:r>
      <w:r w:rsidR="00A82711" w:rsidRPr="00F31118">
        <w:rPr>
          <w:rFonts w:ascii="Arial" w:eastAsia="宋体" w:hAnsi="Arial" w:cs="Arial"/>
        </w:rPr>
        <w:t>推</w:t>
      </w:r>
      <w:r w:rsidR="00C47E29" w:rsidRPr="00F31118">
        <w:rPr>
          <w:rFonts w:ascii="Arial" w:eastAsia="宋体" w:hAnsi="Arial" w:cs="Arial"/>
        </w:rPr>
        <w:t>销。</w:t>
      </w:r>
    </w:p>
    <w:p w:rsidR="00C47E29" w:rsidRPr="00F31118" w:rsidRDefault="00C47E29" w:rsidP="003059EA">
      <w:pPr>
        <w:snapToGrid w:val="0"/>
        <w:spacing w:line="300" w:lineRule="auto"/>
        <w:rPr>
          <w:rFonts w:ascii="Arial" w:eastAsia="宋体" w:hAnsi="Arial" w:cs="Arial"/>
        </w:rPr>
      </w:pPr>
      <w:r w:rsidRPr="00F31118">
        <w:rPr>
          <w:rFonts w:ascii="Arial" w:eastAsia="宋体" w:hAnsi="Arial" w:cs="Arial"/>
        </w:rPr>
        <w:t>·</w:t>
      </w:r>
      <w:r w:rsidR="0025583D" w:rsidRPr="00F31118">
        <w:rPr>
          <w:rFonts w:ascii="Arial" w:eastAsia="宋体" w:hAnsi="Arial" w:cs="Arial"/>
        </w:rPr>
        <w:t>推销</w:t>
      </w:r>
      <w:r w:rsidR="00921E51">
        <w:rPr>
          <w:rFonts w:ascii="Arial" w:eastAsia="宋体" w:hAnsi="Arial" w:cs="Arial"/>
        </w:rPr>
        <w:t>被分析物特效试剂</w:t>
      </w:r>
      <w:r w:rsidR="0025583D" w:rsidRPr="00F31118">
        <w:rPr>
          <w:rFonts w:ascii="Arial" w:eastAsia="宋体" w:hAnsi="Arial" w:cs="Arial"/>
        </w:rPr>
        <w:t>时</w:t>
      </w:r>
      <w:r w:rsidR="009F2F48" w:rsidRPr="00F31118">
        <w:rPr>
          <w:rFonts w:ascii="Arial" w:eastAsia="宋体" w:hAnsi="Arial" w:cs="Arial"/>
        </w:rPr>
        <w:t>带有该试剂</w:t>
      </w:r>
      <w:r w:rsidR="000E68F5" w:rsidRPr="00F31118">
        <w:rPr>
          <w:rFonts w:ascii="Arial" w:eastAsia="宋体" w:hAnsi="Arial" w:cs="Arial"/>
        </w:rPr>
        <w:t>分析或临床</w:t>
      </w:r>
      <w:r w:rsidR="006F1A01" w:rsidRPr="00F31118">
        <w:rPr>
          <w:rFonts w:ascii="Arial" w:eastAsia="宋体" w:hAnsi="Arial" w:cs="Arial"/>
        </w:rPr>
        <w:t>性能的具体</w:t>
      </w:r>
      <w:r w:rsidR="00834E48" w:rsidRPr="00F31118">
        <w:rPr>
          <w:rFonts w:ascii="Arial" w:eastAsia="宋体" w:hAnsi="Arial" w:cs="Arial"/>
        </w:rPr>
        <w:t>声明</w:t>
      </w:r>
      <w:r w:rsidR="006F1A01" w:rsidRPr="00F31118">
        <w:rPr>
          <w:rFonts w:ascii="Arial" w:eastAsia="宋体" w:hAnsi="Arial" w:cs="Arial"/>
        </w:rPr>
        <w:t>、</w:t>
      </w:r>
      <w:r w:rsidR="0050326F" w:rsidRPr="00F31118">
        <w:rPr>
          <w:rFonts w:ascii="Arial" w:eastAsia="宋体" w:hAnsi="Arial" w:cs="Arial"/>
        </w:rPr>
        <w:t>在</w:t>
      </w:r>
      <w:r w:rsidR="006F1A01" w:rsidRPr="00F31118">
        <w:rPr>
          <w:rFonts w:ascii="Arial" w:eastAsia="宋体" w:hAnsi="Arial" w:cs="Arial"/>
        </w:rPr>
        <w:t>某种特</w:t>
      </w:r>
      <w:r w:rsidR="002256C2" w:rsidRPr="00F31118">
        <w:rPr>
          <w:rFonts w:ascii="Arial" w:eastAsia="宋体" w:hAnsi="Arial" w:cs="Arial"/>
        </w:rPr>
        <w:t>定</w:t>
      </w:r>
      <w:r w:rsidR="006F1A01" w:rsidRPr="00F31118">
        <w:rPr>
          <w:rFonts w:ascii="Arial" w:eastAsia="宋体" w:hAnsi="Arial" w:cs="Arial"/>
        </w:rPr>
        <w:t>检验</w:t>
      </w:r>
      <w:r w:rsidR="0050326F" w:rsidRPr="00F31118">
        <w:rPr>
          <w:rFonts w:ascii="Arial" w:eastAsia="宋体" w:hAnsi="Arial" w:cs="Arial"/>
        </w:rPr>
        <w:t>中</w:t>
      </w:r>
      <w:r w:rsidR="006F1A01" w:rsidRPr="00F31118">
        <w:rPr>
          <w:rFonts w:ascii="Arial" w:eastAsia="宋体" w:hAnsi="Arial" w:cs="Arial"/>
        </w:rPr>
        <w:t>的使用说明或</w:t>
      </w:r>
      <w:r w:rsidR="0050326F" w:rsidRPr="00F31118">
        <w:rPr>
          <w:rFonts w:ascii="Arial" w:eastAsia="宋体" w:hAnsi="Arial" w:cs="Arial"/>
        </w:rPr>
        <w:t>采用</w:t>
      </w:r>
      <w:r w:rsidR="00921E51">
        <w:rPr>
          <w:rFonts w:ascii="Arial" w:eastAsia="宋体" w:hAnsi="Arial" w:cs="Arial"/>
        </w:rPr>
        <w:t>被分析物特效试剂</w:t>
      </w:r>
      <w:r w:rsidR="0050326F" w:rsidRPr="00F31118">
        <w:rPr>
          <w:rFonts w:ascii="Arial" w:eastAsia="宋体" w:hAnsi="Arial" w:cs="Arial"/>
        </w:rPr>
        <w:t>对某种具体检验予以确认的用法说明</w:t>
      </w:r>
      <w:r w:rsidR="00CC1118" w:rsidRPr="00F31118">
        <w:rPr>
          <w:rFonts w:ascii="Arial" w:eastAsia="宋体" w:hAnsi="Arial" w:cs="Arial"/>
        </w:rPr>
        <w:t>。</w:t>
      </w:r>
    </w:p>
    <w:p w:rsidR="00CC1118" w:rsidRPr="00F31118" w:rsidRDefault="00CC1118" w:rsidP="003059EA">
      <w:pPr>
        <w:snapToGrid w:val="0"/>
        <w:spacing w:line="300" w:lineRule="auto"/>
        <w:rPr>
          <w:rFonts w:ascii="Arial" w:eastAsia="宋体" w:hAnsi="Arial" w:cs="Arial"/>
        </w:rPr>
      </w:pPr>
    </w:p>
    <w:p w:rsidR="00CC1118" w:rsidRPr="00F31118" w:rsidRDefault="00CC1118" w:rsidP="003059EA">
      <w:pPr>
        <w:snapToGrid w:val="0"/>
        <w:spacing w:line="300" w:lineRule="auto"/>
        <w:rPr>
          <w:rFonts w:ascii="Arial" w:eastAsia="宋体" w:hAnsi="Arial" w:cs="Arial"/>
        </w:rPr>
      </w:pPr>
    </w:p>
    <w:p w:rsidR="00D5764A" w:rsidRDefault="00D5764A">
      <w:pPr>
        <w:widowControl/>
        <w:jc w:val="left"/>
        <w:rPr>
          <w:rFonts w:ascii="Arial" w:eastAsia="宋体" w:hAnsi="Arial" w:cs="Arial"/>
        </w:rPr>
      </w:pPr>
      <w:r>
        <w:rPr>
          <w:rFonts w:ascii="Arial" w:eastAsia="宋体" w:hAnsi="Arial" w:cs="Arial"/>
        </w:rPr>
        <w:br w:type="page"/>
      </w:r>
    </w:p>
    <w:p w:rsidR="00CC1118" w:rsidRPr="00F31118" w:rsidRDefault="00E72E1B" w:rsidP="003059EA">
      <w:pPr>
        <w:snapToGrid w:val="0"/>
        <w:spacing w:line="300" w:lineRule="auto"/>
        <w:rPr>
          <w:rFonts w:ascii="Arial" w:eastAsia="宋体" w:hAnsi="Arial" w:cs="Arial"/>
        </w:rPr>
      </w:pPr>
      <w:r w:rsidRPr="00F31118">
        <w:rPr>
          <w:rFonts w:ascii="Arial" w:eastAsia="宋体" w:hAnsi="Arial" w:cs="Arial"/>
        </w:rPr>
        <w:lastRenderedPageBreak/>
        <w:t>某些制造商</w:t>
      </w:r>
      <w:r w:rsidR="003A2978" w:rsidRPr="00F31118">
        <w:rPr>
          <w:rFonts w:ascii="Arial" w:eastAsia="宋体" w:hAnsi="Arial" w:cs="Arial"/>
        </w:rPr>
        <w:t>认为，</w:t>
      </w:r>
      <w:r w:rsidR="00666286" w:rsidRPr="00F31118">
        <w:rPr>
          <w:rFonts w:ascii="Arial" w:eastAsia="宋体" w:hAnsi="Arial" w:cs="Arial"/>
        </w:rPr>
        <w:t>他们</w:t>
      </w:r>
      <w:r w:rsidR="00607A5C" w:rsidRPr="00F31118">
        <w:rPr>
          <w:rFonts w:ascii="Arial" w:eastAsia="宋体" w:hAnsi="Arial" w:cs="Arial"/>
        </w:rPr>
        <w:t>将享受</w:t>
      </w:r>
      <w:r w:rsidRPr="00F31118">
        <w:rPr>
          <w:rFonts w:ascii="Arial" w:eastAsia="宋体" w:hAnsi="Arial" w:cs="Arial"/>
        </w:rPr>
        <w:t>联邦食品、药品和化妆品法案（简称法案）第</w:t>
      </w:r>
      <w:r w:rsidRPr="00F31118">
        <w:rPr>
          <w:rFonts w:ascii="Arial" w:eastAsia="宋体" w:hAnsi="Arial" w:cs="Arial"/>
        </w:rPr>
        <w:t>510(I)</w:t>
      </w:r>
      <w:r w:rsidRPr="00F31118">
        <w:rPr>
          <w:rFonts w:ascii="Arial" w:eastAsia="宋体" w:hAnsi="Arial" w:cs="Arial"/>
        </w:rPr>
        <w:t>节（</w:t>
      </w:r>
      <w:r w:rsidRPr="00F31118">
        <w:rPr>
          <w:rFonts w:ascii="Arial" w:eastAsia="宋体" w:hAnsi="Arial" w:cs="Arial"/>
        </w:rPr>
        <w:t>21 USC 360(l)</w:t>
      </w:r>
      <w:r w:rsidRPr="00F31118">
        <w:rPr>
          <w:rFonts w:ascii="Arial" w:eastAsia="宋体" w:hAnsi="Arial" w:cs="Arial"/>
        </w:rPr>
        <w:t>）上市前通告要求</w:t>
      </w:r>
      <w:r w:rsidR="00607A5C" w:rsidRPr="00F31118">
        <w:rPr>
          <w:rFonts w:ascii="Arial" w:eastAsia="宋体" w:hAnsi="Arial" w:cs="Arial"/>
        </w:rPr>
        <w:t>豁免待遇的某种</w:t>
      </w:r>
      <w:r w:rsidR="00607A5C" w:rsidRPr="00F31118">
        <w:rPr>
          <w:rFonts w:ascii="Arial" w:eastAsia="宋体" w:hAnsi="Arial" w:cs="Arial"/>
        </w:rPr>
        <w:t>I</w:t>
      </w:r>
      <w:r w:rsidR="00607A5C" w:rsidRPr="00F31118">
        <w:rPr>
          <w:rFonts w:ascii="Arial" w:eastAsia="宋体" w:hAnsi="Arial" w:cs="Arial"/>
        </w:rPr>
        <w:t>类</w:t>
      </w:r>
      <w:r w:rsidR="00921E51">
        <w:rPr>
          <w:rFonts w:ascii="Arial" w:eastAsia="宋体" w:hAnsi="Arial" w:cs="Arial"/>
        </w:rPr>
        <w:t>被分析物特效试剂</w:t>
      </w:r>
      <w:r w:rsidR="00607A5C" w:rsidRPr="00F31118">
        <w:rPr>
          <w:rFonts w:ascii="Arial" w:eastAsia="宋体" w:hAnsi="Arial" w:cs="Arial"/>
        </w:rPr>
        <w:t>与其它产品或该</w:t>
      </w:r>
      <w:r w:rsidR="00921E51">
        <w:rPr>
          <w:rFonts w:ascii="Arial" w:eastAsia="宋体" w:hAnsi="Arial" w:cs="Arial"/>
        </w:rPr>
        <w:t>被分析物特效试剂</w:t>
      </w:r>
      <w:r w:rsidR="00666286" w:rsidRPr="00F31118">
        <w:rPr>
          <w:rFonts w:ascii="Arial" w:eastAsia="宋体" w:hAnsi="Arial" w:cs="Arial"/>
        </w:rPr>
        <w:t>在某种具体检验中的使用说明捆绑使用时，因产品中有该</w:t>
      </w:r>
      <w:r w:rsidR="00921E51">
        <w:rPr>
          <w:rFonts w:ascii="Arial" w:eastAsia="宋体" w:hAnsi="Arial" w:cs="Arial"/>
        </w:rPr>
        <w:t>被分析物特效试剂</w:t>
      </w:r>
      <w:r w:rsidR="00561092" w:rsidRPr="00F31118">
        <w:rPr>
          <w:rFonts w:ascii="Arial" w:eastAsia="宋体" w:hAnsi="Arial" w:cs="Arial"/>
        </w:rPr>
        <w:t>，所以</w:t>
      </w:r>
      <w:r w:rsidR="00666286" w:rsidRPr="00F31118">
        <w:rPr>
          <w:rFonts w:ascii="Arial" w:eastAsia="宋体" w:hAnsi="Arial" w:cs="Arial"/>
        </w:rPr>
        <w:t>仍然享受豁免待遇。</w:t>
      </w:r>
      <w:r w:rsidR="004937A9" w:rsidRPr="00F31118">
        <w:rPr>
          <w:rFonts w:ascii="Arial" w:eastAsia="宋体" w:hAnsi="Arial" w:cs="Arial"/>
        </w:rPr>
        <w:t>然而，正如本</w:t>
      </w:r>
      <w:r w:rsidR="000F3824">
        <w:rPr>
          <w:rFonts w:ascii="Arial" w:eastAsia="宋体" w:hAnsi="Arial" w:cs="Arial"/>
        </w:rPr>
        <w:t>指导性文件</w:t>
      </w:r>
      <w:r w:rsidR="004937A9" w:rsidRPr="00F31118">
        <w:rPr>
          <w:rFonts w:ascii="Arial" w:eastAsia="宋体" w:hAnsi="Arial" w:cs="Arial"/>
        </w:rPr>
        <w:t>所解释的那样，</w:t>
      </w:r>
      <w:r w:rsidR="00921E51">
        <w:rPr>
          <w:rFonts w:ascii="Arial" w:eastAsia="宋体" w:hAnsi="Arial" w:cs="Arial"/>
        </w:rPr>
        <w:t>被分析物特效试剂</w:t>
      </w:r>
      <w:r w:rsidR="004937A9" w:rsidRPr="00F31118">
        <w:rPr>
          <w:rFonts w:ascii="Arial" w:eastAsia="宋体" w:hAnsi="Arial" w:cs="Arial"/>
        </w:rPr>
        <w:t>以上述方式销售时，食品药品监督管理局不再将此类产品视为</w:t>
      </w:r>
      <w:r w:rsidR="004937A9" w:rsidRPr="00F31118">
        <w:rPr>
          <w:rFonts w:ascii="Arial" w:eastAsia="宋体" w:hAnsi="Arial" w:cs="Arial"/>
        </w:rPr>
        <w:t>21 CFR 860.4020</w:t>
      </w:r>
      <w:r w:rsidR="004937A9" w:rsidRPr="00F31118">
        <w:rPr>
          <w:rFonts w:ascii="Arial" w:eastAsia="宋体" w:hAnsi="Arial" w:cs="Arial"/>
        </w:rPr>
        <w:t>意图之内的</w:t>
      </w:r>
      <w:r w:rsidR="00921E51">
        <w:rPr>
          <w:rFonts w:ascii="Arial" w:eastAsia="宋体" w:hAnsi="Arial" w:cs="Arial"/>
        </w:rPr>
        <w:t>被分析物特效试剂</w:t>
      </w:r>
      <w:r w:rsidR="004937A9" w:rsidRPr="00F31118">
        <w:rPr>
          <w:rFonts w:ascii="Arial" w:eastAsia="宋体" w:hAnsi="Arial" w:cs="Arial"/>
        </w:rPr>
        <w:t>，而是将其视为另</w:t>
      </w:r>
      <w:r w:rsidR="00A03D57" w:rsidRPr="00F31118">
        <w:rPr>
          <w:rFonts w:ascii="Arial" w:eastAsia="宋体" w:hAnsi="Arial" w:cs="Arial"/>
        </w:rPr>
        <w:t>一种类型的体外诊断</w:t>
      </w:r>
      <w:r w:rsidR="000F3824">
        <w:rPr>
          <w:rFonts w:ascii="Arial" w:eastAsia="宋体" w:hAnsi="Arial" w:cs="Arial"/>
        </w:rPr>
        <w:t>器械</w:t>
      </w:r>
      <w:r w:rsidR="00A03D57" w:rsidRPr="00F31118">
        <w:rPr>
          <w:rFonts w:ascii="Arial" w:eastAsia="宋体" w:hAnsi="Arial" w:cs="Arial"/>
        </w:rPr>
        <w:t>（</w:t>
      </w:r>
      <w:r w:rsidR="00A03D57" w:rsidRPr="00F31118">
        <w:rPr>
          <w:rFonts w:ascii="Arial" w:eastAsia="宋体" w:hAnsi="Arial" w:cs="Arial"/>
        </w:rPr>
        <w:t>IVD</w:t>
      </w:r>
      <w:r w:rsidR="00A03D57" w:rsidRPr="00F31118">
        <w:rPr>
          <w:rFonts w:ascii="Arial" w:eastAsia="宋体" w:hAnsi="Arial" w:cs="Arial"/>
        </w:rPr>
        <w:t>）或不为</w:t>
      </w:r>
      <w:r w:rsidR="00921E51">
        <w:rPr>
          <w:rFonts w:ascii="Arial" w:eastAsia="宋体" w:hAnsi="Arial" w:cs="Arial"/>
        </w:rPr>
        <w:t>被分析物特效试剂</w:t>
      </w:r>
      <w:r w:rsidR="00A03D57" w:rsidRPr="00F31118">
        <w:rPr>
          <w:rFonts w:ascii="Arial" w:eastAsia="宋体" w:hAnsi="Arial" w:cs="Arial"/>
        </w:rPr>
        <w:t>法规</w:t>
      </w:r>
      <w:r w:rsidR="00834E48" w:rsidRPr="00F31118">
        <w:rPr>
          <w:rFonts w:ascii="Arial" w:eastAsia="宋体" w:hAnsi="Arial" w:cs="Arial"/>
        </w:rPr>
        <w:t>包含</w:t>
      </w:r>
      <w:r w:rsidR="00A03D57" w:rsidRPr="00F31118">
        <w:rPr>
          <w:rFonts w:ascii="Arial" w:eastAsia="宋体" w:hAnsi="Arial" w:cs="Arial"/>
        </w:rPr>
        <w:t>的</w:t>
      </w:r>
      <w:r w:rsidR="000F3824">
        <w:rPr>
          <w:rFonts w:ascii="Arial" w:eastAsia="宋体" w:hAnsi="Arial" w:cs="Arial"/>
        </w:rPr>
        <w:t>器械</w:t>
      </w:r>
      <w:r w:rsidR="00A03D57" w:rsidRPr="00F31118">
        <w:rPr>
          <w:rFonts w:ascii="Arial" w:eastAsia="宋体" w:hAnsi="Arial" w:cs="Arial"/>
        </w:rPr>
        <w:t>成分，因此不一定享受上市前通告豁免待遇。</w:t>
      </w:r>
    </w:p>
    <w:p w:rsidR="00BE49B0" w:rsidRPr="00F31118" w:rsidRDefault="00BE49B0" w:rsidP="003059EA">
      <w:pPr>
        <w:snapToGrid w:val="0"/>
        <w:spacing w:line="300" w:lineRule="auto"/>
        <w:rPr>
          <w:rFonts w:ascii="Arial" w:eastAsia="宋体" w:hAnsi="Arial" w:cs="Arial"/>
        </w:rPr>
      </w:pPr>
    </w:p>
    <w:p w:rsidR="00CC1118" w:rsidRPr="00F31118" w:rsidRDefault="00A03D57" w:rsidP="003059EA">
      <w:pPr>
        <w:snapToGrid w:val="0"/>
        <w:spacing w:line="300" w:lineRule="auto"/>
        <w:rPr>
          <w:rFonts w:ascii="Arial" w:eastAsia="宋体" w:hAnsi="Arial" w:cs="Arial"/>
        </w:rPr>
      </w:pPr>
      <w:r w:rsidRPr="00F31118">
        <w:rPr>
          <w:rFonts w:ascii="Arial" w:eastAsia="宋体" w:hAnsi="Arial" w:cs="Arial"/>
        </w:rPr>
        <w:t>食品药品监督管理局的</w:t>
      </w:r>
      <w:r w:rsidR="000F3824">
        <w:rPr>
          <w:rFonts w:ascii="Arial" w:eastAsia="宋体" w:hAnsi="Arial" w:cs="Arial"/>
        </w:rPr>
        <w:t>指导性文件</w:t>
      </w:r>
      <w:r w:rsidRPr="00F31118">
        <w:rPr>
          <w:rFonts w:ascii="Arial" w:eastAsia="宋体" w:hAnsi="Arial" w:cs="Arial"/>
        </w:rPr>
        <w:t>（包括本</w:t>
      </w:r>
      <w:r w:rsidR="000F3824">
        <w:rPr>
          <w:rFonts w:ascii="Arial" w:eastAsia="宋体" w:hAnsi="Arial" w:cs="Arial"/>
        </w:rPr>
        <w:t>指导性文件</w:t>
      </w:r>
      <w:r w:rsidRPr="00F31118">
        <w:rPr>
          <w:rFonts w:ascii="Arial" w:eastAsia="宋体" w:hAnsi="Arial" w:cs="Arial"/>
        </w:rPr>
        <w:t>）不创设法律强制性责任，而是描述本局目前对该主题的意见，因此应仅将其视为推荐规范，除非其中引用了具体的</w:t>
      </w:r>
      <w:r w:rsidR="006F52DC" w:rsidRPr="00F31118">
        <w:rPr>
          <w:rFonts w:ascii="Arial" w:eastAsia="宋体" w:hAnsi="Arial" w:cs="Arial"/>
        </w:rPr>
        <w:t>监管或法定要求。在本局的</w:t>
      </w:r>
      <w:r w:rsidR="000F3824">
        <w:rPr>
          <w:rFonts w:ascii="Arial" w:eastAsia="宋体" w:hAnsi="Arial" w:cs="Arial"/>
        </w:rPr>
        <w:t>指导性文件</w:t>
      </w:r>
      <w:r w:rsidR="006F52DC" w:rsidRPr="00F31118">
        <w:rPr>
          <w:rFonts w:ascii="Arial" w:eastAsia="宋体" w:hAnsi="Arial" w:cs="Arial"/>
        </w:rPr>
        <w:t>中使用</w:t>
      </w:r>
      <w:r w:rsidR="006F52DC" w:rsidRPr="00F31118">
        <w:rPr>
          <w:rFonts w:ascii="Arial" w:eastAsia="宋体" w:hAnsi="Arial" w:cs="Arial"/>
        </w:rPr>
        <w:t>“</w:t>
      </w:r>
      <w:r w:rsidR="006F52DC" w:rsidRPr="00F31118">
        <w:rPr>
          <w:rFonts w:ascii="Arial" w:eastAsia="宋体" w:hAnsi="Arial" w:cs="Arial"/>
        </w:rPr>
        <w:t>应当</w:t>
      </w:r>
      <w:r w:rsidR="006F52DC" w:rsidRPr="00F31118">
        <w:rPr>
          <w:rFonts w:ascii="Arial" w:eastAsia="宋体" w:hAnsi="Arial" w:cs="Arial"/>
        </w:rPr>
        <w:t>”</w:t>
      </w:r>
      <w:r w:rsidR="006F52DC" w:rsidRPr="00F31118">
        <w:rPr>
          <w:rFonts w:ascii="Arial" w:eastAsia="宋体" w:hAnsi="Arial" w:cs="Arial"/>
        </w:rPr>
        <w:t>一词意味着建议或推荐执行某事项，而不是要求执行某事项。</w:t>
      </w:r>
    </w:p>
    <w:p w:rsidR="00CC1118" w:rsidRPr="00F31118" w:rsidRDefault="00CC1118" w:rsidP="003059EA">
      <w:pPr>
        <w:snapToGrid w:val="0"/>
        <w:spacing w:line="300" w:lineRule="auto"/>
        <w:rPr>
          <w:rFonts w:ascii="Arial" w:eastAsia="宋体" w:hAnsi="Arial" w:cs="Arial"/>
        </w:rPr>
      </w:pPr>
    </w:p>
    <w:p w:rsidR="006105C0" w:rsidRPr="00060D50" w:rsidRDefault="006F52DC" w:rsidP="003059EA">
      <w:pPr>
        <w:snapToGrid w:val="0"/>
        <w:spacing w:line="300" w:lineRule="auto"/>
        <w:rPr>
          <w:rFonts w:ascii="Arial" w:eastAsia="宋体" w:hAnsi="Arial" w:cs="Arial"/>
          <w:b/>
          <w:sz w:val="24"/>
          <w:szCs w:val="24"/>
        </w:rPr>
      </w:pPr>
      <w:r w:rsidRPr="00060D50">
        <w:rPr>
          <w:rFonts w:ascii="Arial" w:eastAsia="宋体" w:hAnsi="Arial" w:cs="Arial"/>
          <w:b/>
          <w:sz w:val="24"/>
          <w:szCs w:val="24"/>
        </w:rPr>
        <w:t>最小负担法</w:t>
      </w:r>
    </w:p>
    <w:p w:rsidR="006F52DC" w:rsidRPr="00F31118" w:rsidRDefault="006F52DC" w:rsidP="003059EA">
      <w:pPr>
        <w:snapToGrid w:val="0"/>
        <w:spacing w:line="300" w:lineRule="auto"/>
        <w:rPr>
          <w:rFonts w:ascii="Arial" w:eastAsia="宋体" w:hAnsi="Arial" w:cs="Arial"/>
        </w:rPr>
      </w:pPr>
    </w:p>
    <w:p w:rsidR="0007394F" w:rsidRPr="009017FE" w:rsidRDefault="000462F2" w:rsidP="00D5764A">
      <w:pPr>
        <w:snapToGrid w:val="0"/>
        <w:spacing w:line="300" w:lineRule="auto"/>
        <w:jc w:val="left"/>
        <w:rPr>
          <w:rFonts w:ascii="Arial" w:eastAsia="宋体" w:hAnsi="Arial" w:cs="Arial"/>
        </w:rPr>
      </w:pPr>
      <w:r w:rsidRPr="00F31118">
        <w:rPr>
          <w:rFonts w:ascii="Arial" w:eastAsia="宋体" w:hAnsi="Arial" w:cs="Arial"/>
        </w:rPr>
        <w:t>本</w:t>
      </w:r>
      <w:r w:rsidR="000F3824">
        <w:rPr>
          <w:rFonts w:ascii="Arial" w:eastAsia="宋体" w:hAnsi="Arial" w:cs="Arial"/>
        </w:rPr>
        <w:t>指导性文件</w:t>
      </w:r>
      <w:r w:rsidRPr="00F31118">
        <w:rPr>
          <w:rFonts w:ascii="Arial" w:eastAsia="宋体" w:hAnsi="Arial" w:cs="Arial"/>
        </w:rPr>
        <w:t>确认的问题是</w:t>
      </w:r>
      <w:r w:rsidR="006340B7" w:rsidRPr="00F31118">
        <w:rPr>
          <w:rFonts w:ascii="Arial" w:eastAsia="宋体" w:hAnsi="Arial" w:cs="Arial"/>
        </w:rPr>
        <w:t>我方</w:t>
      </w:r>
      <w:r w:rsidRPr="00F31118">
        <w:rPr>
          <w:rFonts w:ascii="Arial" w:eastAsia="宋体" w:hAnsi="Arial" w:cs="Arial"/>
        </w:rPr>
        <w:t>认为</w:t>
      </w:r>
      <w:r w:rsidR="006340B7" w:rsidRPr="00F31118">
        <w:rPr>
          <w:rFonts w:ascii="Arial" w:eastAsia="宋体" w:hAnsi="Arial" w:cs="Arial"/>
        </w:rPr>
        <w:t>贵方</w:t>
      </w:r>
      <w:r w:rsidRPr="00F31118">
        <w:rPr>
          <w:rFonts w:ascii="Arial" w:eastAsia="宋体" w:hAnsi="Arial" w:cs="Arial"/>
        </w:rPr>
        <w:t>的</w:t>
      </w:r>
      <w:r w:rsidR="000F3824">
        <w:rPr>
          <w:rFonts w:ascii="Arial" w:eastAsia="宋体" w:hAnsi="Arial" w:cs="Arial"/>
        </w:rPr>
        <w:t>器械</w:t>
      </w:r>
      <w:r w:rsidRPr="00F31118">
        <w:rPr>
          <w:rFonts w:ascii="Arial" w:eastAsia="宋体" w:hAnsi="Arial" w:cs="Arial"/>
        </w:rPr>
        <w:t>上市前必须解决的问题。在编制本</w:t>
      </w:r>
      <w:r w:rsidR="000F3824">
        <w:rPr>
          <w:rFonts w:ascii="Arial" w:eastAsia="宋体" w:hAnsi="Arial" w:cs="Arial"/>
        </w:rPr>
        <w:t>指导性文件</w:t>
      </w:r>
      <w:r w:rsidRPr="00F31118">
        <w:rPr>
          <w:rFonts w:ascii="Arial" w:eastAsia="宋体" w:hAnsi="Arial" w:cs="Arial"/>
        </w:rPr>
        <w:t>的过程中，</w:t>
      </w:r>
      <w:r w:rsidR="006340B7" w:rsidRPr="00F31118">
        <w:rPr>
          <w:rFonts w:ascii="Arial" w:eastAsia="宋体" w:hAnsi="Arial" w:cs="Arial"/>
        </w:rPr>
        <w:t>我方</w:t>
      </w:r>
      <w:r w:rsidRPr="00F31118">
        <w:rPr>
          <w:rFonts w:ascii="Arial" w:eastAsia="宋体" w:hAnsi="Arial" w:cs="Arial"/>
        </w:rPr>
        <w:t>仔细斟酌了本局决策采用的相关法定标准。另外，</w:t>
      </w:r>
      <w:r w:rsidR="006340B7" w:rsidRPr="00F31118">
        <w:rPr>
          <w:rFonts w:ascii="Arial" w:eastAsia="宋体" w:hAnsi="Arial" w:cs="Arial"/>
        </w:rPr>
        <w:t>我方</w:t>
      </w:r>
      <w:r w:rsidRPr="00F31118">
        <w:rPr>
          <w:rFonts w:ascii="Arial" w:eastAsia="宋体" w:hAnsi="Arial" w:cs="Arial"/>
        </w:rPr>
        <w:t>还斟酌了</w:t>
      </w:r>
      <w:r w:rsidR="006340B7" w:rsidRPr="00F31118">
        <w:rPr>
          <w:rFonts w:ascii="Arial" w:eastAsia="宋体" w:hAnsi="Arial" w:cs="Arial"/>
        </w:rPr>
        <w:t>贵方</w:t>
      </w:r>
      <w:r w:rsidRPr="00F31118">
        <w:rPr>
          <w:rFonts w:ascii="Arial" w:eastAsia="宋体" w:hAnsi="Arial" w:cs="Arial"/>
        </w:rPr>
        <w:t>在采用本</w:t>
      </w:r>
      <w:r w:rsidR="000F3824">
        <w:rPr>
          <w:rFonts w:ascii="Arial" w:eastAsia="宋体" w:hAnsi="Arial" w:cs="Arial"/>
        </w:rPr>
        <w:t>指导性文件</w:t>
      </w:r>
      <w:r w:rsidRPr="00F31118">
        <w:rPr>
          <w:rFonts w:ascii="Arial" w:eastAsia="宋体" w:hAnsi="Arial" w:cs="Arial"/>
        </w:rPr>
        <w:t>建议的方式努力遵从法定监管标准并努力解决</w:t>
      </w:r>
      <w:r w:rsidR="006340B7" w:rsidRPr="00F31118">
        <w:rPr>
          <w:rFonts w:ascii="Arial" w:eastAsia="宋体" w:hAnsi="Arial" w:cs="Arial"/>
        </w:rPr>
        <w:t>我方</w:t>
      </w:r>
      <w:r w:rsidRPr="00F31118">
        <w:rPr>
          <w:rFonts w:ascii="Arial" w:eastAsia="宋体" w:hAnsi="Arial" w:cs="Arial"/>
        </w:rPr>
        <w:t>所确认问题的过程中可能产生的负担。</w:t>
      </w:r>
      <w:r w:rsidR="006340B7" w:rsidRPr="00F31118">
        <w:rPr>
          <w:rFonts w:ascii="Arial" w:eastAsia="宋体" w:hAnsi="Arial" w:cs="Arial"/>
        </w:rPr>
        <w:t>我方</w:t>
      </w:r>
      <w:r w:rsidRPr="00F31118">
        <w:rPr>
          <w:rFonts w:ascii="Arial" w:eastAsia="宋体" w:hAnsi="Arial" w:cs="Arial"/>
        </w:rPr>
        <w:t>认为我们已考虑采用最小负担法解决本</w:t>
      </w:r>
      <w:r w:rsidR="000F3824">
        <w:rPr>
          <w:rFonts w:ascii="Arial" w:eastAsia="宋体" w:hAnsi="Arial" w:cs="Arial"/>
        </w:rPr>
        <w:t>指导性文件</w:t>
      </w:r>
      <w:r w:rsidRPr="00F31118">
        <w:rPr>
          <w:rFonts w:ascii="Arial" w:eastAsia="宋体" w:hAnsi="Arial" w:cs="Arial"/>
        </w:rPr>
        <w:t>呈现的问题。然而，如果</w:t>
      </w:r>
      <w:r w:rsidR="006340B7" w:rsidRPr="00F31118">
        <w:rPr>
          <w:rFonts w:ascii="Arial" w:eastAsia="宋体" w:hAnsi="Arial" w:cs="Arial"/>
        </w:rPr>
        <w:t>贵方</w:t>
      </w:r>
      <w:r w:rsidRPr="00F31118">
        <w:rPr>
          <w:rFonts w:ascii="Arial" w:eastAsia="宋体" w:hAnsi="Arial" w:cs="Arial"/>
        </w:rPr>
        <w:t>认为有负担更小的方法可用于解决这些问题，应遵守</w:t>
      </w:r>
      <w:r w:rsidRPr="00F31118">
        <w:rPr>
          <w:rFonts w:ascii="Arial" w:eastAsia="宋体" w:hAnsi="Arial" w:cs="Arial"/>
        </w:rPr>
        <w:t>“</w:t>
      </w:r>
      <w:r w:rsidRPr="00F31118">
        <w:rPr>
          <w:rFonts w:ascii="Arial" w:eastAsia="宋体" w:hAnsi="Arial" w:cs="Arial"/>
        </w:rPr>
        <w:t>解决最小负担问题的一个建议方法</w:t>
      </w:r>
      <w:r w:rsidRPr="00F31118">
        <w:rPr>
          <w:rFonts w:ascii="Arial" w:eastAsia="宋体" w:hAnsi="Arial" w:cs="Arial"/>
        </w:rPr>
        <w:t>”</w:t>
      </w:r>
      <w:r w:rsidRPr="00F31118">
        <w:rPr>
          <w:rFonts w:ascii="Arial" w:eastAsia="宋体" w:hAnsi="Arial" w:cs="Arial"/>
        </w:rPr>
        <w:t>文件中描述的规程予以实施。该文件可在</w:t>
      </w:r>
      <w:r w:rsidR="006340B7" w:rsidRPr="00F31118">
        <w:rPr>
          <w:rFonts w:ascii="Arial" w:eastAsia="宋体" w:hAnsi="Arial" w:cs="Arial"/>
        </w:rPr>
        <w:t>我方</w:t>
      </w:r>
      <w:r w:rsidRPr="00F31118">
        <w:rPr>
          <w:rFonts w:ascii="Arial" w:eastAsia="宋体" w:hAnsi="Arial" w:cs="Arial"/>
        </w:rPr>
        <w:t>中心的网页上下载：</w:t>
      </w:r>
      <w:r w:rsidR="009017FE" w:rsidRPr="009017FE">
        <w:rPr>
          <w:rFonts w:ascii="Arial" w:hAnsi="Arial" w:cs="Arial"/>
          <w:color w:val="0000FF"/>
          <w:sz w:val="23"/>
          <w:szCs w:val="23"/>
          <w:u w:val="single"/>
        </w:rPr>
        <w:t>http://www.fda.gov/cdrh/modact/leastburdensome.html</w:t>
      </w:r>
      <w:r w:rsidR="006F52DC" w:rsidRPr="009017FE">
        <w:rPr>
          <w:rFonts w:ascii="Arial" w:eastAsia="宋体" w:hAnsi="Arial" w:cs="Arial"/>
        </w:rPr>
        <w:t>.</w:t>
      </w:r>
    </w:p>
    <w:p w:rsidR="006D4288" w:rsidRPr="00F31118" w:rsidRDefault="006D4288" w:rsidP="003059EA">
      <w:pPr>
        <w:snapToGrid w:val="0"/>
        <w:spacing w:line="300" w:lineRule="auto"/>
        <w:rPr>
          <w:rFonts w:ascii="Arial" w:eastAsia="宋体" w:hAnsi="Arial" w:cs="Arial"/>
        </w:rPr>
      </w:pPr>
    </w:p>
    <w:p w:rsidR="006D4288" w:rsidRPr="00060D50" w:rsidRDefault="000462F2" w:rsidP="003059EA">
      <w:pPr>
        <w:snapToGrid w:val="0"/>
        <w:spacing w:line="300" w:lineRule="auto"/>
        <w:rPr>
          <w:rFonts w:ascii="Arial" w:eastAsia="宋体" w:hAnsi="Arial" w:cs="Arial"/>
          <w:b/>
          <w:sz w:val="24"/>
          <w:szCs w:val="24"/>
        </w:rPr>
      </w:pPr>
      <w:r w:rsidRPr="00060D50">
        <w:rPr>
          <w:rFonts w:ascii="Arial" w:eastAsia="宋体" w:hAnsi="Arial" w:cs="Arial"/>
          <w:b/>
          <w:sz w:val="24"/>
          <w:szCs w:val="24"/>
        </w:rPr>
        <w:t>常见问题</w:t>
      </w:r>
    </w:p>
    <w:p w:rsidR="000462F2" w:rsidRPr="00F31118" w:rsidRDefault="000462F2" w:rsidP="003059EA">
      <w:pPr>
        <w:snapToGrid w:val="0"/>
        <w:spacing w:line="300" w:lineRule="auto"/>
        <w:rPr>
          <w:rFonts w:ascii="Arial" w:eastAsia="宋体" w:hAnsi="Arial" w:cs="Arial"/>
        </w:rPr>
      </w:pPr>
    </w:p>
    <w:p w:rsidR="000462F2" w:rsidRPr="00F31118" w:rsidRDefault="00CF4F1E" w:rsidP="003059EA">
      <w:pPr>
        <w:snapToGrid w:val="0"/>
        <w:spacing w:line="300" w:lineRule="auto"/>
        <w:rPr>
          <w:rFonts w:ascii="Arial" w:eastAsia="宋体" w:hAnsi="Arial" w:cs="Arial"/>
          <w:b/>
        </w:rPr>
      </w:pPr>
      <w:r w:rsidRPr="00F31118">
        <w:rPr>
          <w:rFonts w:ascii="Arial" w:eastAsia="宋体" w:hAnsi="Arial" w:cs="Arial"/>
          <w:b/>
        </w:rPr>
        <w:t>I</w:t>
      </w:r>
      <w:r w:rsidR="000462F2" w:rsidRPr="00F31118">
        <w:rPr>
          <w:rFonts w:ascii="Arial" w:eastAsia="宋体" w:hAnsi="Arial" w:cs="Arial"/>
          <w:b/>
        </w:rPr>
        <w:t xml:space="preserve">. </w:t>
      </w:r>
      <w:r w:rsidR="00921E51">
        <w:rPr>
          <w:rFonts w:ascii="Arial" w:eastAsia="宋体" w:hAnsi="Arial" w:cs="Arial"/>
          <w:b/>
        </w:rPr>
        <w:t>被分析物特效试剂</w:t>
      </w:r>
      <w:r w:rsidR="000462F2" w:rsidRPr="00F31118">
        <w:rPr>
          <w:rFonts w:ascii="Arial" w:eastAsia="宋体" w:hAnsi="Arial" w:cs="Arial"/>
          <w:b/>
        </w:rPr>
        <w:t>规则</w:t>
      </w:r>
    </w:p>
    <w:p w:rsidR="000462F2" w:rsidRPr="00F31118" w:rsidRDefault="000462F2" w:rsidP="003059EA">
      <w:pPr>
        <w:snapToGrid w:val="0"/>
        <w:spacing w:line="300" w:lineRule="auto"/>
        <w:rPr>
          <w:rFonts w:ascii="Arial" w:eastAsia="宋体" w:hAnsi="Arial" w:cs="Arial"/>
        </w:rPr>
      </w:pPr>
    </w:p>
    <w:p w:rsidR="000462F2" w:rsidRPr="00F31118" w:rsidRDefault="000462F2" w:rsidP="003059EA">
      <w:pPr>
        <w:snapToGrid w:val="0"/>
        <w:spacing w:line="300" w:lineRule="auto"/>
        <w:rPr>
          <w:rFonts w:ascii="Arial" w:eastAsia="宋体" w:hAnsi="Arial" w:cs="Arial"/>
          <w:b/>
        </w:rPr>
      </w:pPr>
      <w:r w:rsidRPr="00F31118">
        <w:rPr>
          <w:rFonts w:ascii="Arial" w:eastAsia="宋体" w:hAnsi="Arial" w:cs="Arial"/>
          <w:b/>
        </w:rPr>
        <w:t xml:space="preserve">1. </w:t>
      </w:r>
      <w:r w:rsidR="00921E51">
        <w:rPr>
          <w:rFonts w:ascii="Arial" w:eastAsia="宋体" w:hAnsi="Arial" w:cs="Arial"/>
          <w:b/>
        </w:rPr>
        <w:t>被分析物特效试剂</w:t>
      </w:r>
      <w:r w:rsidRPr="00F31118">
        <w:rPr>
          <w:rFonts w:ascii="Arial" w:eastAsia="宋体" w:hAnsi="Arial" w:cs="Arial"/>
          <w:b/>
        </w:rPr>
        <w:t>的定义是什么？</w:t>
      </w:r>
    </w:p>
    <w:p w:rsidR="006D4288" w:rsidRPr="00F31118" w:rsidRDefault="006D4288" w:rsidP="003059EA">
      <w:pPr>
        <w:snapToGrid w:val="0"/>
        <w:spacing w:line="300" w:lineRule="auto"/>
        <w:rPr>
          <w:rFonts w:ascii="Arial" w:eastAsia="宋体" w:hAnsi="Arial" w:cs="Arial"/>
        </w:rPr>
      </w:pPr>
    </w:p>
    <w:p w:rsidR="0032144A" w:rsidRPr="00F31118" w:rsidRDefault="00921E51" w:rsidP="003059EA">
      <w:pPr>
        <w:snapToGrid w:val="0"/>
        <w:spacing w:line="300" w:lineRule="auto"/>
        <w:rPr>
          <w:rFonts w:ascii="Arial" w:eastAsia="宋体" w:hAnsi="Arial" w:cs="Arial"/>
        </w:rPr>
      </w:pPr>
      <w:r>
        <w:rPr>
          <w:rFonts w:ascii="Arial" w:eastAsia="宋体" w:hAnsi="Arial" w:cs="Arial"/>
        </w:rPr>
        <w:t>被分析物特效试剂</w:t>
      </w:r>
      <w:r w:rsidR="00D2076F" w:rsidRPr="00F31118">
        <w:rPr>
          <w:rFonts w:ascii="Arial" w:eastAsia="宋体" w:hAnsi="Arial" w:cs="Arial"/>
        </w:rPr>
        <w:t>的定义是</w:t>
      </w:r>
      <w:r w:rsidR="007A7D00" w:rsidRPr="00F31118">
        <w:rPr>
          <w:rFonts w:ascii="Arial" w:eastAsia="宋体" w:hAnsi="Arial" w:cs="Arial"/>
        </w:rPr>
        <w:t>“</w:t>
      </w:r>
      <w:r w:rsidR="00D2076F" w:rsidRPr="00F31118">
        <w:rPr>
          <w:rFonts w:ascii="Arial" w:eastAsia="宋体" w:hAnsi="Arial" w:cs="Arial"/>
        </w:rPr>
        <w:t>通过与样品中化学物质的特异性结合或化学反应对生物样品中的独特化学物质或配体</w:t>
      </w:r>
      <w:r w:rsidR="007A7D00" w:rsidRPr="00F31118">
        <w:rPr>
          <w:rFonts w:ascii="Arial" w:eastAsia="宋体" w:hAnsi="Arial" w:cs="Arial"/>
        </w:rPr>
        <w:t>进行识别和定量从而实现诊断目的的多克隆</w:t>
      </w:r>
      <w:r w:rsidR="005979F3" w:rsidRPr="00F31118">
        <w:rPr>
          <w:rFonts w:ascii="Arial" w:eastAsia="宋体" w:hAnsi="Arial" w:cs="Arial"/>
        </w:rPr>
        <w:t>抗体、</w:t>
      </w:r>
      <w:r w:rsidR="007A7D00" w:rsidRPr="00F31118">
        <w:rPr>
          <w:rFonts w:ascii="Arial" w:eastAsia="宋体" w:hAnsi="Arial" w:cs="Arial"/>
        </w:rPr>
        <w:t>单克隆抗体、特异性受体蛋白、配体、核酸序列和类似试剂</w:t>
      </w:r>
      <w:r w:rsidR="007A7D00" w:rsidRPr="00F31118">
        <w:rPr>
          <w:rFonts w:ascii="Arial" w:eastAsia="宋体" w:hAnsi="Arial" w:cs="Arial"/>
        </w:rPr>
        <w:t>”</w:t>
      </w:r>
      <w:r w:rsidR="007A7D00" w:rsidRPr="00F31118">
        <w:rPr>
          <w:rFonts w:ascii="Arial" w:eastAsia="宋体" w:hAnsi="Arial" w:cs="Arial"/>
        </w:rPr>
        <w:t>（</w:t>
      </w:r>
      <w:r w:rsidR="007A7D00" w:rsidRPr="00F31118">
        <w:rPr>
          <w:rFonts w:ascii="Arial" w:eastAsia="宋体" w:hAnsi="Arial" w:cs="Arial"/>
        </w:rPr>
        <w:t>21 CFR 864.4020(a)</w:t>
      </w:r>
      <w:r w:rsidR="007A7D00" w:rsidRPr="00F31118">
        <w:rPr>
          <w:rFonts w:ascii="Arial" w:eastAsia="宋体" w:hAnsi="Arial" w:cs="Arial"/>
        </w:rPr>
        <w:t>）。</w:t>
      </w:r>
      <w:r>
        <w:rPr>
          <w:rFonts w:ascii="Arial" w:eastAsia="宋体" w:hAnsi="Arial" w:cs="Arial"/>
        </w:rPr>
        <w:t>被分析物特效试剂</w:t>
      </w:r>
      <w:r w:rsidR="007A7D00" w:rsidRPr="00F31118">
        <w:rPr>
          <w:rFonts w:ascii="Arial" w:eastAsia="宋体" w:hAnsi="Arial" w:cs="Arial"/>
        </w:rPr>
        <w:t>是由食品药品监督管理局监管的医疗</w:t>
      </w:r>
      <w:r w:rsidR="000F3824">
        <w:rPr>
          <w:rFonts w:ascii="Arial" w:eastAsia="宋体" w:hAnsi="Arial" w:cs="Arial"/>
        </w:rPr>
        <w:t>器械</w:t>
      </w:r>
      <w:r w:rsidR="007A7D00" w:rsidRPr="00F31118">
        <w:rPr>
          <w:rFonts w:ascii="Arial" w:eastAsia="宋体" w:hAnsi="Arial" w:cs="Arial"/>
        </w:rPr>
        <w:t>。它们受通用控制措施支配，这些措施包括</w:t>
      </w:r>
      <w:bookmarkStart w:id="15" w:name="OLE_LINK13"/>
      <w:bookmarkStart w:id="16" w:name="OLE_LINK14"/>
      <w:r w:rsidR="007A7D00" w:rsidRPr="00F31118">
        <w:rPr>
          <w:rFonts w:ascii="Arial" w:eastAsia="宋体" w:hAnsi="Arial" w:cs="Arial"/>
        </w:rPr>
        <w:t>现行良好生产规范</w:t>
      </w:r>
      <w:bookmarkEnd w:id="15"/>
      <w:bookmarkEnd w:id="16"/>
      <w:r w:rsidR="007A7D00" w:rsidRPr="00F31118">
        <w:rPr>
          <w:rFonts w:ascii="Arial" w:eastAsia="宋体" w:hAnsi="Arial" w:cs="Arial"/>
        </w:rPr>
        <w:t>（</w:t>
      </w:r>
      <w:proofErr w:type="spellStart"/>
      <w:r w:rsidR="007A7D00" w:rsidRPr="00F31118">
        <w:rPr>
          <w:rFonts w:ascii="Arial" w:eastAsia="宋体" w:hAnsi="Arial" w:cs="Arial"/>
        </w:rPr>
        <w:t>cGMP</w:t>
      </w:r>
      <w:r w:rsidR="006340B7" w:rsidRPr="00F31118">
        <w:rPr>
          <w:rFonts w:ascii="Arial" w:eastAsia="宋体" w:hAnsi="Arial" w:cs="Arial"/>
        </w:rPr>
        <w:t>s</w:t>
      </w:r>
      <w:proofErr w:type="spellEnd"/>
      <w:r w:rsidR="007A7D00" w:rsidRPr="00F31118">
        <w:rPr>
          <w:rFonts w:ascii="Arial" w:eastAsia="宋体" w:hAnsi="Arial" w:cs="Arial"/>
        </w:rPr>
        <w:t>）（</w:t>
      </w:r>
      <w:r w:rsidR="007A7D00" w:rsidRPr="00F31118">
        <w:rPr>
          <w:rFonts w:ascii="Arial" w:eastAsia="宋体" w:hAnsi="Arial" w:cs="Arial"/>
        </w:rPr>
        <w:t>21 CFR</w:t>
      </w:r>
      <w:r w:rsidR="007A7D00" w:rsidRPr="00F31118">
        <w:rPr>
          <w:rFonts w:ascii="Arial" w:eastAsia="宋体" w:hAnsi="Arial" w:cs="Arial"/>
        </w:rPr>
        <w:t>第</w:t>
      </w:r>
      <w:r w:rsidR="007A7D00" w:rsidRPr="00F31118">
        <w:rPr>
          <w:rFonts w:ascii="Arial" w:eastAsia="宋体" w:hAnsi="Arial" w:cs="Arial"/>
        </w:rPr>
        <w:t>820</w:t>
      </w:r>
      <w:r w:rsidR="007A7D00" w:rsidRPr="00F31118">
        <w:rPr>
          <w:rFonts w:ascii="Arial" w:eastAsia="宋体" w:hAnsi="Arial" w:cs="Arial"/>
        </w:rPr>
        <w:t>部分）和</w:t>
      </w:r>
      <w:r>
        <w:rPr>
          <w:rFonts w:ascii="Arial" w:eastAsia="宋体" w:hAnsi="Arial" w:cs="Arial"/>
        </w:rPr>
        <w:t>被分析物特效试剂</w:t>
      </w:r>
      <w:r w:rsidR="007A7D00" w:rsidRPr="00F31118">
        <w:rPr>
          <w:rFonts w:ascii="Arial" w:eastAsia="宋体" w:hAnsi="Arial" w:cs="Arial"/>
        </w:rPr>
        <w:t>的具体条款（</w:t>
      </w:r>
      <w:r w:rsidR="007A7D00" w:rsidRPr="00F31118">
        <w:rPr>
          <w:rFonts w:ascii="Arial" w:eastAsia="宋体" w:hAnsi="Arial" w:cs="Arial"/>
        </w:rPr>
        <w:t>21 CFR 809.10(e)</w:t>
      </w:r>
      <w:r w:rsidR="001F3D34" w:rsidRPr="00F31118">
        <w:rPr>
          <w:rFonts w:ascii="Arial" w:eastAsia="宋体" w:hAnsi="Arial" w:cs="Arial"/>
        </w:rPr>
        <w:t xml:space="preserve">, </w:t>
      </w:r>
      <w:r w:rsidR="007A7D00" w:rsidRPr="00F31118">
        <w:rPr>
          <w:rFonts w:ascii="Arial" w:eastAsia="宋体" w:hAnsi="Arial" w:cs="Arial"/>
        </w:rPr>
        <w:t>809.30, 864.4020</w:t>
      </w:r>
      <w:r w:rsidR="007A7D00" w:rsidRPr="00F31118">
        <w:rPr>
          <w:rFonts w:ascii="Arial" w:eastAsia="宋体" w:hAnsi="Arial" w:cs="Arial"/>
        </w:rPr>
        <w:t>）。</w:t>
      </w:r>
    </w:p>
    <w:p w:rsidR="0032144A" w:rsidRPr="00F31118" w:rsidRDefault="0032144A" w:rsidP="003059EA">
      <w:pPr>
        <w:snapToGrid w:val="0"/>
        <w:spacing w:line="300" w:lineRule="auto"/>
        <w:rPr>
          <w:rFonts w:ascii="Arial" w:eastAsia="宋体" w:hAnsi="Arial" w:cs="Arial"/>
        </w:rPr>
      </w:pPr>
    </w:p>
    <w:p w:rsidR="00491056" w:rsidRPr="00F31118" w:rsidRDefault="00491056" w:rsidP="003059EA">
      <w:pPr>
        <w:snapToGrid w:val="0"/>
        <w:spacing w:line="300" w:lineRule="auto"/>
        <w:rPr>
          <w:rFonts w:ascii="Arial" w:eastAsia="宋体" w:hAnsi="Arial" w:cs="Arial"/>
        </w:rPr>
      </w:pPr>
    </w:p>
    <w:p w:rsidR="00491056" w:rsidRPr="00F31118" w:rsidRDefault="00491056" w:rsidP="003059EA">
      <w:pPr>
        <w:snapToGrid w:val="0"/>
        <w:spacing w:line="300" w:lineRule="auto"/>
        <w:rPr>
          <w:rFonts w:ascii="Arial" w:eastAsia="宋体" w:hAnsi="Arial" w:cs="Arial"/>
        </w:rPr>
      </w:pPr>
    </w:p>
    <w:p w:rsidR="00060D50" w:rsidRDefault="00060D50">
      <w:pPr>
        <w:widowControl/>
        <w:jc w:val="left"/>
        <w:rPr>
          <w:rFonts w:ascii="Arial" w:eastAsia="宋体" w:hAnsi="Arial" w:cs="Arial"/>
          <w:b/>
        </w:rPr>
      </w:pPr>
      <w:r>
        <w:rPr>
          <w:rFonts w:ascii="Arial" w:eastAsia="宋体" w:hAnsi="Arial" w:cs="Arial"/>
          <w:b/>
        </w:rPr>
        <w:br w:type="page"/>
      </w:r>
    </w:p>
    <w:p w:rsidR="0032144A" w:rsidRPr="00F31118" w:rsidRDefault="005979F3" w:rsidP="003059EA">
      <w:pPr>
        <w:snapToGrid w:val="0"/>
        <w:spacing w:line="300" w:lineRule="auto"/>
        <w:rPr>
          <w:rFonts w:ascii="Arial" w:eastAsia="宋体" w:hAnsi="Arial" w:cs="Arial"/>
          <w:b/>
        </w:rPr>
      </w:pPr>
      <w:r w:rsidRPr="00F31118">
        <w:rPr>
          <w:rFonts w:ascii="Arial" w:eastAsia="宋体" w:hAnsi="Arial" w:cs="Arial"/>
          <w:b/>
        </w:rPr>
        <w:lastRenderedPageBreak/>
        <w:t xml:space="preserve">2. </w:t>
      </w:r>
      <w:bookmarkStart w:id="17" w:name="OLE_LINK31"/>
      <w:bookmarkStart w:id="18" w:name="OLE_LINK32"/>
      <w:r w:rsidR="00921E51">
        <w:rPr>
          <w:rFonts w:ascii="Arial" w:eastAsia="宋体" w:hAnsi="Arial" w:cs="Arial"/>
          <w:b/>
        </w:rPr>
        <w:t>被分析物特效试剂</w:t>
      </w:r>
      <w:r w:rsidRPr="00F31118">
        <w:rPr>
          <w:rFonts w:ascii="Arial" w:eastAsia="宋体" w:hAnsi="Arial" w:cs="Arial"/>
          <w:b/>
        </w:rPr>
        <w:t>规则是什么？</w:t>
      </w:r>
      <w:bookmarkEnd w:id="17"/>
      <w:bookmarkEnd w:id="18"/>
    </w:p>
    <w:p w:rsidR="005979F3" w:rsidRPr="00F31118" w:rsidRDefault="005979F3" w:rsidP="003059EA">
      <w:pPr>
        <w:snapToGrid w:val="0"/>
        <w:spacing w:line="300" w:lineRule="auto"/>
        <w:rPr>
          <w:rFonts w:ascii="Arial" w:eastAsia="宋体" w:hAnsi="Arial" w:cs="Arial"/>
        </w:rPr>
      </w:pPr>
    </w:p>
    <w:p w:rsidR="005979F3" w:rsidRPr="00F31118" w:rsidRDefault="005979F3" w:rsidP="003059EA">
      <w:pPr>
        <w:snapToGrid w:val="0"/>
        <w:spacing w:line="300" w:lineRule="auto"/>
        <w:rPr>
          <w:rFonts w:ascii="Arial" w:eastAsia="宋体" w:hAnsi="Arial" w:cs="Arial"/>
        </w:rPr>
      </w:pPr>
      <w:r w:rsidRPr="00F31118">
        <w:rPr>
          <w:rFonts w:ascii="Arial" w:eastAsia="宋体" w:hAnsi="Arial" w:cs="Arial"/>
        </w:rPr>
        <w:t>本</w:t>
      </w:r>
      <w:r w:rsidR="000F3824">
        <w:rPr>
          <w:rFonts w:ascii="Arial" w:eastAsia="宋体" w:hAnsi="Arial" w:cs="Arial"/>
        </w:rPr>
        <w:t>指导性文件</w:t>
      </w:r>
      <w:r w:rsidRPr="00F31118">
        <w:rPr>
          <w:rFonts w:ascii="Arial" w:eastAsia="宋体" w:hAnsi="Arial" w:cs="Arial"/>
        </w:rPr>
        <w:t>涉及</w:t>
      </w:r>
      <w:r w:rsidRPr="00F31118">
        <w:rPr>
          <w:rFonts w:ascii="Arial" w:eastAsia="宋体" w:hAnsi="Arial" w:cs="Arial"/>
        </w:rPr>
        <w:t>3</w:t>
      </w:r>
      <w:r w:rsidRPr="00F31118">
        <w:rPr>
          <w:rFonts w:ascii="Arial" w:eastAsia="宋体" w:hAnsi="Arial" w:cs="Arial"/>
        </w:rPr>
        <w:t>部</w:t>
      </w:r>
      <w:r w:rsidR="005964F0" w:rsidRPr="00F31118">
        <w:rPr>
          <w:rFonts w:ascii="Arial" w:eastAsia="宋体" w:hAnsi="Arial" w:cs="Arial"/>
        </w:rPr>
        <w:t>法规，统称为</w:t>
      </w:r>
      <w:r w:rsidRPr="00F31118">
        <w:rPr>
          <w:rFonts w:ascii="Arial" w:eastAsia="宋体" w:hAnsi="Arial" w:cs="Arial"/>
        </w:rPr>
        <w:t>“</w:t>
      </w:r>
      <w:r w:rsidR="00921E51">
        <w:rPr>
          <w:rFonts w:ascii="Arial" w:eastAsia="宋体" w:hAnsi="Arial" w:cs="Arial"/>
        </w:rPr>
        <w:t>被分析物特效试剂</w:t>
      </w:r>
      <w:r w:rsidRPr="00F31118">
        <w:rPr>
          <w:rFonts w:ascii="Arial" w:eastAsia="宋体" w:hAnsi="Arial" w:cs="Arial"/>
        </w:rPr>
        <w:t>规则</w:t>
      </w:r>
      <w:r w:rsidRPr="00F31118">
        <w:rPr>
          <w:rFonts w:ascii="Arial" w:eastAsia="宋体" w:hAnsi="Arial" w:cs="Arial"/>
        </w:rPr>
        <w:t>”</w:t>
      </w:r>
      <w:r w:rsidRPr="00F31118">
        <w:rPr>
          <w:rFonts w:ascii="Arial" w:eastAsia="宋体" w:hAnsi="Arial" w:cs="Arial"/>
        </w:rPr>
        <w:t>。这些法规于</w:t>
      </w:r>
      <w:r w:rsidRPr="00F31118">
        <w:rPr>
          <w:rFonts w:ascii="Arial" w:eastAsia="宋体" w:hAnsi="Arial" w:cs="Arial"/>
        </w:rPr>
        <w:t>1997</w:t>
      </w:r>
      <w:r w:rsidRPr="00F31118">
        <w:rPr>
          <w:rFonts w:ascii="Arial" w:eastAsia="宋体" w:hAnsi="Arial" w:cs="Arial"/>
        </w:rPr>
        <w:t>年颁布，其对</w:t>
      </w:r>
      <w:r w:rsidR="00921E51">
        <w:rPr>
          <w:rFonts w:ascii="Arial" w:eastAsia="宋体" w:hAnsi="Arial" w:cs="Arial"/>
        </w:rPr>
        <w:t>被分析物特效试剂</w:t>
      </w:r>
      <w:r w:rsidRPr="00F31118">
        <w:rPr>
          <w:rFonts w:ascii="Arial" w:eastAsia="宋体" w:hAnsi="Arial" w:cs="Arial"/>
        </w:rPr>
        <w:t>做出了定义和分类（</w:t>
      </w:r>
      <w:r w:rsidRPr="00F31118">
        <w:rPr>
          <w:rFonts w:ascii="Arial" w:eastAsia="宋体" w:hAnsi="Arial" w:cs="Arial"/>
        </w:rPr>
        <w:t>21 CFR 864.4020</w:t>
      </w:r>
      <w:r w:rsidRPr="00F31118">
        <w:rPr>
          <w:rFonts w:ascii="Arial" w:eastAsia="宋体" w:hAnsi="Arial" w:cs="Arial"/>
        </w:rPr>
        <w:t>），对</w:t>
      </w:r>
      <w:r w:rsidR="00921E51">
        <w:rPr>
          <w:rFonts w:ascii="Arial" w:eastAsia="宋体" w:hAnsi="Arial" w:cs="Arial"/>
        </w:rPr>
        <w:t>被分析物特效试剂</w:t>
      </w:r>
      <w:r w:rsidRPr="00F31118">
        <w:rPr>
          <w:rFonts w:ascii="Arial" w:eastAsia="宋体" w:hAnsi="Arial" w:cs="Arial"/>
        </w:rPr>
        <w:t>的销售、分</w:t>
      </w:r>
      <w:r w:rsidR="001C31B8" w:rsidRPr="00F31118">
        <w:rPr>
          <w:rFonts w:ascii="Arial" w:eastAsia="宋体" w:hAnsi="Arial" w:cs="Arial"/>
        </w:rPr>
        <w:t>销</w:t>
      </w:r>
      <w:r w:rsidRPr="00F31118">
        <w:rPr>
          <w:rFonts w:ascii="Arial" w:eastAsia="宋体" w:hAnsi="Arial" w:cs="Arial"/>
        </w:rPr>
        <w:t>和使用</w:t>
      </w:r>
      <w:r w:rsidR="005964F0" w:rsidRPr="00F31118">
        <w:rPr>
          <w:rFonts w:ascii="Arial" w:eastAsia="宋体" w:hAnsi="Arial" w:cs="Arial"/>
        </w:rPr>
        <w:t>施加了约束（</w:t>
      </w:r>
      <w:r w:rsidR="005964F0" w:rsidRPr="00F31118">
        <w:rPr>
          <w:rFonts w:ascii="Arial" w:eastAsia="宋体" w:hAnsi="Arial" w:cs="Arial"/>
        </w:rPr>
        <w:t>21 CFR 809.30</w:t>
      </w:r>
      <w:r w:rsidR="005964F0" w:rsidRPr="00F31118">
        <w:rPr>
          <w:rFonts w:ascii="Arial" w:eastAsia="宋体" w:hAnsi="Arial" w:cs="Arial"/>
        </w:rPr>
        <w:t>）并建立了对</w:t>
      </w:r>
      <w:r w:rsidR="00921E51">
        <w:rPr>
          <w:rFonts w:ascii="Arial" w:eastAsia="宋体" w:hAnsi="Arial" w:cs="Arial"/>
        </w:rPr>
        <w:t>被分析物特效试剂</w:t>
      </w:r>
      <w:r w:rsidR="005964F0" w:rsidRPr="00F31118">
        <w:rPr>
          <w:rFonts w:ascii="Arial" w:eastAsia="宋体" w:hAnsi="Arial" w:cs="Arial"/>
        </w:rPr>
        <w:t>标签的要求（</w:t>
      </w:r>
      <w:r w:rsidR="005964F0" w:rsidRPr="00F31118">
        <w:rPr>
          <w:rFonts w:ascii="Arial" w:eastAsia="宋体" w:hAnsi="Arial" w:cs="Arial"/>
        </w:rPr>
        <w:t>21 CFR 809.10(e)</w:t>
      </w:r>
      <w:r w:rsidR="005964F0" w:rsidRPr="00F31118">
        <w:rPr>
          <w:rFonts w:ascii="Arial" w:eastAsia="宋体" w:hAnsi="Arial" w:cs="Arial"/>
        </w:rPr>
        <w:t>）。</w:t>
      </w:r>
    </w:p>
    <w:p w:rsidR="00A2708D" w:rsidRPr="00F31118" w:rsidRDefault="00A2708D" w:rsidP="003059EA">
      <w:pPr>
        <w:snapToGrid w:val="0"/>
        <w:spacing w:line="300" w:lineRule="auto"/>
        <w:rPr>
          <w:rFonts w:ascii="Arial" w:eastAsia="宋体" w:hAnsi="Arial" w:cs="Arial"/>
        </w:rPr>
      </w:pPr>
    </w:p>
    <w:p w:rsidR="007A7D00" w:rsidRPr="00F31118" w:rsidRDefault="00B77E71" w:rsidP="003059EA">
      <w:pPr>
        <w:snapToGrid w:val="0"/>
        <w:spacing w:line="300" w:lineRule="auto"/>
        <w:rPr>
          <w:rFonts w:ascii="Arial" w:eastAsia="宋体" w:hAnsi="Arial" w:cs="Arial"/>
          <w:b/>
        </w:rPr>
      </w:pPr>
      <w:r w:rsidRPr="00F31118">
        <w:rPr>
          <w:rFonts w:ascii="Arial" w:eastAsia="宋体" w:hAnsi="Arial" w:cs="Arial"/>
          <w:b/>
        </w:rPr>
        <w:t xml:space="preserve">3. </w:t>
      </w:r>
      <w:r w:rsidR="00921E51">
        <w:rPr>
          <w:rFonts w:ascii="Arial" w:eastAsia="宋体" w:hAnsi="Arial" w:cs="Arial"/>
          <w:b/>
        </w:rPr>
        <w:t>被分析物特效试剂</w:t>
      </w:r>
      <w:r w:rsidRPr="00F31118">
        <w:rPr>
          <w:rFonts w:ascii="Arial" w:eastAsia="宋体" w:hAnsi="Arial" w:cs="Arial"/>
          <w:b/>
        </w:rPr>
        <w:t>规则的目标是什么？</w:t>
      </w:r>
    </w:p>
    <w:p w:rsidR="007A7D00" w:rsidRPr="00F31118" w:rsidRDefault="007A7D00" w:rsidP="003059EA">
      <w:pPr>
        <w:snapToGrid w:val="0"/>
        <w:spacing w:line="300" w:lineRule="auto"/>
        <w:rPr>
          <w:rFonts w:ascii="Arial" w:eastAsia="宋体" w:hAnsi="Arial" w:cs="Arial"/>
        </w:rPr>
      </w:pPr>
    </w:p>
    <w:p w:rsidR="005964F0" w:rsidRPr="00F31118" w:rsidRDefault="00921E51" w:rsidP="003059EA">
      <w:pPr>
        <w:snapToGrid w:val="0"/>
        <w:spacing w:line="300" w:lineRule="auto"/>
        <w:rPr>
          <w:rFonts w:ascii="Arial" w:eastAsia="宋体" w:hAnsi="Arial" w:cs="Arial"/>
        </w:rPr>
      </w:pPr>
      <w:r>
        <w:rPr>
          <w:rFonts w:ascii="Arial" w:eastAsia="宋体" w:hAnsi="Arial" w:cs="Arial"/>
        </w:rPr>
        <w:t>被分析物特效试剂</w:t>
      </w:r>
      <w:r w:rsidR="00B77E71" w:rsidRPr="00F31118">
        <w:rPr>
          <w:rFonts w:ascii="Arial" w:eastAsia="宋体" w:hAnsi="Arial" w:cs="Arial"/>
        </w:rPr>
        <w:t>规则是为完成若干政策目标而设计的。</w:t>
      </w:r>
      <w:r w:rsidR="00977C49" w:rsidRPr="00F31118">
        <w:rPr>
          <w:rFonts w:ascii="Arial" w:eastAsia="宋体" w:hAnsi="Arial" w:cs="Arial"/>
        </w:rPr>
        <w:t>该规则的主要目标之一是确保已定型体外诊断</w:t>
      </w:r>
      <w:r w:rsidR="000F3824">
        <w:rPr>
          <w:rFonts w:ascii="Arial" w:eastAsia="宋体" w:hAnsi="Arial" w:cs="Arial"/>
        </w:rPr>
        <w:t>器械</w:t>
      </w:r>
      <w:r w:rsidR="00977C49" w:rsidRPr="00F31118">
        <w:rPr>
          <w:rFonts w:ascii="Arial" w:eastAsia="宋体" w:hAnsi="Arial" w:cs="Arial"/>
        </w:rPr>
        <w:t>或药事未核准检验所用主要常用试剂的质量。</w:t>
      </w:r>
      <w:r w:rsidR="005475C3" w:rsidRPr="00F31118">
        <w:rPr>
          <w:rFonts w:ascii="Arial" w:eastAsia="宋体" w:hAnsi="Arial" w:cs="Arial"/>
        </w:rPr>
        <w:t>该规则的另一个目标是</w:t>
      </w:r>
      <w:proofErr w:type="gramStart"/>
      <w:r w:rsidR="009B1ADF" w:rsidRPr="00F31118">
        <w:rPr>
          <w:rFonts w:ascii="Arial" w:eastAsia="宋体" w:hAnsi="Arial" w:cs="Arial"/>
        </w:rPr>
        <w:t>对适当</w:t>
      </w:r>
      <w:proofErr w:type="gramEnd"/>
      <w:r w:rsidR="009B1ADF" w:rsidRPr="00F31118">
        <w:rPr>
          <w:rFonts w:ascii="Arial" w:eastAsia="宋体" w:hAnsi="Arial" w:cs="Arial"/>
        </w:rPr>
        <w:t>标签的要求。</w:t>
      </w:r>
      <w:r w:rsidR="000723D8" w:rsidRPr="00F31118">
        <w:rPr>
          <w:rFonts w:ascii="Arial" w:eastAsia="宋体" w:hAnsi="Arial" w:cs="Arial"/>
        </w:rPr>
        <w:t>采</w:t>
      </w:r>
      <w:proofErr w:type="gramStart"/>
      <w:r w:rsidR="000723D8" w:rsidRPr="00F31118">
        <w:rPr>
          <w:rFonts w:ascii="Arial" w:eastAsia="宋体" w:hAnsi="Arial" w:cs="Arial"/>
        </w:rPr>
        <w:t>用药事</w:t>
      </w:r>
      <w:proofErr w:type="gramEnd"/>
      <w:r w:rsidR="000723D8" w:rsidRPr="00F31118">
        <w:rPr>
          <w:rFonts w:ascii="Arial" w:eastAsia="宋体" w:hAnsi="Arial" w:cs="Arial"/>
        </w:rPr>
        <w:t>未核准检验的临床实验室在使用</w:t>
      </w:r>
      <w:r>
        <w:rPr>
          <w:rFonts w:ascii="Arial" w:eastAsia="宋体" w:hAnsi="Arial" w:cs="Arial"/>
        </w:rPr>
        <w:t>被分析物特效试剂</w:t>
      </w:r>
      <w:r w:rsidR="000723D8" w:rsidRPr="00F31118">
        <w:rPr>
          <w:rFonts w:ascii="Arial" w:eastAsia="宋体" w:hAnsi="Arial" w:cs="Arial"/>
        </w:rPr>
        <w:t>时要在检验结果上贴上标签，以便医疗保健用户能了解</w:t>
      </w:r>
      <w:r w:rsidR="00C83F29" w:rsidRPr="00F31118">
        <w:rPr>
          <w:rFonts w:ascii="Arial" w:eastAsia="宋体" w:hAnsi="Arial" w:cs="Arial"/>
        </w:rPr>
        <w:t>实验室开发和确认</w:t>
      </w:r>
      <w:r w:rsidR="005E21A8" w:rsidRPr="00F31118">
        <w:rPr>
          <w:rFonts w:ascii="Arial" w:eastAsia="宋体" w:hAnsi="Arial" w:cs="Arial"/>
        </w:rPr>
        <w:t>这些检验</w:t>
      </w:r>
      <w:r w:rsidR="007E12A1" w:rsidRPr="00F31118">
        <w:rPr>
          <w:rFonts w:ascii="Arial" w:eastAsia="宋体" w:hAnsi="Arial" w:cs="Arial"/>
        </w:rPr>
        <w:t>产品</w:t>
      </w:r>
      <w:r w:rsidR="00C83F29" w:rsidRPr="00F31118">
        <w:rPr>
          <w:rFonts w:ascii="Arial" w:eastAsia="宋体" w:hAnsi="Arial" w:cs="Arial"/>
        </w:rPr>
        <w:t>的时间，同时还要让用户知道这些检验</w:t>
      </w:r>
      <w:r w:rsidR="007E12A1" w:rsidRPr="00F31118">
        <w:rPr>
          <w:rFonts w:ascii="Arial" w:eastAsia="宋体" w:hAnsi="Arial" w:cs="Arial"/>
        </w:rPr>
        <w:t>产品</w:t>
      </w:r>
      <w:r w:rsidR="005E21A8" w:rsidRPr="00F31118">
        <w:rPr>
          <w:rFonts w:ascii="Arial" w:eastAsia="宋体" w:hAnsi="Arial" w:cs="Arial"/>
        </w:rPr>
        <w:t>尚未通过食品药品监督管理局的许可或批准（</w:t>
      </w:r>
      <w:r w:rsidR="005E21A8" w:rsidRPr="00F31118">
        <w:rPr>
          <w:rFonts w:ascii="Arial" w:eastAsia="宋体" w:hAnsi="Arial" w:cs="Arial"/>
        </w:rPr>
        <w:t>62 FR 62244</w:t>
      </w:r>
      <w:r w:rsidR="005E21A8" w:rsidRPr="00F31118">
        <w:rPr>
          <w:rFonts w:ascii="Arial" w:eastAsia="宋体" w:hAnsi="Arial" w:cs="Arial"/>
        </w:rPr>
        <w:t>）。</w:t>
      </w:r>
      <w:r w:rsidR="009D1872" w:rsidRPr="00F31118">
        <w:rPr>
          <w:rFonts w:ascii="Arial" w:eastAsia="宋体" w:hAnsi="Arial" w:cs="Arial"/>
        </w:rPr>
        <w:t>食品药品监督管理局采纳的监管方法是</w:t>
      </w:r>
      <w:r w:rsidR="008D40D3" w:rsidRPr="00F31118">
        <w:rPr>
          <w:rFonts w:ascii="Arial" w:eastAsia="宋体" w:hAnsi="Arial" w:cs="Arial"/>
        </w:rPr>
        <w:t>借助通用控</w:t>
      </w:r>
      <w:r w:rsidR="004F384A" w:rsidRPr="00F31118">
        <w:rPr>
          <w:rFonts w:ascii="Arial" w:eastAsia="宋体" w:hAnsi="Arial" w:cs="Arial"/>
        </w:rPr>
        <w:t>制措施监管大多数</w:t>
      </w:r>
      <w:r>
        <w:rPr>
          <w:rFonts w:ascii="Arial" w:eastAsia="宋体" w:hAnsi="Arial" w:cs="Arial"/>
        </w:rPr>
        <w:t>被分析物特效试剂</w:t>
      </w:r>
      <w:r w:rsidR="004F384A" w:rsidRPr="00F31118">
        <w:rPr>
          <w:rFonts w:ascii="Arial" w:eastAsia="宋体" w:hAnsi="Arial" w:cs="Arial"/>
        </w:rPr>
        <w:t>并以采用最小负担法的名义给予其上市前通告要求豁免待遇。这种方法主要依靠现行良好生产规范</w:t>
      </w:r>
      <w:r w:rsidR="00D77CF6" w:rsidRPr="00F31118">
        <w:rPr>
          <w:rFonts w:ascii="Arial" w:eastAsia="宋体" w:hAnsi="Arial" w:cs="Arial"/>
        </w:rPr>
        <w:t>、医疗</w:t>
      </w:r>
      <w:r w:rsidR="000F3824">
        <w:rPr>
          <w:rFonts w:ascii="Arial" w:eastAsia="宋体" w:hAnsi="Arial" w:cs="Arial"/>
        </w:rPr>
        <w:t>器械</w:t>
      </w:r>
      <w:r w:rsidR="00D77CF6" w:rsidRPr="00F31118">
        <w:rPr>
          <w:rFonts w:ascii="Arial" w:eastAsia="宋体" w:hAnsi="Arial" w:cs="Arial"/>
        </w:rPr>
        <w:t>报告和标签要求对与这些</w:t>
      </w:r>
      <w:r w:rsidR="000F3824">
        <w:rPr>
          <w:rFonts w:ascii="Arial" w:eastAsia="宋体" w:hAnsi="Arial" w:cs="Arial"/>
        </w:rPr>
        <w:t>器械</w:t>
      </w:r>
      <w:r w:rsidR="00D77CF6" w:rsidRPr="00F31118">
        <w:rPr>
          <w:rFonts w:ascii="Arial" w:eastAsia="宋体" w:hAnsi="Arial" w:cs="Arial"/>
        </w:rPr>
        <w:t>有关的风险加以</w:t>
      </w:r>
      <w:r w:rsidR="007E12A1" w:rsidRPr="00F31118">
        <w:rPr>
          <w:rFonts w:ascii="Arial" w:eastAsia="宋体" w:hAnsi="Arial" w:cs="Arial"/>
        </w:rPr>
        <w:t>适当</w:t>
      </w:r>
      <w:r w:rsidR="00D77CF6" w:rsidRPr="00F31118">
        <w:rPr>
          <w:rFonts w:ascii="Arial" w:eastAsia="宋体" w:hAnsi="Arial" w:cs="Arial"/>
        </w:rPr>
        <w:t>控制。</w:t>
      </w:r>
      <w:r w:rsidR="00F842A4" w:rsidRPr="00F31118">
        <w:rPr>
          <w:rFonts w:ascii="Arial" w:eastAsia="宋体" w:hAnsi="Arial" w:cs="Arial"/>
        </w:rPr>
        <w:t>另外，采用</w:t>
      </w:r>
      <w:r>
        <w:rPr>
          <w:rFonts w:ascii="Arial" w:eastAsia="宋体" w:hAnsi="Arial" w:cs="Arial"/>
        </w:rPr>
        <w:t>被分析物特效试剂</w:t>
      </w:r>
      <w:r w:rsidR="00F842A4" w:rsidRPr="00F31118">
        <w:rPr>
          <w:rFonts w:ascii="Arial" w:eastAsia="宋体" w:hAnsi="Arial" w:cs="Arial"/>
        </w:rPr>
        <w:t>开发检验</w:t>
      </w:r>
      <w:r w:rsidR="007E12A1" w:rsidRPr="00F31118">
        <w:rPr>
          <w:rFonts w:ascii="Arial" w:eastAsia="宋体" w:hAnsi="Arial" w:cs="Arial"/>
        </w:rPr>
        <w:t>产品</w:t>
      </w:r>
      <w:r w:rsidR="00F842A4" w:rsidRPr="00F31118">
        <w:rPr>
          <w:rFonts w:ascii="Arial" w:eastAsia="宋体" w:hAnsi="Arial" w:cs="Arial"/>
        </w:rPr>
        <w:t>的实验室</w:t>
      </w:r>
      <w:r w:rsidR="00E75FC2" w:rsidRPr="00F31118">
        <w:rPr>
          <w:rFonts w:ascii="Arial" w:eastAsia="宋体" w:hAnsi="Arial" w:cs="Arial"/>
        </w:rPr>
        <w:t>必须遵守</w:t>
      </w:r>
      <w:bookmarkStart w:id="19" w:name="OLE_LINK41"/>
      <w:bookmarkStart w:id="20" w:name="OLE_LINK42"/>
      <w:r w:rsidR="00E75FC2" w:rsidRPr="00F31118">
        <w:rPr>
          <w:rFonts w:ascii="Arial" w:eastAsia="宋体" w:hAnsi="Arial" w:cs="Arial"/>
        </w:rPr>
        <w:t>临床实验室改进法案</w:t>
      </w:r>
      <w:bookmarkEnd w:id="19"/>
      <w:bookmarkEnd w:id="20"/>
      <w:r w:rsidR="00E75FC2" w:rsidRPr="00F31118">
        <w:rPr>
          <w:rFonts w:ascii="Arial" w:eastAsia="宋体" w:hAnsi="Arial" w:cs="Arial"/>
        </w:rPr>
        <w:t>（</w:t>
      </w:r>
      <w:r w:rsidR="00E75FC2" w:rsidRPr="00F31118">
        <w:rPr>
          <w:rFonts w:ascii="Arial" w:eastAsia="宋体" w:hAnsi="Arial" w:cs="Arial"/>
        </w:rPr>
        <w:t>CLIA</w:t>
      </w:r>
      <w:r w:rsidR="00E75FC2" w:rsidRPr="00F31118">
        <w:rPr>
          <w:rFonts w:ascii="Arial" w:eastAsia="宋体" w:hAnsi="Arial" w:cs="Arial"/>
        </w:rPr>
        <w:t>）</w:t>
      </w:r>
      <w:r w:rsidR="007F2CBE" w:rsidRPr="00F31118">
        <w:rPr>
          <w:rFonts w:ascii="Arial" w:eastAsia="宋体" w:hAnsi="Arial" w:cs="Arial"/>
        </w:rPr>
        <w:t>（</w:t>
      </w:r>
      <w:r w:rsidR="007F2CBE" w:rsidRPr="00F31118">
        <w:rPr>
          <w:rFonts w:ascii="Arial" w:eastAsia="宋体" w:hAnsi="Arial" w:cs="Arial"/>
        </w:rPr>
        <w:t>42 U.S.C. 263a 62 FR 62252</w:t>
      </w:r>
      <w:r w:rsidR="007F2CBE" w:rsidRPr="00F31118">
        <w:rPr>
          <w:rFonts w:ascii="Arial" w:eastAsia="宋体" w:hAnsi="Arial" w:cs="Arial"/>
        </w:rPr>
        <w:t>）。</w:t>
      </w:r>
    </w:p>
    <w:bookmarkEnd w:id="2"/>
    <w:bookmarkEnd w:id="3"/>
    <w:bookmarkEnd w:id="4"/>
    <w:bookmarkEnd w:id="5"/>
    <w:p w:rsidR="005964F0" w:rsidRPr="00F31118" w:rsidRDefault="005964F0" w:rsidP="003059EA">
      <w:pPr>
        <w:snapToGrid w:val="0"/>
        <w:spacing w:line="300" w:lineRule="auto"/>
        <w:rPr>
          <w:rFonts w:ascii="Arial" w:eastAsia="宋体" w:hAnsi="Arial" w:cs="Arial"/>
        </w:rPr>
      </w:pPr>
    </w:p>
    <w:p w:rsidR="005964F0" w:rsidRPr="00F31118" w:rsidRDefault="0084392B" w:rsidP="003059EA">
      <w:pPr>
        <w:snapToGrid w:val="0"/>
        <w:spacing w:line="300" w:lineRule="auto"/>
        <w:rPr>
          <w:rFonts w:ascii="Arial" w:eastAsia="宋体" w:hAnsi="Arial" w:cs="Arial"/>
          <w:b/>
        </w:rPr>
      </w:pPr>
      <w:r w:rsidRPr="00F31118">
        <w:rPr>
          <w:rFonts w:ascii="Arial" w:eastAsia="宋体" w:hAnsi="Arial" w:cs="Arial"/>
          <w:b/>
        </w:rPr>
        <w:t xml:space="preserve">4. </w:t>
      </w:r>
      <w:r w:rsidR="00921E51">
        <w:rPr>
          <w:rFonts w:ascii="Arial" w:eastAsia="宋体" w:hAnsi="Arial" w:cs="Arial"/>
          <w:b/>
        </w:rPr>
        <w:t>被分析物特效试剂</w:t>
      </w:r>
      <w:r w:rsidR="006D2FBA" w:rsidRPr="00F31118">
        <w:rPr>
          <w:rFonts w:ascii="Arial" w:eastAsia="宋体" w:hAnsi="Arial" w:cs="Arial"/>
          <w:b/>
        </w:rPr>
        <w:t>规则有什么要求？</w:t>
      </w:r>
    </w:p>
    <w:p w:rsidR="006D2FBA" w:rsidRPr="00F31118" w:rsidRDefault="006D2FBA" w:rsidP="003059EA">
      <w:pPr>
        <w:snapToGrid w:val="0"/>
        <w:spacing w:line="300" w:lineRule="auto"/>
        <w:rPr>
          <w:rFonts w:ascii="Arial" w:eastAsia="宋体" w:hAnsi="Arial" w:cs="Arial"/>
        </w:rPr>
      </w:pPr>
    </w:p>
    <w:p w:rsidR="006D2FBA" w:rsidRPr="00F31118" w:rsidRDefault="006D2FBA" w:rsidP="003059EA">
      <w:pPr>
        <w:snapToGrid w:val="0"/>
        <w:spacing w:line="300" w:lineRule="auto"/>
        <w:rPr>
          <w:rFonts w:ascii="Arial" w:eastAsia="宋体" w:hAnsi="Arial" w:cs="Arial"/>
        </w:rPr>
      </w:pPr>
      <w:r w:rsidRPr="00F31118">
        <w:rPr>
          <w:rFonts w:ascii="Arial" w:eastAsia="宋体" w:hAnsi="Arial" w:cs="Arial"/>
        </w:rPr>
        <w:t>该规则将大多数</w:t>
      </w:r>
      <w:r w:rsidR="00921E51">
        <w:rPr>
          <w:rFonts w:ascii="Arial" w:eastAsia="宋体" w:hAnsi="Arial" w:cs="Arial"/>
        </w:rPr>
        <w:t>被分析物特效试剂</w:t>
      </w:r>
      <w:r w:rsidRPr="00F31118">
        <w:rPr>
          <w:rFonts w:ascii="Arial" w:eastAsia="宋体" w:hAnsi="Arial" w:cs="Arial"/>
        </w:rPr>
        <w:t>归为</w:t>
      </w:r>
      <w:r w:rsidRPr="00F31118">
        <w:rPr>
          <w:rFonts w:ascii="Arial" w:eastAsia="宋体" w:hAnsi="Arial" w:cs="Arial"/>
        </w:rPr>
        <w:t>I</w:t>
      </w:r>
      <w:r w:rsidRPr="00F31118">
        <w:rPr>
          <w:rFonts w:ascii="Arial" w:eastAsia="宋体" w:hAnsi="Arial" w:cs="Arial"/>
        </w:rPr>
        <w:t>类</w:t>
      </w:r>
      <w:r w:rsidR="000F3824">
        <w:rPr>
          <w:rFonts w:ascii="Arial" w:eastAsia="宋体" w:hAnsi="Arial" w:cs="Arial"/>
        </w:rPr>
        <w:t>器械</w:t>
      </w:r>
      <w:r w:rsidRPr="00F31118">
        <w:rPr>
          <w:rFonts w:ascii="Arial" w:eastAsia="宋体" w:hAnsi="Arial" w:cs="Arial"/>
        </w:rPr>
        <w:t>，受法案</w:t>
      </w:r>
      <w:r w:rsidRPr="00F31118">
        <w:rPr>
          <w:rFonts w:ascii="Arial" w:eastAsia="宋体" w:hAnsi="Arial" w:cs="Arial"/>
        </w:rPr>
        <w:t>513(a)(1)(A)</w:t>
      </w:r>
      <w:r w:rsidRPr="00F31118">
        <w:rPr>
          <w:rFonts w:ascii="Arial" w:eastAsia="宋体" w:hAnsi="Arial" w:cs="Arial"/>
        </w:rPr>
        <w:t>部分</w:t>
      </w:r>
      <w:r w:rsidR="007A1F0F" w:rsidRPr="00F31118">
        <w:rPr>
          <w:rFonts w:ascii="Arial" w:eastAsia="宋体" w:hAnsi="Arial" w:cs="Arial"/>
        </w:rPr>
        <w:t>通用控制措施约束，但享受上市前通告豁免待遇。通用控制措施要求</w:t>
      </w:r>
      <w:r w:rsidR="00921E51">
        <w:rPr>
          <w:rFonts w:ascii="Arial" w:eastAsia="宋体" w:hAnsi="Arial" w:cs="Arial"/>
        </w:rPr>
        <w:t>被分析物特效试剂</w:t>
      </w:r>
      <w:r w:rsidR="007A1F0F" w:rsidRPr="00F31118">
        <w:rPr>
          <w:rFonts w:ascii="Arial" w:eastAsia="宋体" w:hAnsi="Arial" w:cs="Arial"/>
        </w:rPr>
        <w:t>制造商依据</w:t>
      </w:r>
      <w:r w:rsidR="007A1F0F" w:rsidRPr="00F31118">
        <w:rPr>
          <w:rFonts w:ascii="Arial" w:eastAsia="宋体" w:hAnsi="Arial" w:cs="Arial"/>
        </w:rPr>
        <w:t>21 CFR 807.20(a)</w:t>
      </w:r>
      <w:r w:rsidR="007A1F0F" w:rsidRPr="00F31118">
        <w:rPr>
          <w:rFonts w:ascii="Arial" w:eastAsia="宋体" w:hAnsi="Arial" w:cs="Arial"/>
        </w:rPr>
        <w:t>的规定对其</w:t>
      </w:r>
      <w:r w:rsidR="000F3824">
        <w:rPr>
          <w:rFonts w:ascii="Arial" w:eastAsia="宋体" w:hAnsi="Arial" w:cs="Arial"/>
        </w:rPr>
        <w:t>器械</w:t>
      </w:r>
      <w:r w:rsidR="007A1F0F" w:rsidRPr="00F31118">
        <w:rPr>
          <w:rFonts w:ascii="Arial" w:eastAsia="宋体" w:hAnsi="Arial" w:cs="Arial"/>
        </w:rPr>
        <w:t>进行登记并列出目录，</w:t>
      </w:r>
      <w:r w:rsidR="00D67B0E" w:rsidRPr="00F31118">
        <w:rPr>
          <w:rFonts w:ascii="Arial" w:eastAsia="宋体" w:hAnsi="Arial" w:cs="Arial"/>
        </w:rPr>
        <w:t>依据</w:t>
      </w:r>
      <w:r w:rsidR="00D67B0E" w:rsidRPr="00F31118">
        <w:rPr>
          <w:rFonts w:ascii="Arial" w:eastAsia="宋体" w:hAnsi="Arial" w:cs="Arial"/>
        </w:rPr>
        <w:t>21 CFR</w:t>
      </w:r>
      <w:r w:rsidR="00D67B0E" w:rsidRPr="00F31118">
        <w:rPr>
          <w:rFonts w:ascii="Arial" w:eastAsia="宋体" w:hAnsi="Arial" w:cs="Arial"/>
        </w:rPr>
        <w:t>第</w:t>
      </w:r>
      <w:r w:rsidR="00D67B0E" w:rsidRPr="00F31118">
        <w:rPr>
          <w:rFonts w:ascii="Arial" w:eastAsia="宋体" w:hAnsi="Arial" w:cs="Arial"/>
        </w:rPr>
        <w:t>803</w:t>
      </w:r>
      <w:r w:rsidR="00D67B0E" w:rsidRPr="00F31118">
        <w:rPr>
          <w:rFonts w:ascii="Arial" w:eastAsia="宋体" w:hAnsi="Arial" w:cs="Arial"/>
        </w:rPr>
        <w:t>部分的规定提交医疗</w:t>
      </w:r>
      <w:r w:rsidR="000F3824">
        <w:rPr>
          <w:rFonts w:ascii="Arial" w:eastAsia="宋体" w:hAnsi="Arial" w:cs="Arial"/>
        </w:rPr>
        <w:t>器械</w:t>
      </w:r>
      <w:r w:rsidR="00D67B0E" w:rsidRPr="00F31118">
        <w:rPr>
          <w:rFonts w:ascii="Arial" w:eastAsia="宋体" w:hAnsi="Arial" w:cs="Arial"/>
        </w:rPr>
        <w:t>报告，遵从</w:t>
      </w:r>
      <w:r w:rsidR="00D67B0E" w:rsidRPr="00F31118">
        <w:rPr>
          <w:rFonts w:ascii="Arial" w:eastAsia="宋体" w:hAnsi="Arial" w:cs="Arial"/>
        </w:rPr>
        <w:t>21 CFR 809.10(e)</w:t>
      </w:r>
      <w:r w:rsidR="00D67B0E" w:rsidRPr="00F31118">
        <w:rPr>
          <w:rFonts w:ascii="Arial" w:eastAsia="宋体" w:hAnsi="Arial" w:cs="Arial"/>
        </w:rPr>
        <w:t>规定的标签要求并遵从</w:t>
      </w:r>
      <w:r w:rsidR="00D67B0E" w:rsidRPr="00F31118">
        <w:rPr>
          <w:rFonts w:ascii="Arial" w:eastAsia="宋体" w:hAnsi="Arial" w:cs="Arial"/>
        </w:rPr>
        <w:t>21 CFR 809.20(b)</w:t>
      </w:r>
      <w:r w:rsidR="00D67B0E" w:rsidRPr="00F31118">
        <w:rPr>
          <w:rFonts w:ascii="Arial" w:eastAsia="宋体" w:hAnsi="Arial" w:cs="Arial"/>
        </w:rPr>
        <w:t>现行良好生产规范的规定。</w:t>
      </w:r>
      <w:r w:rsidR="002B1C89" w:rsidRPr="00F31118">
        <w:rPr>
          <w:rFonts w:ascii="Arial" w:eastAsia="宋体" w:hAnsi="Arial" w:cs="Arial"/>
        </w:rPr>
        <w:t>该规则还依据</w:t>
      </w:r>
      <w:r w:rsidR="002B1C89" w:rsidRPr="00F31118">
        <w:rPr>
          <w:rFonts w:ascii="Arial" w:eastAsia="宋体" w:hAnsi="Arial" w:cs="Arial"/>
        </w:rPr>
        <w:t>21 CFR 809.30</w:t>
      </w:r>
      <w:r w:rsidR="002B1C89" w:rsidRPr="00F31118">
        <w:rPr>
          <w:rFonts w:ascii="Arial" w:eastAsia="宋体" w:hAnsi="Arial" w:cs="Arial"/>
        </w:rPr>
        <w:t>的规定对</w:t>
      </w:r>
      <w:r w:rsidR="00921E51">
        <w:rPr>
          <w:rFonts w:ascii="Arial" w:eastAsia="宋体" w:hAnsi="Arial" w:cs="Arial"/>
        </w:rPr>
        <w:t>被分析物特效试剂</w:t>
      </w:r>
      <w:r w:rsidR="002B1C89" w:rsidRPr="00F31118">
        <w:rPr>
          <w:rFonts w:ascii="Arial" w:eastAsia="宋体" w:hAnsi="Arial" w:cs="Arial"/>
        </w:rPr>
        <w:t>的销售、使用、分</w:t>
      </w:r>
      <w:r w:rsidR="001C31B8" w:rsidRPr="00F31118">
        <w:rPr>
          <w:rFonts w:ascii="Arial" w:eastAsia="宋体" w:hAnsi="Arial" w:cs="Arial"/>
        </w:rPr>
        <w:t>销</w:t>
      </w:r>
      <w:r w:rsidR="002B1C89" w:rsidRPr="00F31118">
        <w:rPr>
          <w:rFonts w:ascii="Arial" w:eastAsia="宋体" w:hAnsi="Arial" w:cs="Arial"/>
        </w:rPr>
        <w:t>、标签、广告和</w:t>
      </w:r>
      <w:r w:rsidR="003D4325" w:rsidRPr="00F31118">
        <w:rPr>
          <w:rFonts w:ascii="Arial" w:eastAsia="宋体" w:hAnsi="Arial" w:cs="Arial"/>
        </w:rPr>
        <w:t>推</w:t>
      </w:r>
      <w:r w:rsidR="002B1C89" w:rsidRPr="00F31118">
        <w:rPr>
          <w:rFonts w:ascii="Arial" w:eastAsia="宋体" w:hAnsi="Arial" w:cs="Arial"/>
        </w:rPr>
        <w:t>销做出了限制。这些限制措施</w:t>
      </w:r>
      <w:proofErr w:type="gramStart"/>
      <w:r w:rsidR="002B1C89" w:rsidRPr="00F31118">
        <w:rPr>
          <w:rFonts w:ascii="Arial" w:eastAsia="宋体" w:hAnsi="Arial" w:cs="Arial"/>
        </w:rPr>
        <w:t>之一只</w:t>
      </w:r>
      <w:proofErr w:type="gramEnd"/>
      <w:r w:rsidR="002B1C89" w:rsidRPr="00F31118">
        <w:rPr>
          <w:rFonts w:ascii="Arial" w:eastAsia="宋体" w:hAnsi="Arial" w:cs="Arial"/>
        </w:rPr>
        <w:t>允许医生和依据相应州法授权的其他人员</w:t>
      </w:r>
      <w:r w:rsidR="006339F1" w:rsidRPr="00F31118">
        <w:rPr>
          <w:rFonts w:ascii="Arial" w:eastAsia="宋体" w:hAnsi="Arial" w:cs="Arial"/>
        </w:rPr>
        <w:t>订购采用</w:t>
      </w:r>
      <w:r w:rsidR="00921E51">
        <w:rPr>
          <w:rFonts w:ascii="Arial" w:eastAsia="宋体" w:hAnsi="Arial" w:cs="Arial"/>
        </w:rPr>
        <w:t>被分析物特效试剂</w:t>
      </w:r>
      <w:r w:rsidR="006339F1" w:rsidRPr="00F31118">
        <w:rPr>
          <w:rFonts w:ascii="Arial" w:eastAsia="宋体" w:hAnsi="Arial" w:cs="Arial"/>
        </w:rPr>
        <w:t>开发的药事未核准检验（</w:t>
      </w:r>
      <w:r w:rsidR="006339F1" w:rsidRPr="00F31118">
        <w:rPr>
          <w:rFonts w:ascii="Arial" w:eastAsia="宋体" w:hAnsi="Arial" w:cs="Arial"/>
        </w:rPr>
        <w:t>21 CFR 809.30(f)</w:t>
      </w:r>
      <w:r w:rsidR="006339F1" w:rsidRPr="00F31118">
        <w:rPr>
          <w:rFonts w:ascii="Arial" w:eastAsia="宋体" w:hAnsi="Arial" w:cs="Arial"/>
        </w:rPr>
        <w:t>）。另一个限制措施要求采用</w:t>
      </w:r>
      <w:r w:rsidR="00921E51">
        <w:rPr>
          <w:rFonts w:ascii="Arial" w:eastAsia="宋体" w:hAnsi="Arial" w:cs="Arial"/>
        </w:rPr>
        <w:t>被分析物特效试剂</w:t>
      </w:r>
      <w:r w:rsidR="006339F1" w:rsidRPr="00F31118">
        <w:rPr>
          <w:rFonts w:ascii="Arial" w:eastAsia="宋体" w:hAnsi="Arial" w:cs="Arial"/>
        </w:rPr>
        <w:t>开发药事未核准检验的实验室</w:t>
      </w:r>
      <w:r w:rsidR="00491FCB" w:rsidRPr="00F31118">
        <w:rPr>
          <w:rFonts w:ascii="Arial" w:eastAsia="宋体" w:hAnsi="Arial" w:cs="Arial"/>
        </w:rPr>
        <w:t>在向执业医生报告检验结果时</w:t>
      </w:r>
      <w:r w:rsidR="005278DC" w:rsidRPr="00F31118">
        <w:rPr>
          <w:rFonts w:ascii="Arial" w:eastAsia="宋体" w:hAnsi="Arial" w:cs="Arial"/>
        </w:rPr>
        <w:t>增加一个声明，披露</w:t>
      </w:r>
      <w:r w:rsidR="00491FCB" w:rsidRPr="00F31118">
        <w:rPr>
          <w:rFonts w:ascii="Arial" w:eastAsia="宋体" w:hAnsi="Arial" w:cs="Arial"/>
        </w:rPr>
        <w:t>该检验</w:t>
      </w:r>
      <w:r w:rsidR="001E6E6D" w:rsidRPr="00F31118">
        <w:rPr>
          <w:rFonts w:ascii="Arial" w:eastAsia="宋体" w:hAnsi="Arial" w:cs="Arial"/>
        </w:rPr>
        <w:t>产品</w:t>
      </w:r>
      <w:r w:rsidR="00491FCB" w:rsidRPr="00F31118">
        <w:rPr>
          <w:rFonts w:ascii="Arial" w:eastAsia="宋体" w:hAnsi="Arial" w:cs="Arial"/>
        </w:rPr>
        <w:t>由</w:t>
      </w:r>
      <w:r w:rsidR="005278DC" w:rsidRPr="00F31118">
        <w:rPr>
          <w:rFonts w:ascii="Arial" w:eastAsia="宋体" w:hAnsi="Arial" w:cs="Arial"/>
        </w:rPr>
        <w:t>该实验室</w:t>
      </w:r>
      <w:r w:rsidR="00491FCB" w:rsidRPr="00F31118">
        <w:rPr>
          <w:rFonts w:ascii="Arial" w:eastAsia="宋体" w:hAnsi="Arial" w:cs="Arial"/>
        </w:rPr>
        <w:t>开发且尚未通过食品药品监督管理局的许可或批准（</w:t>
      </w:r>
      <w:r w:rsidR="00491FCB" w:rsidRPr="00F31118">
        <w:rPr>
          <w:rFonts w:ascii="Arial" w:eastAsia="宋体" w:hAnsi="Arial" w:cs="Arial"/>
        </w:rPr>
        <w:t>21 CFR 809.30(e)</w:t>
      </w:r>
      <w:r w:rsidR="00491FCB" w:rsidRPr="00F31118">
        <w:rPr>
          <w:rFonts w:ascii="Arial" w:eastAsia="宋体" w:hAnsi="Arial" w:cs="Arial"/>
        </w:rPr>
        <w:t>）。</w:t>
      </w:r>
    </w:p>
    <w:p w:rsidR="007F2CBE" w:rsidRPr="00F31118" w:rsidRDefault="007F2CBE" w:rsidP="003059EA">
      <w:pPr>
        <w:snapToGrid w:val="0"/>
        <w:spacing w:line="300" w:lineRule="auto"/>
        <w:rPr>
          <w:rFonts w:ascii="Arial" w:eastAsia="宋体" w:hAnsi="Arial" w:cs="Arial"/>
        </w:rPr>
      </w:pPr>
    </w:p>
    <w:p w:rsidR="00E058B0" w:rsidRPr="00F31118" w:rsidRDefault="00491FCB" w:rsidP="003059EA">
      <w:pPr>
        <w:snapToGrid w:val="0"/>
        <w:spacing w:line="300" w:lineRule="auto"/>
        <w:rPr>
          <w:rFonts w:ascii="Arial" w:eastAsia="宋体" w:hAnsi="Arial" w:cs="Arial"/>
        </w:rPr>
      </w:pPr>
      <w:r w:rsidRPr="00F31118">
        <w:rPr>
          <w:rFonts w:ascii="Arial" w:eastAsia="宋体" w:hAnsi="Arial" w:cs="Arial"/>
        </w:rPr>
        <w:t>这些限制措施还禁止</w:t>
      </w:r>
      <w:r w:rsidR="008D5EAE" w:rsidRPr="00F31118">
        <w:rPr>
          <w:rFonts w:ascii="Arial" w:eastAsia="宋体" w:hAnsi="Arial" w:cs="Arial"/>
        </w:rPr>
        <w:t>在</w:t>
      </w:r>
      <w:r w:rsidR="00921E51">
        <w:rPr>
          <w:rFonts w:ascii="Arial" w:eastAsia="宋体" w:hAnsi="Arial" w:cs="Arial"/>
        </w:rPr>
        <w:t>被分析物特效试剂</w:t>
      </w:r>
      <w:r w:rsidRPr="00F31118">
        <w:rPr>
          <w:rFonts w:ascii="Arial" w:eastAsia="宋体" w:hAnsi="Arial" w:cs="Arial"/>
        </w:rPr>
        <w:t>的</w:t>
      </w:r>
      <w:r w:rsidR="008D5EAE" w:rsidRPr="00F31118">
        <w:rPr>
          <w:rFonts w:ascii="Arial" w:eastAsia="宋体" w:hAnsi="Arial" w:cs="Arial"/>
        </w:rPr>
        <w:t>广告和</w:t>
      </w:r>
      <w:r w:rsidR="001E6E6D" w:rsidRPr="00F31118">
        <w:rPr>
          <w:rFonts w:ascii="Arial" w:eastAsia="宋体" w:hAnsi="Arial" w:cs="Arial"/>
        </w:rPr>
        <w:t>推销</w:t>
      </w:r>
      <w:r w:rsidR="008D5EAE" w:rsidRPr="00F31118">
        <w:rPr>
          <w:rFonts w:ascii="Arial" w:eastAsia="宋体" w:hAnsi="Arial" w:cs="Arial"/>
        </w:rPr>
        <w:t>材料中</w:t>
      </w:r>
      <w:r w:rsidR="00873CC1" w:rsidRPr="00F31118">
        <w:rPr>
          <w:rFonts w:ascii="Arial" w:eastAsia="宋体" w:hAnsi="Arial" w:cs="Arial"/>
        </w:rPr>
        <w:t>对其</w:t>
      </w:r>
      <w:r w:rsidR="006E0261" w:rsidRPr="00F31118">
        <w:rPr>
          <w:rFonts w:ascii="Arial" w:eastAsia="宋体" w:hAnsi="Arial" w:cs="Arial"/>
        </w:rPr>
        <w:t>临床或分析性能</w:t>
      </w:r>
      <w:r w:rsidR="00873CC1" w:rsidRPr="00F31118">
        <w:rPr>
          <w:rFonts w:ascii="Arial" w:eastAsia="宋体" w:hAnsi="Arial" w:cs="Arial"/>
        </w:rPr>
        <w:t>提出</w:t>
      </w:r>
      <w:bookmarkStart w:id="21" w:name="OLE_LINK7"/>
      <w:bookmarkStart w:id="22" w:name="OLE_LINK8"/>
      <w:r w:rsidR="00873CC1" w:rsidRPr="00F31118">
        <w:rPr>
          <w:rFonts w:ascii="Arial" w:eastAsia="宋体" w:hAnsi="Arial" w:cs="Arial"/>
        </w:rPr>
        <w:t>任何</w:t>
      </w:r>
      <w:bookmarkEnd w:id="21"/>
      <w:bookmarkEnd w:id="22"/>
      <w:r w:rsidR="00FC7308" w:rsidRPr="00F31118">
        <w:rPr>
          <w:rFonts w:ascii="Arial" w:eastAsia="宋体" w:hAnsi="Arial" w:cs="Arial"/>
        </w:rPr>
        <w:t>声明</w:t>
      </w:r>
      <w:r w:rsidR="00873CC1" w:rsidRPr="00F31118">
        <w:rPr>
          <w:rFonts w:ascii="Arial" w:eastAsia="宋体" w:hAnsi="Arial" w:cs="Arial"/>
        </w:rPr>
        <w:t>（</w:t>
      </w:r>
      <w:r w:rsidR="00873CC1" w:rsidRPr="00F31118">
        <w:rPr>
          <w:rFonts w:ascii="Arial" w:eastAsia="宋体" w:hAnsi="Arial" w:cs="Arial"/>
        </w:rPr>
        <w:t>21 CFR 809.30(d)(4)</w:t>
      </w:r>
      <w:r w:rsidR="00873CC1" w:rsidRPr="00F31118">
        <w:rPr>
          <w:rFonts w:ascii="Arial" w:eastAsia="宋体" w:hAnsi="Arial" w:cs="Arial"/>
        </w:rPr>
        <w:t>）。</w:t>
      </w:r>
      <w:r w:rsidR="005422D1" w:rsidRPr="00F31118">
        <w:rPr>
          <w:rFonts w:ascii="Arial" w:eastAsia="宋体" w:hAnsi="Arial" w:cs="Arial"/>
        </w:rPr>
        <w:t>与该限制措施相一致，在享受豁免待遇的</w:t>
      </w:r>
      <w:r w:rsidR="005422D1" w:rsidRPr="00F31118">
        <w:rPr>
          <w:rFonts w:ascii="Arial" w:eastAsia="宋体" w:hAnsi="Arial" w:cs="Arial"/>
        </w:rPr>
        <w:t>I</w:t>
      </w:r>
      <w:r w:rsidR="005422D1" w:rsidRPr="00F31118">
        <w:rPr>
          <w:rFonts w:ascii="Arial" w:eastAsia="宋体" w:hAnsi="Arial" w:cs="Arial"/>
        </w:rPr>
        <w:t>类</w:t>
      </w:r>
      <w:r w:rsidR="00921E51">
        <w:rPr>
          <w:rFonts w:ascii="Arial" w:eastAsia="宋体" w:hAnsi="Arial" w:cs="Arial"/>
        </w:rPr>
        <w:t>被分析物特效试剂</w:t>
      </w:r>
      <w:r w:rsidR="005422D1" w:rsidRPr="00F31118">
        <w:rPr>
          <w:rFonts w:ascii="Arial" w:eastAsia="宋体" w:hAnsi="Arial" w:cs="Arial"/>
        </w:rPr>
        <w:t>的标签上必须带有这样的声明：</w:t>
      </w:r>
      <w:r w:rsidR="005422D1" w:rsidRPr="00F31118">
        <w:rPr>
          <w:rFonts w:ascii="Arial" w:eastAsia="宋体" w:hAnsi="Arial" w:cs="Arial"/>
        </w:rPr>
        <w:t>“</w:t>
      </w:r>
      <w:r w:rsidR="00921E51">
        <w:rPr>
          <w:rFonts w:ascii="Arial" w:eastAsia="宋体" w:hAnsi="Arial" w:cs="Arial"/>
        </w:rPr>
        <w:t>被分析物特效试剂</w:t>
      </w:r>
      <w:r w:rsidR="00E058B0" w:rsidRPr="00F31118">
        <w:rPr>
          <w:rFonts w:ascii="Arial" w:eastAsia="宋体" w:hAnsi="Arial" w:cs="Arial"/>
        </w:rPr>
        <w:t>，其分析和性能特征尚未确定。</w:t>
      </w:r>
      <w:r w:rsidR="005422D1" w:rsidRPr="00F31118">
        <w:rPr>
          <w:rFonts w:ascii="Arial" w:eastAsia="宋体" w:hAnsi="Arial" w:cs="Arial"/>
        </w:rPr>
        <w:t>”</w:t>
      </w:r>
      <w:r w:rsidR="00E058B0" w:rsidRPr="00F31118">
        <w:rPr>
          <w:rFonts w:ascii="Arial" w:eastAsia="宋体" w:hAnsi="Arial" w:cs="Arial"/>
        </w:rPr>
        <w:t>（</w:t>
      </w:r>
      <w:r w:rsidR="0084392B" w:rsidRPr="00F31118">
        <w:rPr>
          <w:rFonts w:ascii="Arial" w:eastAsia="宋体" w:hAnsi="Arial" w:cs="Arial"/>
        </w:rPr>
        <w:t>21 CFR 809.10(e)(1)(x)</w:t>
      </w:r>
      <w:r w:rsidR="00E058B0" w:rsidRPr="00F31118">
        <w:rPr>
          <w:rFonts w:ascii="Arial" w:eastAsia="宋体" w:hAnsi="Arial" w:cs="Arial"/>
        </w:rPr>
        <w:t>）。要求对某一产品提出分析和</w:t>
      </w:r>
      <w:r w:rsidR="00E058B0" w:rsidRPr="00F31118">
        <w:rPr>
          <w:rFonts w:ascii="Arial" w:eastAsia="宋体" w:hAnsi="Arial" w:cs="Arial"/>
        </w:rPr>
        <w:t>/</w:t>
      </w:r>
      <w:r w:rsidR="00E058B0" w:rsidRPr="00F31118">
        <w:rPr>
          <w:rFonts w:ascii="Arial" w:eastAsia="宋体" w:hAnsi="Arial" w:cs="Arial"/>
        </w:rPr>
        <w:t>或临床性能主张的制造商应向</w:t>
      </w:r>
      <w:r w:rsidR="00CE37DB" w:rsidRPr="00F31118">
        <w:rPr>
          <w:rFonts w:ascii="Arial" w:eastAsia="宋体" w:hAnsi="Arial" w:cs="Arial"/>
        </w:rPr>
        <w:t>食品药品监督管理局</w:t>
      </w:r>
      <w:r w:rsidR="00FC7308" w:rsidRPr="00F31118">
        <w:rPr>
          <w:rFonts w:ascii="Arial" w:eastAsia="宋体" w:hAnsi="Arial" w:cs="Arial"/>
        </w:rPr>
        <w:t>在</w:t>
      </w:r>
      <w:r w:rsidR="00CE37DB" w:rsidRPr="00F31118">
        <w:rPr>
          <w:rFonts w:ascii="Arial" w:eastAsia="宋体" w:hAnsi="Arial" w:cs="Arial"/>
        </w:rPr>
        <w:t>提出上市前审查申请而不是以</w:t>
      </w:r>
      <w:r w:rsidR="00921E51">
        <w:rPr>
          <w:rFonts w:ascii="Arial" w:eastAsia="宋体" w:hAnsi="Arial" w:cs="Arial"/>
        </w:rPr>
        <w:t>被分析物特效试剂</w:t>
      </w:r>
      <w:r w:rsidR="00CE37DB" w:rsidRPr="00F31118">
        <w:rPr>
          <w:rFonts w:ascii="Arial" w:eastAsia="宋体" w:hAnsi="Arial" w:cs="Arial"/>
        </w:rPr>
        <w:t>的名义销售该产品。</w:t>
      </w:r>
      <w:r w:rsidR="002D23BD" w:rsidRPr="00F31118">
        <w:rPr>
          <w:rFonts w:ascii="Arial" w:eastAsia="宋体" w:hAnsi="Arial" w:cs="Arial"/>
        </w:rPr>
        <w:t>例如，性能</w:t>
      </w:r>
      <w:r w:rsidR="00FC7308" w:rsidRPr="00F31118">
        <w:rPr>
          <w:rFonts w:ascii="Arial" w:eastAsia="宋体" w:hAnsi="Arial" w:cs="Arial"/>
        </w:rPr>
        <w:t>声明</w:t>
      </w:r>
      <w:r w:rsidR="002D23BD" w:rsidRPr="00F31118">
        <w:rPr>
          <w:rFonts w:ascii="Arial" w:eastAsia="宋体" w:hAnsi="Arial" w:cs="Arial"/>
        </w:rPr>
        <w:t>可包括这样的陈述：</w:t>
      </w:r>
      <w:r w:rsidR="002D23BD" w:rsidRPr="00F31118">
        <w:rPr>
          <w:rFonts w:ascii="Arial" w:eastAsia="宋体" w:hAnsi="Arial" w:cs="Arial"/>
        </w:rPr>
        <w:t>“</w:t>
      </w:r>
      <w:r w:rsidR="002D23BD" w:rsidRPr="00F31118">
        <w:rPr>
          <w:rFonts w:ascii="Arial" w:eastAsia="宋体" w:hAnsi="Arial" w:cs="Arial"/>
        </w:rPr>
        <w:t>本</w:t>
      </w:r>
      <w:r w:rsidR="00921E51">
        <w:rPr>
          <w:rFonts w:ascii="Arial" w:eastAsia="宋体" w:hAnsi="Arial" w:cs="Arial"/>
        </w:rPr>
        <w:t>被分析物特效试剂</w:t>
      </w:r>
      <w:r w:rsidR="002D23BD" w:rsidRPr="00F31118">
        <w:rPr>
          <w:rFonts w:ascii="Arial" w:eastAsia="宋体" w:hAnsi="Arial" w:cs="Arial"/>
        </w:rPr>
        <w:t>可用于</w:t>
      </w:r>
      <w:r w:rsidR="00491056" w:rsidRPr="00F31118">
        <w:rPr>
          <w:rFonts w:ascii="Arial" w:eastAsia="宋体" w:hAnsi="Arial" w:cs="Arial"/>
        </w:rPr>
        <w:t>[</w:t>
      </w:r>
      <w:r w:rsidR="00491056" w:rsidRPr="00F31118">
        <w:rPr>
          <w:rFonts w:ascii="Arial" w:eastAsia="宋体" w:hAnsi="Arial" w:cs="Arial"/>
        </w:rPr>
        <w:t>某种被测物</w:t>
      </w:r>
      <w:r w:rsidR="00491056" w:rsidRPr="00F31118">
        <w:rPr>
          <w:rFonts w:ascii="Arial" w:eastAsia="宋体" w:hAnsi="Arial" w:cs="Arial"/>
        </w:rPr>
        <w:t>]</w:t>
      </w:r>
      <w:r w:rsidR="00491056" w:rsidRPr="00F31118">
        <w:rPr>
          <w:rFonts w:ascii="Arial" w:eastAsia="宋体" w:hAnsi="Arial" w:cs="Arial"/>
        </w:rPr>
        <w:t>的定量以判定</w:t>
      </w:r>
      <w:r w:rsidR="00491056" w:rsidRPr="00F31118">
        <w:rPr>
          <w:rFonts w:ascii="Arial" w:eastAsia="宋体" w:hAnsi="Arial" w:cs="Arial"/>
        </w:rPr>
        <w:t>[</w:t>
      </w:r>
      <w:r w:rsidR="00491056" w:rsidRPr="00F31118">
        <w:rPr>
          <w:rFonts w:ascii="Arial" w:eastAsia="宋体" w:hAnsi="Arial" w:cs="Arial"/>
        </w:rPr>
        <w:t>某个诊断</w:t>
      </w:r>
      <w:r w:rsidR="00491056" w:rsidRPr="00F31118">
        <w:rPr>
          <w:rFonts w:ascii="Arial" w:eastAsia="宋体" w:hAnsi="Arial" w:cs="Arial"/>
        </w:rPr>
        <w:t>]</w:t>
      </w:r>
      <w:r w:rsidR="002D23BD" w:rsidRPr="00F31118">
        <w:rPr>
          <w:rFonts w:ascii="Arial" w:eastAsia="宋体" w:hAnsi="Arial" w:cs="Arial"/>
        </w:rPr>
        <w:t>”</w:t>
      </w:r>
      <w:r w:rsidR="002D23BD" w:rsidRPr="00F31118">
        <w:rPr>
          <w:rFonts w:ascii="Arial" w:eastAsia="宋体" w:hAnsi="Arial" w:cs="Arial"/>
        </w:rPr>
        <w:t>。</w:t>
      </w:r>
    </w:p>
    <w:p w:rsidR="00E058B0" w:rsidRPr="00F31118" w:rsidRDefault="00E058B0" w:rsidP="003059EA">
      <w:pPr>
        <w:snapToGrid w:val="0"/>
        <w:spacing w:line="300" w:lineRule="auto"/>
        <w:rPr>
          <w:rFonts w:ascii="Arial" w:eastAsia="宋体" w:hAnsi="Arial" w:cs="Arial"/>
        </w:rPr>
      </w:pPr>
    </w:p>
    <w:p w:rsidR="007F2CBE" w:rsidRPr="00F31118" w:rsidRDefault="007F2CBE" w:rsidP="003059EA">
      <w:pPr>
        <w:snapToGrid w:val="0"/>
        <w:spacing w:line="300" w:lineRule="auto"/>
        <w:rPr>
          <w:rFonts w:ascii="Arial" w:eastAsia="宋体" w:hAnsi="Arial" w:cs="Arial"/>
        </w:rPr>
      </w:pPr>
    </w:p>
    <w:p w:rsidR="001F3D34" w:rsidRPr="00F31118" w:rsidRDefault="001F3D34" w:rsidP="003059EA">
      <w:pPr>
        <w:snapToGrid w:val="0"/>
        <w:spacing w:line="300" w:lineRule="auto"/>
        <w:rPr>
          <w:rFonts w:ascii="Arial" w:eastAsia="宋体" w:hAnsi="Arial" w:cs="Arial"/>
          <w:b/>
        </w:rPr>
      </w:pPr>
      <w:r w:rsidRPr="00F31118">
        <w:rPr>
          <w:rFonts w:ascii="Arial" w:eastAsia="宋体" w:hAnsi="Arial" w:cs="Arial"/>
          <w:b/>
        </w:rPr>
        <w:lastRenderedPageBreak/>
        <w:t xml:space="preserve">5. </w:t>
      </w:r>
      <w:r w:rsidR="00726FF1" w:rsidRPr="00F31118">
        <w:rPr>
          <w:rFonts w:ascii="Arial" w:eastAsia="宋体" w:hAnsi="Arial" w:cs="Arial"/>
          <w:b/>
        </w:rPr>
        <w:t>某些</w:t>
      </w:r>
      <w:r w:rsidR="00921E51">
        <w:rPr>
          <w:rFonts w:ascii="Arial" w:eastAsia="宋体" w:hAnsi="Arial" w:cs="Arial"/>
          <w:b/>
        </w:rPr>
        <w:t>被分析物特效试剂</w:t>
      </w:r>
      <w:r w:rsidR="00726FF1" w:rsidRPr="00F31118">
        <w:rPr>
          <w:rFonts w:ascii="Arial" w:eastAsia="宋体" w:hAnsi="Arial" w:cs="Arial"/>
          <w:b/>
        </w:rPr>
        <w:t>需要上市前申请文件的</w:t>
      </w:r>
      <w:r w:rsidR="00726FF1" w:rsidRPr="00F31118">
        <w:rPr>
          <w:rFonts w:ascii="Arial" w:eastAsia="宋体" w:hAnsi="Arial" w:cs="Arial"/>
          <w:b/>
        </w:rPr>
        <w:t>II</w:t>
      </w:r>
      <w:r w:rsidR="00726FF1" w:rsidRPr="00F31118">
        <w:rPr>
          <w:rFonts w:ascii="Arial" w:eastAsia="宋体" w:hAnsi="Arial" w:cs="Arial"/>
          <w:b/>
        </w:rPr>
        <w:t>类或</w:t>
      </w:r>
      <w:r w:rsidR="00726FF1" w:rsidRPr="00F31118">
        <w:rPr>
          <w:rFonts w:ascii="Arial" w:eastAsia="宋体" w:hAnsi="Arial" w:cs="Arial"/>
          <w:b/>
        </w:rPr>
        <w:t>III</w:t>
      </w:r>
      <w:r w:rsidR="00726FF1" w:rsidRPr="00F31118">
        <w:rPr>
          <w:rFonts w:ascii="Arial" w:eastAsia="宋体" w:hAnsi="Arial" w:cs="Arial"/>
          <w:b/>
        </w:rPr>
        <w:t>类医疗</w:t>
      </w:r>
      <w:r w:rsidR="000F3824">
        <w:rPr>
          <w:rFonts w:ascii="Arial" w:eastAsia="宋体" w:hAnsi="Arial" w:cs="Arial"/>
          <w:b/>
        </w:rPr>
        <w:t>器械</w:t>
      </w:r>
      <w:r w:rsidR="00726FF1" w:rsidRPr="00F31118">
        <w:rPr>
          <w:rFonts w:ascii="Arial" w:eastAsia="宋体" w:hAnsi="Arial" w:cs="Arial"/>
          <w:b/>
        </w:rPr>
        <w:t>吗？</w:t>
      </w:r>
    </w:p>
    <w:p w:rsidR="00726FF1" w:rsidRPr="00F31118" w:rsidRDefault="00726FF1" w:rsidP="003059EA">
      <w:pPr>
        <w:snapToGrid w:val="0"/>
        <w:spacing w:line="300" w:lineRule="auto"/>
        <w:rPr>
          <w:rFonts w:ascii="Arial" w:eastAsia="宋体" w:hAnsi="Arial" w:cs="Arial"/>
        </w:rPr>
      </w:pPr>
    </w:p>
    <w:p w:rsidR="00726FF1" w:rsidRPr="00F31118" w:rsidRDefault="00726FF1" w:rsidP="003059EA">
      <w:pPr>
        <w:snapToGrid w:val="0"/>
        <w:spacing w:line="300" w:lineRule="auto"/>
        <w:rPr>
          <w:rFonts w:ascii="Arial" w:eastAsia="宋体" w:hAnsi="Arial" w:cs="Arial"/>
        </w:rPr>
      </w:pPr>
      <w:r w:rsidRPr="00F31118">
        <w:rPr>
          <w:rFonts w:ascii="Arial" w:eastAsia="宋体" w:hAnsi="Arial" w:cs="Arial"/>
        </w:rPr>
        <w:t>是的。</w:t>
      </w:r>
      <w:r w:rsidR="007B15CB" w:rsidRPr="00F31118">
        <w:rPr>
          <w:rFonts w:ascii="Arial" w:eastAsia="宋体" w:hAnsi="Arial" w:cs="Arial"/>
        </w:rPr>
        <w:t>尽管大多数</w:t>
      </w:r>
      <w:r w:rsidR="00921E51">
        <w:rPr>
          <w:rFonts w:ascii="Arial" w:eastAsia="宋体" w:hAnsi="Arial" w:cs="Arial"/>
        </w:rPr>
        <w:t>被分析物特效试剂</w:t>
      </w:r>
      <w:r w:rsidR="007B15CB" w:rsidRPr="00F31118">
        <w:rPr>
          <w:rFonts w:ascii="Arial" w:eastAsia="宋体" w:hAnsi="Arial" w:cs="Arial"/>
        </w:rPr>
        <w:t>是</w:t>
      </w:r>
      <w:r w:rsidR="007B15CB" w:rsidRPr="00F31118">
        <w:rPr>
          <w:rFonts w:ascii="Arial" w:eastAsia="宋体" w:hAnsi="Arial" w:cs="Arial"/>
        </w:rPr>
        <w:t>I</w:t>
      </w:r>
      <w:r w:rsidR="007B15CB" w:rsidRPr="00F31118">
        <w:rPr>
          <w:rFonts w:ascii="Arial" w:eastAsia="宋体" w:hAnsi="Arial" w:cs="Arial"/>
        </w:rPr>
        <w:t>类医疗</w:t>
      </w:r>
      <w:r w:rsidR="000F3824">
        <w:rPr>
          <w:rFonts w:ascii="Arial" w:eastAsia="宋体" w:hAnsi="Arial" w:cs="Arial"/>
        </w:rPr>
        <w:t>器械</w:t>
      </w:r>
      <w:r w:rsidR="007B15CB" w:rsidRPr="00F31118">
        <w:rPr>
          <w:rFonts w:ascii="Arial" w:eastAsia="宋体" w:hAnsi="Arial" w:cs="Arial"/>
        </w:rPr>
        <w:t>，但有些</w:t>
      </w:r>
      <w:r w:rsidR="00921E51">
        <w:rPr>
          <w:rFonts w:ascii="Arial" w:eastAsia="宋体" w:hAnsi="Arial" w:cs="Arial"/>
        </w:rPr>
        <w:t>被分析物特效试剂</w:t>
      </w:r>
      <w:r w:rsidR="007B15CB" w:rsidRPr="00F31118">
        <w:rPr>
          <w:rFonts w:ascii="Arial" w:eastAsia="宋体" w:hAnsi="Arial" w:cs="Arial"/>
        </w:rPr>
        <w:t>是在美国上市前必须经食品药品监督管理局许可或批准的</w:t>
      </w:r>
      <w:r w:rsidR="007B15CB" w:rsidRPr="00F31118">
        <w:rPr>
          <w:rFonts w:ascii="Arial" w:eastAsia="宋体" w:hAnsi="Arial" w:cs="Arial"/>
        </w:rPr>
        <w:t>II</w:t>
      </w:r>
      <w:r w:rsidR="007B15CB" w:rsidRPr="00F31118">
        <w:rPr>
          <w:rFonts w:ascii="Arial" w:eastAsia="宋体" w:hAnsi="Arial" w:cs="Arial"/>
        </w:rPr>
        <w:t>类和</w:t>
      </w:r>
      <w:r w:rsidR="007B15CB" w:rsidRPr="00F31118">
        <w:rPr>
          <w:rFonts w:ascii="Arial" w:eastAsia="宋体" w:hAnsi="Arial" w:cs="Arial"/>
        </w:rPr>
        <w:t>III</w:t>
      </w:r>
      <w:r w:rsidR="007B15CB" w:rsidRPr="00F31118">
        <w:rPr>
          <w:rFonts w:ascii="Arial" w:eastAsia="宋体" w:hAnsi="Arial" w:cs="Arial"/>
        </w:rPr>
        <w:t>类医疗</w:t>
      </w:r>
      <w:r w:rsidR="000F3824">
        <w:rPr>
          <w:rFonts w:ascii="Arial" w:eastAsia="宋体" w:hAnsi="Arial" w:cs="Arial"/>
        </w:rPr>
        <w:t>器械</w:t>
      </w:r>
      <w:r w:rsidR="007B15CB" w:rsidRPr="00F31118">
        <w:rPr>
          <w:rFonts w:ascii="Arial" w:eastAsia="宋体" w:hAnsi="Arial" w:cs="Arial"/>
        </w:rPr>
        <w:t>（</w:t>
      </w:r>
      <w:r w:rsidR="007B15CB" w:rsidRPr="00F31118">
        <w:rPr>
          <w:rFonts w:ascii="Arial" w:eastAsia="宋体" w:hAnsi="Arial" w:cs="Arial"/>
        </w:rPr>
        <w:t>21 CFR 864.4020</w:t>
      </w:r>
      <w:r w:rsidR="007B15CB" w:rsidRPr="00F31118">
        <w:rPr>
          <w:rFonts w:ascii="Arial" w:eastAsia="宋体" w:hAnsi="Arial" w:cs="Arial"/>
        </w:rPr>
        <w:t>）。食品药品监督管理局</w:t>
      </w:r>
      <w:r w:rsidR="006265E4" w:rsidRPr="00F31118">
        <w:rPr>
          <w:rFonts w:ascii="Arial" w:eastAsia="宋体" w:hAnsi="Arial" w:cs="Arial"/>
        </w:rPr>
        <w:t>根据</w:t>
      </w:r>
      <w:r w:rsidR="009C6240" w:rsidRPr="00F31118">
        <w:rPr>
          <w:rFonts w:ascii="Arial" w:eastAsia="宋体" w:hAnsi="Arial" w:cs="Arial"/>
        </w:rPr>
        <w:t>提供安全性和有效性的合理保证所必需的</w:t>
      </w:r>
      <w:r w:rsidR="006265E4" w:rsidRPr="00F31118">
        <w:rPr>
          <w:rFonts w:ascii="Arial" w:eastAsia="宋体" w:hAnsi="Arial" w:cs="Arial"/>
        </w:rPr>
        <w:t>监管控制水平将医疗</w:t>
      </w:r>
      <w:r w:rsidR="000F3824">
        <w:rPr>
          <w:rFonts w:ascii="Arial" w:eastAsia="宋体" w:hAnsi="Arial" w:cs="Arial"/>
        </w:rPr>
        <w:t>器械</w:t>
      </w:r>
      <w:r w:rsidR="006265E4" w:rsidRPr="00F31118">
        <w:rPr>
          <w:rFonts w:ascii="Arial" w:eastAsia="宋体" w:hAnsi="Arial" w:cs="Arial"/>
        </w:rPr>
        <w:t>（包括像</w:t>
      </w:r>
      <w:r w:rsidR="00921E51">
        <w:rPr>
          <w:rFonts w:ascii="Arial" w:eastAsia="宋体" w:hAnsi="Arial" w:cs="Arial"/>
        </w:rPr>
        <w:t>被分析物特效试剂</w:t>
      </w:r>
      <w:r w:rsidR="006265E4" w:rsidRPr="00F31118">
        <w:rPr>
          <w:rFonts w:ascii="Arial" w:eastAsia="宋体" w:hAnsi="Arial" w:cs="Arial"/>
        </w:rPr>
        <w:t>这样的诊断</w:t>
      </w:r>
      <w:r w:rsidR="000F3824">
        <w:rPr>
          <w:rFonts w:ascii="Arial" w:eastAsia="宋体" w:hAnsi="Arial" w:cs="Arial"/>
        </w:rPr>
        <w:t>器械</w:t>
      </w:r>
      <w:r w:rsidR="006265E4" w:rsidRPr="00F31118">
        <w:rPr>
          <w:rFonts w:ascii="Arial" w:eastAsia="宋体" w:hAnsi="Arial" w:cs="Arial"/>
        </w:rPr>
        <w:t>）分为</w:t>
      </w:r>
      <w:r w:rsidR="006265E4" w:rsidRPr="00F31118">
        <w:rPr>
          <w:rFonts w:ascii="Arial" w:eastAsia="宋体" w:hAnsi="Arial" w:cs="Arial"/>
        </w:rPr>
        <w:t>I</w:t>
      </w:r>
      <w:r w:rsidR="006265E4" w:rsidRPr="00F31118">
        <w:rPr>
          <w:rFonts w:ascii="Arial" w:eastAsia="宋体" w:hAnsi="Arial" w:cs="Arial"/>
        </w:rPr>
        <w:t>类、</w:t>
      </w:r>
      <w:r w:rsidR="006265E4" w:rsidRPr="00F31118">
        <w:rPr>
          <w:rFonts w:ascii="Arial" w:eastAsia="宋体" w:hAnsi="Arial" w:cs="Arial"/>
        </w:rPr>
        <w:t>II</w:t>
      </w:r>
      <w:r w:rsidR="006265E4" w:rsidRPr="00F31118">
        <w:rPr>
          <w:rFonts w:ascii="Arial" w:eastAsia="宋体" w:hAnsi="Arial" w:cs="Arial"/>
        </w:rPr>
        <w:t>类</w:t>
      </w:r>
      <w:r w:rsidR="009C6240" w:rsidRPr="00F31118">
        <w:rPr>
          <w:rFonts w:ascii="Arial" w:eastAsia="宋体" w:hAnsi="Arial" w:cs="Arial"/>
        </w:rPr>
        <w:t>或</w:t>
      </w:r>
      <w:r w:rsidR="009C6240" w:rsidRPr="00F31118">
        <w:rPr>
          <w:rFonts w:ascii="Arial" w:eastAsia="宋体" w:hAnsi="Arial" w:cs="Arial"/>
        </w:rPr>
        <w:t>III</w:t>
      </w:r>
      <w:r w:rsidR="009C6240" w:rsidRPr="00F31118">
        <w:rPr>
          <w:rFonts w:ascii="Arial" w:eastAsia="宋体" w:hAnsi="Arial" w:cs="Arial"/>
        </w:rPr>
        <w:t>类。</w:t>
      </w:r>
      <w:r w:rsidR="00D04DA6" w:rsidRPr="00F31118">
        <w:rPr>
          <w:rFonts w:ascii="Arial" w:eastAsia="宋体" w:hAnsi="Arial" w:cs="Arial"/>
        </w:rPr>
        <w:t>做出这些分类时考虑了与</w:t>
      </w:r>
      <w:r w:rsidR="000F3824">
        <w:rPr>
          <w:rFonts w:ascii="Arial" w:eastAsia="宋体" w:hAnsi="Arial" w:cs="Arial"/>
        </w:rPr>
        <w:t>器械</w:t>
      </w:r>
      <w:r w:rsidR="00D04DA6" w:rsidRPr="00F31118">
        <w:rPr>
          <w:rFonts w:ascii="Arial" w:eastAsia="宋体" w:hAnsi="Arial" w:cs="Arial"/>
        </w:rPr>
        <w:t>相关的风险水平（</w:t>
      </w:r>
      <w:r w:rsidR="00D04DA6" w:rsidRPr="00F31118">
        <w:rPr>
          <w:rFonts w:ascii="Arial" w:eastAsia="宋体" w:hAnsi="Arial" w:cs="Arial"/>
        </w:rPr>
        <w:t>21 U.S.C. 360c</w:t>
      </w:r>
      <w:r w:rsidR="00D04DA6" w:rsidRPr="00F31118">
        <w:rPr>
          <w:rFonts w:ascii="Arial" w:eastAsia="宋体" w:hAnsi="Arial" w:cs="Arial"/>
        </w:rPr>
        <w:t>）。某种</w:t>
      </w:r>
      <w:r w:rsidR="00921E51">
        <w:rPr>
          <w:rFonts w:ascii="Arial" w:eastAsia="宋体" w:hAnsi="Arial" w:cs="Arial"/>
        </w:rPr>
        <w:t>被分析物特效试剂</w:t>
      </w:r>
      <w:r w:rsidR="00D04DA6" w:rsidRPr="00F31118">
        <w:rPr>
          <w:rFonts w:ascii="Arial" w:eastAsia="宋体" w:hAnsi="Arial" w:cs="Arial"/>
        </w:rPr>
        <w:t>的分类决定了</w:t>
      </w:r>
      <w:r w:rsidR="003D1398" w:rsidRPr="00F31118">
        <w:rPr>
          <w:rFonts w:ascii="Arial" w:eastAsia="宋体" w:hAnsi="Arial" w:cs="Arial"/>
        </w:rPr>
        <w:t>相应的上市前流程。</w:t>
      </w:r>
    </w:p>
    <w:p w:rsidR="00491056" w:rsidRPr="00F31118" w:rsidRDefault="00491056" w:rsidP="003059EA">
      <w:pPr>
        <w:snapToGrid w:val="0"/>
        <w:spacing w:line="300" w:lineRule="auto"/>
        <w:rPr>
          <w:rFonts w:ascii="Arial" w:eastAsia="宋体" w:hAnsi="Arial" w:cs="Arial"/>
        </w:rPr>
      </w:pPr>
    </w:p>
    <w:p w:rsidR="003D1398" w:rsidRPr="00F31118" w:rsidRDefault="00B857EF" w:rsidP="003059EA">
      <w:pPr>
        <w:snapToGrid w:val="0"/>
        <w:spacing w:line="300" w:lineRule="auto"/>
        <w:rPr>
          <w:rFonts w:ascii="Arial" w:eastAsia="宋体" w:hAnsi="Arial" w:cs="Arial"/>
        </w:rPr>
      </w:pPr>
      <w:r w:rsidRPr="00F31118">
        <w:rPr>
          <w:rFonts w:ascii="Arial" w:eastAsia="宋体" w:hAnsi="Arial" w:cs="Arial"/>
        </w:rPr>
        <w:t>在已被归为</w:t>
      </w:r>
      <w:r w:rsidRPr="00F31118">
        <w:rPr>
          <w:rFonts w:ascii="Arial" w:eastAsia="宋体" w:hAnsi="Arial" w:cs="Arial"/>
        </w:rPr>
        <w:t>II</w:t>
      </w:r>
      <w:r w:rsidRPr="00F31118">
        <w:rPr>
          <w:rFonts w:ascii="Arial" w:eastAsia="宋体" w:hAnsi="Arial" w:cs="Arial"/>
        </w:rPr>
        <w:t>类医疗</w:t>
      </w:r>
      <w:r w:rsidR="000F3824">
        <w:rPr>
          <w:rFonts w:ascii="Arial" w:eastAsia="宋体" w:hAnsi="Arial" w:cs="Arial"/>
        </w:rPr>
        <w:t>器械</w:t>
      </w:r>
      <w:r w:rsidRPr="00F31118">
        <w:rPr>
          <w:rFonts w:ascii="Arial" w:eastAsia="宋体" w:hAnsi="Arial" w:cs="Arial"/>
        </w:rPr>
        <w:t>的某种类型的血库检验</w:t>
      </w:r>
      <w:r w:rsidR="001A26ED" w:rsidRPr="00F31118">
        <w:rPr>
          <w:rFonts w:ascii="Arial" w:eastAsia="宋体" w:hAnsi="Arial" w:cs="Arial"/>
        </w:rPr>
        <w:t>产品</w:t>
      </w:r>
      <w:r w:rsidRPr="00F31118">
        <w:rPr>
          <w:rFonts w:ascii="Arial" w:eastAsia="宋体" w:hAnsi="Arial" w:cs="Arial"/>
        </w:rPr>
        <w:t>中</w:t>
      </w:r>
      <w:r w:rsidR="00A51F00" w:rsidRPr="00F31118">
        <w:rPr>
          <w:rFonts w:ascii="Arial" w:eastAsia="宋体" w:hAnsi="Arial" w:cs="Arial"/>
        </w:rPr>
        <w:t>，如果某种</w:t>
      </w:r>
      <w:r w:rsidR="00921E51">
        <w:rPr>
          <w:rFonts w:ascii="Arial" w:eastAsia="宋体" w:hAnsi="Arial" w:cs="Arial"/>
        </w:rPr>
        <w:t>被分析物特效试剂</w:t>
      </w:r>
      <w:r w:rsidR="00A51F00" w:rsidRPr="00F31118">
        <w:rPr>
          <w:rFonts w:ascii="Arial" w:eastAsia="宋体" w:hAnsi="Arial" w:cs="Arial"/>
        </w:rPr>
        <w:t>被</w:t>
      </w:r>
      <w:r w:rsidRPr="00F31118">
        <w:rPr>
          <w:rFonts w:ascii="Arial" w:eastAsia="宋体" w:hAnsi="Arial" w:cs="Arial"/>
        </w:rPr>
        <w:t>作为</w:t>
      </w:r>
      <w:r w:rsidR="00A51F00" w:rsidRPr="00F31118">
        <w:rPr>
          <w:rFonts w:ascii="Arial" w:eastAsia="宋体" w:hAnsi="Arial" w:cs="Arial"/>
        </w:rPr>
        <w:t>其中的一个成分，则该</w:t>
      </w:r>
      <w:r w:rsidR="00921E51">
        <w:rPr>
          <w:rFonts w:ascii="Arial" w:eastAsia="宋体" w:hAnsi="Arial" w:cs="Arial"/>
        </w:rPr>
        <w:t>被分析物特效试剂</w:t>
      </w:r>
      <w:r w:rsidR="00A51F00" w:rsidRPr="00F31118">
        <w:rPr>
          <w:rFonts w:ascii="Arial" w:eastAsia="宋体" w:hAnsi="Arial" w:cs="Arial"/>
        </w:rPr>
        <w:t>就属于</w:t>
      </w:r>
      <w:r w:rsidR="00A51F00" w:rsidRPr="00F31118">
        <w:rPr>
          <w:rFonts w:ascii="Arial" w:eastAsia="宋体" w:hAnsi="Arial" w:cs="Arial"/>
        </w:rPr>
        <w:t>II</w:t>
      </w:r>
      <w:r w:rsidR="00A51F00" w:rsidRPr="00F31118">
        <w:rPr>
          <w:rFonts w:ascii="Arial" w:eastAsia="宋体" w:hAnsi="Arial" w:cs="Arial"/>
        </w:rPr>
        <w:t>类医疗</w:t>
      </w:r>
      <w:r w:rsidR="000F3824">
        <w:rPr>
          <w:rFonts w:ascii="Arial" w:eastAsia="宋体" w:hAnsi="Arial" w:cs="Arial"/>
        </w:rPr>
        <w:t>器械</w:t>
      </w:r>
      <w:r w:rsidR="00A51F00" w:rsidRPr="00F31118">
        <w:rPr>
          <w:rFonts w:ascii="Arial" w:eastAsia="宋体" w:hAnsi="Arial" w:cs="Arial"/>
        </w:rPr>
        <w:t>（</w:t>
      </w:r>
      <w:r w:rsidR="00F1130B" w:rsidRPr="00F31118">
        <w:rPr>
          <w:rFonts w:ascii="Arial" w:eastAsia="宋体" w:hAnsi="Arial" w:cs="Arial"/>
        </w:rPr>
        <w:t>如某种巨细胞病毒血清学检验试剂和梅毒螺旋体非密螺旋体检验试剂</w:t>
      </w:r>
      <w:r w:rsidR="00A51F00" w:rsidRPr="00F31118">
        <w:rPr>
          <w:rFonts w:ascii="Arial" w:eastAsia="宋体" w:hAnsi="Arial" w:cs="Arial"/>
        </w:rPr>
        <w:t>）</w:t>
      </w:r>
      <w:r w:rsidR="00023142" w:rsidRPr="00F31118">
        <w:rPr>
          <w:rFonts w:ascii="Arial" w:eastAsia="宋体" w:hAnsi="Arial" w:cs="Arial"/>
        </w:rPr>
        <w:t>（</w:t>
      </w:r>
      <w:r w:rsidR="00023142" w:rsidRPr="00F31118">
        <w:rPr>
          <w:rFonts w:ascii="Arial" w:eastAsia="宋体" w:hAnsi="Arial" w:cs="Arial"/>
        </w:rPr>
        <w:t>21 CFR 864.4020(b)(2)</w:t>
      </w:r>
      <w:r w:rsidR="00023142" w:rsidRPr="00F31118">
        <w:rPr>
          <w:rFonts w:ascii="Arial" w:eastAsia="宋体" w:hAnsi="Arial" w:cs="Arial"/>
        </w:rPr>
        <w:t>）</w:t>
      </w:r>
      <w:r w:rsidR="00A51F00" w:rsidRPr="00F31118">
        <w:rPr>
          <w:rFonts w:ascii="Arial" w:eastAsia="宋体" w:hAnsi="Arial" w:cs="Arial"/>
        </w:rPr>
        <w:t>。</w:t>
      </w:r>
    </w:p>
    <w:p w:rsidR="003D1398" w:rsidRPr="00F31118" w:rsidRDefault="003D1398" w:rsidP="003059EA">
      <w:pPr>
        <w:snapToGrid w:val="0"/>
        <w:spacing w:line="300" w:lineRule="auto"/>
        <w:rPr>
          <w:rFonts w:ascii="Arial" w:eastAsia="宋体" w:hAnsi="Arial" w:cs="Arial"/>
        </w:rPr>
      </w:pPr>
    </w:p>
    <w:p w:rsidR="00023142" w:rsidRPr="00F31118" w:rsidRDefault="006B0628" w:rsidP="003059EA">
      <w:pPr>
        <w:snapToGrid w:val="0"/>
        <w:spacing w:line="300" w:lineRule="auto"/>
        <w:rPr>
          <w:rFonts w:ascii="Arial" w:eastAsia="宋体" w:hAnsi="Arial" w:cs="Arial"/>
        </w:rPr>
      </w:pPr>
      <w:r w:rsidRPr="00F31118">
        <w:rPr>
          <w:rFonts w:ascii="Arial" w:eastAsia="宋体" w:hAnsi="Arial" w:cs="Arial"/>
        </w:rPr>
        <w:t>在用于下列预期用途之一的检验</w:t>
      </w:r>
      <w:r w:rsidR="006D31E8" w:rsidRPr="00F31118">
        <w:rPr>
          <w:rFonts w:ascii="Arial" w:eastAsia="宋体" w:hAnsi="Arial" w:cs="Arial"/>
        </w:rPr>
        <w:t>产品</w:t>
      </w:r>
      <w:r w:rsidRPr="00F31118">
        <w:rPr>
          <w:rFonts w:ascii="Arial" w:eastAsia="宋体" w:hAnsi="Arial" w:cs="Arial"/>
        </w:rPr>
        <w:t>中，</w:t>
      </w:r>
      <w:r w:rsidR="00023142" w:rsidRPr="00F31118">
        <w:rPr>
          <w:rFonts w:ascii="Arial" w:eastAsia="宋体" w:hAnsi="Arial" w:cs="Arial"/>
        </w:rPr>
        <w:t>如果某种</w:t>
      </w:r>
      <w:r w:rsidR="00921E51">
        <w:rPr>
          <w:rFonts w:ascii="Arial" w:eastAsia="宋体" w:hAnsi="Arial" w:cs="Arial"/>
        </w:rPr>
        <w:t>被分析物特效试剂</w:t>
      </w:r>
      <w:r w:rsidR="006A3E73" w:rsidRPr="00F31118">
        <w:rPr>
          <w:rFonts w:ascii="Arial" w:eastAsia="宋体" w:hAnsi="Arial" w:cs="Arial"/>
        </w:rPr>
        <w:t>拟</w:t>
      </w:r>
      <w:r w:rsidRPr="00F31118">
        <w:rPr>
          <w:rFonts w:ascii="Arial" w:eastAsia="宋体" w:hAnsi="Arial" w:cs="Arial"/>
        </w:rPr>
        <w:t>作为其中的</w:t>
      </w:r>
      <w:r w:rsidR="00023142" w:rsidRPr="00F31118">
        <w:rPr>
          <w:rFonts w:ascii="Arial" w:eastAsia="宋体" w:hAnsi="Arial" w:cs="Arial"/>
        </w:rPr>
        <w:t>一个成分，</w:t>
      </w:r>
      <w:r w:rsidRPr="00F31118">
        <w:rPr>
          <w:rFonts w:ascii="Arial" w:eastAsia="宋体" w:hAnsi="Arial" w:cs="Arial"/>
        </w:rPr>
        <w:t>则该</w:t>
      </w:r>
      <w:r w:rsidR="00921E51">
        <w:rPr>
          <w:rFonts w:ascii="Arial" w:eastAsia="宋体" w:hAnsi="Arial" w:cs="Arial"/>
        </w:rPr>
        <w:t>被分析物特效试剂</w:t>
      </w:r>
      <w:r w:rsidRPr="00F31118">
        <w:rPr>
          <w:rFonts w:ascii="Arial" w:eastAsia="宋体" w:hAnsi="Arial" w:cs="Arial"/>
        </w:rPr>
        <w:t>属于</w:t>
      </w:r>
      <w:r w:rsidRPr="00F31118">
        <w:rPr>
          <w:rFonts w:ascii="Arial" w:eastAsia="宋体" w:hAnsi="Arial" w:cs="Arial"/>
        </w:rPr>
        <w:t>III</w:t>
      </w:r>
      <w:r w:rsidRPr="00F31118">
        <w:rPr>
          <w:rFonts w:ascii="Arial" w:eastAsia="宋体" w:hAnsi="Arial" w:cs="Arial"/>
        </w:rPr>
        <w:t>类医疗</w:t>
      </w:r>
      <w:r w:rsidR="000F3824">
        <w:rPr>
          <w:rFonts w:ascii="Arial" w:eastAsia="宋体" w:hAnsi="Arial" w:cs="Arial"/>
        </w:rPr>
        <w:t>器械</w:t>
      </w:r>
      <w:r w:rsidRPr="00F31118">
        <w:rPr>
          <w:rFonts w:ascii="Arial" w:eastAsia="宋体" w:hAnsi="Arial" w:cs="Arial"/>
        </w:rPr>
        <w:t>：</w:t>
      </w:r>
    </w:p>
    <w:p w:rsidR="006B0628" w:rsidRPr="00F31118" w:rsidRDefault="006B0628" w:rsidP="003059EA">
      <w:pPr>
        <w:snapToGrid w:val="0"/>
        <w:spacing w:line="300" w:lineRule="auto"/>
        <w:rPr>
          <w:rFonts w:ascii="Arial" w:eastAsia="宋体" w:hAnsi="Arial" w:cs="Arial"/>
        </w:rPr>
      </w:pPr>
    </w:p>
    <w:p w:rsidR="006B0628" w:rsidRPr="00F31118" w:rsidRDefault="00F306D2" w:rsidP="003059EA">
      <w:pPr>
        <w:snapToGrid w:val="0"/>
        <w:spacing w:line="300" w:lineRule="auto"/>
        <w:rPr>
          <w:rFonts w:ascii="Arial" w:eastAsia="宋体" w:hAnsi="Arial" w:cs="Arial"/>
        </w:rPr>
      </w:pPr>
      <w:r w:rsidRPr="00F31118">
        <w:rPr>
          <w:rFonts w:ascii="Arial" w:eastAsia="宋体" w:hAnsi="Arial" w:cs="Arial"/>
        </w:rPr>
        <w:t>·</w:t>
      </w:r>
      <w:r w:rsidRPr="00F31118">
        <w:rPr>
          <w:rFonts w:ascii="Arial" w:eastAsia="宋体" w:hAnsi="Arial" w:cs="Arial"/>
        </w:rPr>
        <w:t>对某种传染病做出诊断。该传染病非常可能导致</w:t>
      </w:r>
      <w:r w:rsidR="009A6AA0" w:rsidRPr="00F31118">
        <w:rPr>
          <w:rFonts w:ascii="Arial" w:eastAsia="宋体" w:hAnsi="Arial" w:cs="Arial"/>
        </w:rPr>
        <w:t>某种致命性结局，快速准确地对其做出诊断可为减轻该疾病的公共卫生影响提供机会（如人类免疫缺陷病毒（</w:t>
      </w:r>
      <w:r w:rsidR="009A6AA0" w:rsidRPr="00F31118">
        <w:rPr>
          <w:rFonts w:ascii="Arial" w:eastAsia="宋体" w:hAnsi="Arial" w:cs="Arial"/>
        </w:rPr>
        <w:t>HIV/AIDS</w:t>
      </w:r>
      <w:r w:rsidR="009A6AA0" w:rsidRPr="00F31118">
        <w:rPr>
          <w:rFonts w:ascii="Arial" w:eastAsia="宋体" w:hAnsi="Arial" w:cs="Arial"/>
        </w:rPr>
        <w:t>）或结核病）</w:t>
      </w:r>
      <w:r w:rsidR="00154EEA" w:rsidRPr="00F31118">
        <w:rPr>
          <w:rFonts w:ascii="Arial" w:eastAsia="宋体" w:hAnsi="Arial" w:cs="Arial"/>
        </w:rPr>
        <w:t>；</w:t>
      </w:r>
    </w:p>
    <w:p w:rsidR="00154EEA" w:rsidRPr="00F31118" w:rsidRDefault="00154EEA" w:rsidP="003059EA">
      <w:pPr>
        <w:snapToGrid w:val="0"/>
        <w:spacing w:line="300" w:lineRule="auto"/>
        <w:rPr>
          <w:rFonts w:ascii="Arial" w:eastAsia="宋体" w:hAnsi="Arial" w:cs="Arial"/>
        </w:rPr>
      </w:pPr>
      <w:r w:rsidRPr="00F31118">
        <w:rPr>
          <w:rFonts w:ascii="Arial" w:eastAsia="宋体" w:hAnsi="Arial" w:cs="Arial"/>
        </w:rPr>
        <w:t>·</w:t>
      </w:r>
      <w:r w:rsidR="00133E76" w:rsidRPr="00F31118">
        <w:rPr>
          <w:rFonts w:ascii="Arial" w:eastAsia="宋体" w:hAnsi="Arial" w:cs="Arial"/>
        </w:rPr>
        <w:t>对供血者进行筛检。为保护血液供给或</w:t>
      </w:r>
      <w:r w:rsidR="001308DF" w:rsidRPr="00F31118">
        <w:rPr>
          <w:rFonts w:ascii="Arial" w:eastAsia="宋体" w:hAnsi="Arial" w:cs="Arial"/>
        </w:rPr>
        <w:t>确保安全使用血液和血制品，食品药品监督管理局建议或要求对某些身体状况进行检测（如肝炎检验或血型鉴定）（</w:t>
      </w:r>
      <w:r w:rsidR="001308DF" w:rsidRPr="00F31118">
        <w:rPr>
          <w:rFonts w:ascii="Arial" w:eastAsia="宋体" w:hAnsi="Arial" w:cs="Arial"/>
        </w:rPr>
        <w:t>21 CFR 864.4020(b)(3)</w:t>
      </w:r>
      <w:r w:rsidR="001308DF" w:rsidRPr="00F31118">
        <w:rPr>
          <w:rFonts w:ascii="Arial" w:eastAsia="宋体" w:hAnsi="Arial" w:cs="Arial"/>
        </w:rPr>
        <w:t>）。</w:t>
      </w:r>
    </w:p>
    <w:p w:rsidR="00023142" w:rsidRPr="00F31118" w:rsidRDefault="00023142" w:rsidP="003059EA">
      <w:pPr>
        <w:snapToGrid w:val="0"/>
        <w:spacing w:line="300" w:lineRule="auto"/>
        <w:rPr>
          <w:rFonts w:ascii="Arial" w:eastAsia="宋体" w:hAnsi="Arial" w:cs="Arial"/>
        </w:rPr>
      </w:pPr>
    </w:p>
    <w:p w:rsidR="00154EEA" w:rsidRPr="00F31118" w:rsidRDefault="00616872" w:rsidP="003059EA">
      <w:pPr>
        <w:snapToGrid w:val="0"/>
        <w:spacing w:line="300" w:lineRule="auto"/>
        <w:rPr>
          <w:rFonts w:ascii="Arial" w:eastAsia="宋体" w:hAnsi="Arial" w:cs="Arial"/>
        </w:rPr>
      </w:pPr>
      <w:r w:rsidRPr="00F31118">
        <w:rPr>
          <w:rFonts w:ascii="Arial" w:eastAsia="宋体" w:hAnsi="Arial" w:cs="Arial"/>
        </w:rPr>
        <w:t>食品药品监督管理局</w:t>
      </w:r>
      <w:r w:rsidR="00F53B51" w:rsidRPr="00F31118">
        <w:rPr>
          <w:rFonts w:ascii="Arial" w:eastAsia="宋体" w:hAnsi="Arial" w:cs="Arial"/>
        </w:rPr>
        <w:t>考虑将</w:t>
      </w:r>
      <w:r w:rsidR="007F35A0" w:rsidRPr="00F31118">
        <w:rPr>
          <w:rFonts w:ascii="Arial" w:eastAsia="宋体" w:hAnsi="Arial" w:cs="Arial"/>
        </w:rPr>
        <w:t>拟作</w:t>
      </w:r>
      <w:r w:rsidR="00413AE3" w:rsidRPr="00F31118">
        <w:rPr>
          <w:rFonts w:ascii="Arial" w:eastAsia="宋体" w:hAnsi="Arial" w:cs="Arial"/>
        </w:rPr>
        <w:t>为</w:t>
      </w:r>
      <w:r w:rsidRPr="00F31118">
        <w:rPr>
          <w:rFonts w:ascii="Arial" w:eastAsia="宋体" w:hAnsi="Arial" w:cs="Arial"/>
        </w:rPr>
        <w:t>HIV</w:t>
      </w:r>
      <w:r w:rsidRPr="00F31118">
        <w:rPr>
          <w:rFonts w:ascii="Arial" w:eastAsia="宋体" w:hAnsi="Arial" w:cs="Arial"/>
        </w:rPr>
        <w:t>诊断</w:t>
      </w:r>
      <w:r w:rsidR="00F53B51" w:rsidRPr="00F31118">
        <w:rPr>
          <w:rFonts w:ascii="Arial" w:eastAsia="宋体" w:hAnsi="Arial" w:cs="Arial"/>
        </w:rPr>
        <w:t>（包括对病毒量或</w:t>
      </w:r>
      <w:r w:rsidR="00F53B51" w:rsidRPr="00F31118">
        <w:rPr>
          <w:rFonts w:ascii="Arial" w:eastAsia="宋体" w:hAnsi="Arial" w:cs="Arial"/>
        </w:rPr>
        <w:t>HIV</w:t>
      </w:r>
      <w:r w:rsidR="00F53B51" w:rsidRPr="00F31118">
        <w:rPr>
          <w:rFonts w:ascii="Arial" w:eastAsia="宋体" w:hAnsi="Arial" w:cs="Arial"/>
        </w:rPr>
        <w:t>耐药性突变的监测）</w:t>
      </w:r>
      <w:r w:rsidRPr="00F31118">
        <w:rPr>
          <w:rFonts w:ascii="Arial" w:eastAsia="宋体" w:hAnsi="Arial" w:cs="Arial"/>
        </w:rPr>
        <w:t>检验</w:t>
      </w:r>
      <w:r w:rsidR="00413AE3" w:rsidRPr="00F31118">
        <w:rPr>
          <w:rFonts w:ascii="Arial" w:eastAsia="宋体" w:hAnsi="Arial" w:cs="Arial"/>
        </w:rPr>
        <w:t>组成部</w:t>
      </w:r>
      <w:r w:rsidR="007F35A0" w:rsidRPr="00F31118">
        <w:rPr>
          <w:rFonts w:ascii="Arial" w:eastAsia="宋体" w:hAnsi="Arial" w:cs="Arial"/>
        </w:rPr>
        <w:t>分的某种</w:t>
      </w:r>
      <w:r w:rsidR="00921E51">
        <w:rPr>
          <w:rFonts w:ascii="Arial" w:eastAsia="宋体" w:hAnsi="Arial" w:cs="Arial"/>
        </w:rPr>
        <w:t>被分析物特效试剂</w:t>
      </w:r>
      <w:r w:rsidR="00413AE3" w:rsidRPr="00F31118">
        <w:rPr>
          <w:rFonts w:ascii="Arial" w:eastAsia="宋体" w:hAnsi="Arial" w:cs="Arial"/>
        </w:rPr>
        <w:t>归为</w:t>
      </w:r>
      <w:r w:rsidR="00413AE3" w:rsidRPr="00F31118">
        <w:rPr>
          <w:rFonts w:ascii="Arial" w:eastAsia="宋体" w:hAnsi="Arial" w:cs="Arial"/>
        </w:rPr>
        <w:t>III</w:t>
      </w:r>
      <w:r w:rsidR="00413AE3" w:rsidRPr="00F31118">
        <w:rPr>
          <w:rFonts w:ascii="Arial" w:eastAsia="宋体" w:hAnsi="Arial" w:cs="Arial"/>
        </w:rPr>
        <w:t>类</w:t>
      </w:r>
      <w:r w:rsidR="00921E51">
        <w:rPr>
          <w:rFonts w:ascii="Arial" w:eastAsia="宋体" w:hAnsi="Arial" w:cs="Arial"/>
        </w:rPr>
        <w:t>被分析物特效试剂</w:t>
      </w:r>
      <w:r w:rsidR="00413AE3" w:rsidRPr="00F31118">
        <w:rPr>
          <w:rFonts w:ascii="Arial" w:eastAsia="宋体" w:hAnsi="Arial" w:cs="Arial"/>
        </w:rPr>
        <w:t>。</w:t>
      </w:r>
    </w:p>
    <w:p w:rsidR="00616872" w:rsidRPr="00F31118" w:rsidRDefault="00616872" w:rsidP="003059EA">
      <w:pPr>
        <w:snapToGrid w:val="0"/>
        <w:spacing w:line="300" w:lineRule="auto"/>
        <w:rPr>
          <w:rFonts w:ascii="Arial" w:eastAsia="宋体" w:hAnsi="Arial" w:cs="Arial"/>
        </w:rPr>
      </w:pPr>
    </w:p>
    <w:p w:rsidR="00154EEA" w:rsidRPr="00F31118" w:rsidRDefault="00F53B51" w:rsidP="003059EA">
      <w:pPr>
        <w:snapToGrid w:val="0"/>
        <w:spacing w:line="300" w:lineRule="auto"/>
        <w:rPr>
          <w:rFonts w:ascii="Arial" w:eastAsia="宋体" w:hAnsi="Arial" w:cs="Arial"/>
          <w:b/>
        </w:rPr>
      </w:pPr>
      <w:r w:rsidRPr="00F31118">
        <w:rPr>
          <w:rFonts w:ascii="Arial" w:eastAsia="宋体" w:hAnsi="Arial" w:cs="Arial"/>
          <w:b/>
        </w:rPr>
        <w:t xml:space="preserve">6. </w:t>
      </w:r>
      <w:r w:rsidR="00CD0ECD" w:rsidRPr="00F31118">
        <w:rPr>
          <w:rFonts w:ascii="Arial" w:eastAsia="宋体" w:hAnsi="Arial" w:cs="Arial"/>
          <w:b/>
        </w:rPr>
        <w:t>制造商如何知道</w:t>
      </w:r>
      <w:r w:rsidR="000F3824">
        <w:rPr>
          <w:rFonts w:ascii="Arial" w:eastAsia="宋体" w:hAnsi="Arial" w:cs="Arial" w:hint="eastAsia"/>
          <w:b/>
        </w:rPr>
        <w:t>其</w:t>
      </w:r>
      <w:r w:rsidR="00CD0ECD" w:rsidRPr="00F31118">
        <w:rPr>
          <w:rFonts w:ascii="Arial" w:eastAsia="宋体" w:hAnsi="Arial" w:cs="Arial"/>
          <w:b/>
        </w:rPr>
        <w:t>医疗</w:t>
      </w:r>
      <w:r w:rsidR="000F3824">
        <w:rPr>
          <w:rFonts w:ascii="Arial" w:eastAsia="宋体" w:hAnsi="Arial" w:cs="Arial"/>
          <w:b/>
        </w:rPr>
        <w:t>器械</w:t>
      </w:r>
      <w:r w:rsidR="00CD0ECD" w:rsidRPr="00F31118">
        <w:rPr>
          <w:rFonts w:ascii="Arial" w:eastAsia="宋体" w:hAnsi="Arial" w:cs="Arial"/>
          <w:b/>
        </w:rPr>
        <w:t>是不是</w:t>
      </w:r>
      <w:r w:rsidR="00921E51">
        <w:rPr>
          <w:rFonts w:ascii="Arial" w:eastAsia="宋体" w:hAnsi="Arial" w:cs="Arial"/>
          <w:b/>
        </w:rPr>
        <w:t>被分析物特效试剂</w:t>
      </w:r>
      <w:r w:rsidR="00CD0ECD" w:rsidRPr="00F31118">
        <w:rPr>
          <w:rFonts w:ascii="Arial" w:eastAsia="宋体" w:hAnsi="Arial" w:cs="Arial"/>
          <w:b/>
        </w:rPr>
        <w:t>？</w:t>
      </w:r>
    </w:p>
    <w:p w:rsidR="00F53B51" w:rsidRPr="00F31118" w:rsidRDefault="00F53B51" w:rsidP="003059EA">
      <w:pPr>
        <w:snapToGrid w:val="0"/>
        <w:spacing w:line="300" w:lineRule="auto"/>
        <w:rPr>
          <w:rFonts w:ascii="Arial" w:eastAsia="宋体" w:hAnsi="Arial" w:cs="Arial"/>
        </w:rPr>
      </w:pPr>
    </w:p>
    <w:p w:rsidR="00154EEA" w:rsidRPr="00F31118" w:rsidRDefault="00034E25" w:rsidP="003059EA">
      <w:pPr>
        <w:snapToGrid w:val="0"/>
        <w:spacing w:line="300" w:lineRule="auto"/>
        <w:rPr>
          <w:rFonts w:ascii="Arial" w:eastAsia="宋体" w:hAnsi="Arial" w:cs="Arial"/>
        </w:rPr>
      </w:pPr>
      <w:r w:rsidRPr="00F31118">
        <w:rPr>
          <w:rFonts w:ascii="Arial" w:eastAsia="宋体" w:hAnsi="Arial" w:cs="Arial"/>
        </w:rPr>
        <w:t>我</w:t>
      </w:r>
      <w:r w:rsidR="00203A2A" w:rsidRPr="00F31118">
        <w:rPr>
          <w:rFonts w:ascii="Arial" w:eastAsia="宋体" w:hAnsi="Arial" w:cs="Arial"/>
        </w:rPr>
        <w:t>方</w:t>
      </w:r>
      <w:r w:rsidRPr="00F31118">
        <w:rPr>
          <w:rFonts w:ascii="Arial" w:eastAsia="宋体" w:hAnsi="Arial" w:cs="Arial"/>
        </w:rPr>
        <w:t>建议</w:t>
      </w:r>
      <w:r w:rsidR="00921E51">
        <w:rPr>
          <w:rFonts w:ascii="Arial" w:eastAsia="宋体" w:hAnsi="Arial" w:cs="Arial"/>
        </w:rPr>
        <w:t>被分析物特效试剂</w:t>
      </w:r>
      <w:r w:rsidRPr="00F31118">
        <w:rPr>
          <w:rFonts w:ascii="Arial" w:eastAsia="宋体" w:hAnsi="Arial" w:cs="Arial"/>
        </w:rPr>
        <w:t>制造商查阅本文件，对其产品是否在</w:t>
      </w:r>
      <w:r w:rsidR="00921E51">
        <w:rPr>
          <w:rFonts w:ascii="Arial" w:eastAsia="宋体" w:hAnsi="Arial" w:cs="Arial"/>
        </w:rPr>
        <w:t>被分析物特效试剂</w:t>
      </w:r>
      <w:r w:rsidRPr="00F31118">
        <w:rPr>
          <w:rFonts w:ascii="Arial" w:eastAsia="宋体" w:hAnsi="Arial" w:cs="Arial"/>
        </w:rPr>
        <w:t>规则的适用范围内获得指导。</w:t>
      </w:r>
      <w:r w:rsidR="007F6E8B" w:rsidRPr="00F31118">
        <w:rPr>
          <w:rFonts w:ascii="Arial" w:eastAsia="宋体" w:hAnsi="Arial" w:cs="Arial"/>
        </w:rPr>
        <w:t>如果制造商不确定其医疗</w:t>
      </w:r>
      <w:r w:rsidR="000F3824">
        <w:rPr>
          <w:rFonts w:ascii="Arial" w:eastAsia="宋体" w:hAnsi="Arial" w:cs="Arial"/>
        </w:rPr>
        <w:t>器械</w:t>
      </w:r>
      <w:r w:rsidR="007F6E8B" w:rsidRPr="00F31118">
        <w:rPr>
          <w:rFonts w:ascii="Arial" w:eastAsia="宋体" w:hAnsi="Arial" w:cs="Arial"/>
        </w:rPr>
        <w:t>的分类，应与食品药品监督管理局联系，讨论其医疗</w:t>
      </w:r>
      <w:r w:rsidR="000F3824">
        <w:rPr>
          <w:rFonts w:ascii="Arial" w:eastAsia="宋体" w:hAnsi="Arial" w:cs="Arial"/>
        </w:rPr>
        <w:t>器械</w:t>
      </w:r>
      <w:r w:rsidR="007F6E8B" w:rsidRPr="00F31118">
        <w:rPr>
          <w:rFonts w:ascii="Arial" w:eastAsia="宋体" w:hAnsi="Arial" w:cs="Arial"/>
        </w:rPr>
        <w:t>适用的任何监管要求。</w:t>
      </w:r>
      <w:r w:rsidR="00120A68" w:rsidRPr="00F31118">
        <w:rPr>
          <w:rFonts w:ascii="Arial" w:eastAsia="宋体" w:hAnsi="Arial" w:cs="Arial"/>
        </w:rPr>
        <w:t>想要在销售前获得食品药品监督管理局对此</w:t>
      </w:r>
      <w:proofErr w:type="gramStart"/>
      <w:r w:rsidR="00120A68" w:rsidRPr="00F31118">
        <w:rPr>
          <w:rFonts w:ascii="Arial" w:eastAsia="宋体" w:hAnsi="Arial" w:cs="Arial"/>
        </w:rPr>
        <w:t>事建议</w:t>
      </w:r>
      <w:proofErr w:type="gramEnd"/>
      <w:r w:rsidR="00120A68" w:rsidRPr="00F31118">
        <w:rPr>
          <w:rFonts w:ascii="Arial" w:eastAsia="宋体" w:hAnsi="Arial" w:cs="Arial"/>
        </w:rPr>
        <w:t>的制造商，</w:t>
      </w:r>
      <w:r w:rsidR="009115C0" w:rsidRPr="00F31118">
        <w:rPr>
          <w:rFonts w:ascii="Arial" w:eastAsia="宋体" w:hAnsi="Arial" w:cs="Arial"/>
        </w:rPr>
        <w:t>可咨询体外诊断</w:t>
      </w:r>
      <w:r w:rsidR="00921E51">
        <w:rPr>
          <w:rFonts w:ascii="Arial" w:eastAsia="宋体" w:hAnsi="Arial" w:cs="Arial"/>
        </w:rPr>
        <w:t>器械</w:t>
      </w:r>
      <w:r w:rsidR="009115C0" w:rsidRPr="00F31118">
        <w:rPr>
          <w:rFonts w:ascii="Arial" w:eastAsia="宋体" w:hAnsi="Arial" w:cs="Arial"/>
        </w:rPr>
        <w:t>评价和安全办公室。如果对用于</w:t>
      </w:r>
      <w:r w:rsidR="009115C0" w:rsidRPr="00F31118">
        <w:rPr>
          <w:rFonts w:ascii="Arial" w:eastAsia="宋体" w:hAnsi="Arial" w:cs="Arial"/>
        </w:rPr>
        <w:t>HIV</w:t>
      </w:r>
      <w:r w:rsidR="009115C0" w:rsidRPr="00F31118">
        <w:rPr>
          <w:rFonts w:ascii="Arial" w:eastAsia="宋体" w:hAnsi="Arial" w:cs="Arial"/>
        </w:rPr>
        <w:t>检测的</w:t>
      </w:r>
      <w:r w:rsidR="00921E51">
        <w:rPr>
          <w:rFonts w:ascii="Arial" w:eastAsia="宋体" w:hAnsi="Arial" w:cs="Arial"/>
        </w:rPr>
        <w:t>被分析物特效试剂</w:t>
      </w:r>
      <w:r w:rsidR="004046F8" w:rsidRPr="00F31118">
        <w:rPr>
          <w:rFonts w:ascii="Arial" w:eastAsia="宋体" w:hAnsi="Arial" w:cs="Arial"/>
        </w:rPr>
        <w:t>或用于血制品、细胞制品和组织产品的</w:t>
      </w:r>
      <w:r w:rsidR="00921E51">
        <w:rPr>
          <w:rFonts w:ascii="Arial" w:eastAsia="宋体" w:hAnsi="Arial" w:cs="Arial"/>
        </w:rPr>
        <w:t>被分析物特效试剂</w:t>
      </w:r>
      <w:r w:rsidR="004046F8" w:rsidRPr="00F31118">
        <w:rPr>
          <w:rFonts w:ascii="Arial" w:eastAsia="宋体" w:hAnsi="Arial" w:cs="Arial"/>
        </w:rPr>
        <w:t>存有疑问，可咨询生物</w:t>
      </w:r>
      <w:r w:rsidR="006D31E8" w:rsidRPr="00F31118">
        <w:rPr>
          <w:rFonts w:ascii="Arial" w:eastAsia="宋体" w:hAnsi="Arial" w:cs="Arial"/>
        </w:rPr>
        <w:t>制剂</w:t>
      </w:r>
      <w:r w:rsidR="004046F8" w:rsidRPr="00F31118">
        <w:rPr>
          <w:rFonts w:ascii="Arial" w:eastAsia="宋体" w:hAnsi="Arial" w:cs="Arial"/>
        </w:rPr>
        <w:t>评价研究中心。</w:t>
      </w:r>
    </w:p>
    <w:p w:rsidR="00CD0ECD" w:rsidRPr="00F31118" w:rsidRDefault="00CD0ECD" w:rsidP="003059EA">
      <w:pPr>
        <w:snapToGrid w:val="0"/>
        <w:spacing w:line="300" w:lineRule="auto"/>
        <w:rPr>
          <w:rFonts w:ascii="Arial" w:eastAsia="宋体" w:hAnsi="Arial" w:cs="Arial"/>
        </w:rPr>
      </w:pPr>
    </w:p>
    <w:p w:rsidR="00CC7280" w:rsidRPr="00F31118" w:rsidRDefault="00CC7280" w:rsidP="003059EA">
      <w:pPr>
        <w:snapToGrid w:val="0"/>
        <w:spacing w:line="300" w:lineRule="auto"/>
        <w:rPr>
          <w:rFonts w:ascii="Arial" w:eastAsia="宋体" w:hAnsi="Arial" w:cs="Arial"/>
        </w:rPr>
      </w:pPr>
    </w:p>
    <w:p w:rsidR="009164BF" w:rsidRDefault="009164BF">
      <w:pPr>
        <w:widowControl/>
        <w:jc w:val="left"/>
        <w:rPr>
          <w:rFonts w:ascii="Arial" w:eastAsia="宋体" w:hAnsi="Arial" w:cs="Arial"/>
          <w:b/>
        </w:rPr>
      </w:pPr>
      <w:bookmarkStart w:id="23" w:name="OLE_LINK43"/>
      <w:bookmarkStart w:id="24" w:name="OLE_LINK44"/>
      <w:r>
        <w:rPr>
          <w:rFonts w:ascii="Arial" w:eastAsia="宋体" w:hAnsi="Arial" w:cs="Arial"/>
          <w:b/>
        </w:rPr>
        <w:br w:type="page"/>
      </w:r>
    </w:p>
    <w:p w:rsidR="00CC7280" w:rsidRPr="00F31118" w:rsidRDefault="00CC7280" w:rsidP="003059EA">
      <w:pPr>
        <w:snapToGrid w:val="0"/>
        <w:spacing w:line="300" w:lineRule="auto"/>
        <w:rPr>
          <w:rFonts w:ascii="Arial" w:eastAsia="宋体" w:hAnsi="Arial" w:cs="Arial"/>
          <w:b/>
        </w:rPr>
      </w:pPr>
      <w:r w:rsidRPr="00F31118">
        <w:rPr>
          <w:rFonts w:ascii="Arial" w:eastAsia="宋体" w:hAnsi="Arial" w:cs="Arial"/>
          <w:b/>
        </w:rPr>
        <w:lastRenderedPageBreak/>
        <w:t xml:space="preserve">II. </w:t>
      </w:r>
      <w:r w:rsidR="00E24C81" w:rsidRPr="00F31118">
        <w:rPr>
          <w:rFonts w:ascii="Arial" w:eastAsia="宋体" w:hAnsi="Arial" w:cs="Arial"/>
          <w:b/>
        </w:rPr>
        <w:t>哪些产品符合</w:t>
      </w:r>
      <w:r w:rsidR="00921E51">
        <w:rPr>
          <w:rFonts w:ascii="Arial" w:eastAsia="宋体" w:hAnsi="Arial" w:cs="Arial"/>
          <w:b/>
        </w:rPr>
        <w:t>被分析物特效试剂</w:t>
      </w:r>
      <w:r w:rsidR="001924AA" w:rsidRPr="00F31118">
        <w:rPr>
          <w:rFonts w:ascii="Arial" w:eastAsia="宋体" w:hAnsi="Arial" w:cs="Arial"/>
          <w:b/>
        </w:rPr>
        <w:t>的定义？</w:t>
      </w:r>
    </w:p>
    <w:bookmarkEnd w:id="23"/>
    <w:bookmarkEnd w:id="24"/>
    <w:p w:rsidR="00CC7280" w:rsidRPr="00F31118" w:rsidRDefault="00CC7280" w:rsidP="003059EA">
      <w:pPr>
        <w:snapToGrid w:val="0"/>
        <w:spacing w:line="300" w:lineRule="auto"/>
        <w:rPr>
          <w:rFonts w:ascii="Arial" w:eastAsia="宋体" w:hAnsi="Arial" w:cs="Arial"/>
        </w:rPr>
      </w:pPr>
    </w:p>
    <w:p w:rsidR="00CC7280" w:rsidRPr="00F31118" w:rsidRDefault="005807A7" w:rsidP="003059EA">
      <w:pPr>
        <w:snapToGrid w:val="0"/>
        <w:spacing w:line="300" w:lineRule="auto"/>
        <w:rPr>
          <w:rFonts w:ascii="Arial" w:eastAsia="宋体" w:hAnsi="Arial" w:cs="Arial"/>
        </w:rPr>
      </w:pPr>
      <w:r w:rsidRPr="00F31118">
        <w:rPr>
          <w:rFonts w:ascii="Arial" w:eastAsia="宋体" w:hAnsi="Arial" w:cs="Arial"/>
        </w:rPr>
        <w:t>对哪些产品符合</w:t>
      </w:r>
      <w:r w:rsidR="00921E51">
        <w:rPr>
          <w:rFonts w:ascii="Arial" w:eastAsia="宋体" w:hAnsi="Arial" w:cs="Arial"/>
        </w:rPr>
        <w:t>被分析物特效试剂</w:t>
      </w:r>
      <w:r w:rsidRPr="00F31118">
        <w:rPr>
          <w:rFonts w:ascii="Arial" w:eastAsia="宋体" w:hAnsi="Arial" w:cs="Arial"/>
        </w:rPr>
        <w:t>的定义一直以来都存在一些混乱认识。</w:t>
      </w:r>
      <w:r w:rsidR="00A13956" w:rsidRPr="00F31118">
        <w:rPr>
          <w:rFonts w:ascii="Arial" w:eastAsia="宋体" w:hAnsi="Arial" w:cs="Arial"/>
        </w:rPr>
        <w:t>其中有些认识与一种误解有关。</w:t>
      </w:r>
      <w:r w:rsidR="00CF16EF" w:rsidRPr="00F31118">
        <w:rPr>
          <w:rFonts w:ascii="Arial" w:eastAsia="宋体" w:hAnsi="Arial" w:cs="Arial"/>
        </w:rPr>
        <w:t>有些人认为，如果某种产品被称作</w:t>
      </w:r>
      <w:r w:rsidR="00921E51">
        <w:rPr>
          <w:rFonts w:ascii="Arial" w:eastAsia="宋体" w:hAnsi="Arial" w:cs="Arial"/>
        </w:rPr>
        <w:t>被分析物特效试剂</w:t>
      </w:r>
      <w:r w:rsidR="00CF16EF" w:rsidRPr="00F31118">
        <w:rPr>
          <w:rFonts w:ascii="Arial" w:eastAsia="宋体" w:hAnsi="Arial" w:cs="Arial"/>
        </w:rPr>
        <w:t>，</w:t>
      </w:r>
      <w:r w:rsidR="0005791A" w:rsidRPr="00F31118">
        <w:rPr>
          <w:rFonts w:ascii="Arial" w:eastAsia="宋体" w:hAnsi="Arial" w:cs="Arial"/>
        </w:rPr>
        <w:t>它就是</w:t>
      </w:r>
      <w:r w:rsidR="00921E51">
        <w:rPr>
          <w:rFonts w:ascii="Arial" w:eastAsia="宋体" w:hAnsi="Arial" w:cs="Arial"/>
        </w:rPr>
        <w:t>被分析物特效试剂</w:t>
      </w:r>
      <w:r w:rsidR="0005791A" w:rsidRPr="00F31118">
        <w:rPr>
          <w:rFonts w:ascii="Arial" w:eastAsia="宋体" w:hAnsi="Arial" w:cs="Arial"/>
        </w:rPr>
        <w:t>，</w:t>
      </w:r>
      <w:r w:rsidR="00CF16EF" w:rsidRPr="00F31118">
        <w:rPr>
          <w:rFonts w:ascii="Arial" w:eastAsia="宋体" w:hAnsi="Arial" w:cs="Arial"/>
        </w:rPr>
        <w:t>即便其中</w:t>
      </w:r>
      <w:r w:rsidR="0005791A" w:rsidRPr="00F31118">
        <w:rPr>
          <w:rFonts w:ascii="Arial" w:eastAsia="宋体" w:hAnsi="Arial" w:cs="Arial"/>
        </w:rPr>
        <w:t>包含了分析或临床性能</w:t>
      </w:r>
      <w:r w:rsidR="00203A2A" w:rsidRPr="00F31118">
        <w:rPr>
          <w:rFonts w:ascii="Arial" w:eastAsia="宋体" w:hAnsi="Arial" w:cs="Arial"/>
        </w:rPr>
        <w:t>声明</w:t>
      </w:r>
      <w:r w:rsidR="0005791A" w:rsidRPr="00F31118">
        <w:rPr>
          <w:rFonts w:ascii="Arial" w:eastAsia="宋体" w:hAnsi="Arial" w:cs="Arial"/>
        </w:rPr>
        <w:t>且不符合</w:t>
      </w:r>
      <w:r w:rsidR="00921E51">
        <w:rPr>
          <w:rFonts w:ascii="Arial" w:eastAsia="宋体" w:hAnsi="Arial" w:cs="Arial"/>
        </w:rPr>
        <w:t>被分析物特效试剂</w:t>
      </w:r>
      <w:r w:rsidR="0005791A" w:rsidRPr="00F31118">
        <w:rPr>
          <w:rFonts w:ascii="Arial" w:eastAsia="宋体" w:hAnsi="Arial" w:cs="Arial"/>
        </w:rPr>
        <w:t>的定义。</w:t>
      </w:r>
    </w:p>
    <w:p w:rsidR="00CC7280" w:rsidRPr="00F31118" w:rsidRDefault="00CC7280" w:rsidP="003059EA">
      <w:pPr>
        <w:snapToGrid w:val="0"/>
        <w:spacing w:line="300" w:lineRule="auto"/>
        <w:rPr>
          <w:rFonts w:ascii="Arial" w:eastAsia="宋体" w:hAnsi="Arial" w:cs="Arial"/>
        </w:rPr>
      </w:pPr>
    </w:p>
    <w:p w:rsidR="006E4B2B" w:rsidRPr="00F31118" w:rsidRDefault="0005791A" w:rsidP="003059EA">
      <w:pPr>
        <w:snapToGrid w:val="0"/>
        <w:spacing w:line="300" w:lineRule="auto"/>
        <w:rPr>
          <w:rFonts w:ascii="Arial" w:eastAsia="宋体" w:hAnsi="Arial" w:cs="Arial"/>
        </w:rPr>
      </w:pPr>
      <w:r w:rsidRPr="00F31118">
        <w:rPr>
          <w:rFonts w:ascii="Arial" w:eastAsia="宋体" w:hAnsi="Arial" w:cs="Arial"/>
        </w:rPr>
        <w:t>在</w:t>
      </w:r>
      <w:r w:rsidR="00921E51">
        <w:rPr>
          <w:rFonts w:ascii="Arial" w:eastAsia="宋体" w:hAnsi="Arial" w:cs="Arial"/>
        </w:rPr>
        <w:t>被分析物特效试剂</w:t>
      </w:r>
      <w:r w:rsidRPr="00F31118">
        <w:rPr>
          <w:rFonts w:ascii="Arial" w:eastAsia="宋体" w:hAnsi="Arial" w:cs="Arial"/>
        </w:rPr>
        <w:t>规则的序言中，食品药品监督管理局</w:t>
      </w:r>
      <w:r w:rsidR="00203A2A" w:rsidRPr="00F31118">
        <w:rPr>
          <w:rFonts w:ascii="Arial" w:eastAsia="宋体" w:hAnsi="Arial" w:cs="Arial"/>
        </w:rPr>
        <w:t>表示</w:t>
      </w:r>
      <w:r w:rsidR="00921E51">
        <w:rPr>
          <w:rFonts w:ascii="Arial" w:eastAsia="宋体" w:hAnsi="Arial" w:cs="Arial"/>
        </w:rPr>
        <w:t>被分析物特效试剂</w:t>
      </w:r>
      <w:r w:rsidR="00FE2158" w:rsidRPr="00F31118">
        <w:rPr>
          <w:rFonts w:ascii="Arial" w:eastAsia="宋体" w:hAnsi="Arial" w:cs="Arial"/>
        </w:rPr>
        <w:t>是用来确认一种具体疾病或身体状况的检验中所包含的</w:t>
      </w:r>
      <w:r w:rsidR="00070063" w:rsidRPr="00F31118">
        <w:rPr>
          <w:rFonts w:ascii="Arial" w:eastAsia="宋体" w:hAnsi="Arial" w:cs="Arial"/>
        </w:rPr>
        <w:t>“</w:t>
      </w:r>
      <w:r w:rsidR="00070063" w:rsidRPr="00F31118">
        <w:rPr>
          <w:rFonts w:ascii="Arial" w:eastAsia="宋体" w:hAnsi="Arial" w:cs="Arial"/>
        </w:rPr>
        <w:t>有效成分</w:t>
      </w:r>
      <w:r w:rsidR="00070063" w:rsidRPr="00F31118">
        <w:rPr>
          <w:rFonts w:ascii="Arial" w:eastAsia="宋体" w:hAnsi="Arial" w:cs="Arial"/>
        </w:rPr>
        <w:t>”</w:t>
      </w:r>
      <w:r w:rsidR="00070063" w:rsidRPr="00F31118">
        <w:rPr>
          <w:rFonts w:ascii="Arial" w:eastAsia="宋体" w:hAnsi="Arial" w:cs="Arial"/>
        </w:rPr>
        <w:t>。制造商</w:t>
      </w:r>
      <w:r w:rsidR="00F0386E" w:rsidRPr="00F31118">
        <w:rPr>
          <w:rFonts w:ascii="Arial" w:eastAsia="宋体" w:hAnsi="Arial" w:cs="Arial"/>
        </w:rPr>
        <w:t>购买</w:t>
      </w:r>
      <w:r w:rsidR="00921E51">
        <w:rPr>
          <w:rFonts w:ascii="Arial" w:eastAsia="宋体" w:hAnsi="Arial" w:cs="Arial"/>
        </w:rPr>
        <w:t>被分析物特效试剂</w:t>
      </w:r>
      <w:r w:rsidR="00B56442" w:rsidRPr="00F31118">
        <w:rPr>
          <w:rFonts w:ascii="Arial" w:eastAsia="宋体" w:hAnsi="Arial" w:cs="Arial"/>
        </w:rPr>
        <w:t>，</w:t>
      </w:r>
      <w:r w:rsidR="00BC1D10" w:rsidRPr="00F31118">
        <w:rPr>
          <w:rFonts w:ascii="Arial" w:eastAsia="宋体" w:hAnsi="Arial" w:cs="Arial"/>
        </w:rPr>
        <w:t>将</w:t>
      </w:r>
      <w:r w:rsidR="00B56442" w:rsidRPr="00F31118">
        <w:rPr>
          <w:rFonts w:ascii="Arial" w:eastAsia="宋体" w:hAnsi="Arial" w:cs="Arial"/>
        </w:rPr>
        <w:t>其</w:t>
      </w:r>
      <w:r w:rsidR="00BC1D10" w:rsidRPr="00F31118">
        <w:rPr>
          <w:rFonts w:ascii="Arial" w:eastAsia="宋体" w:hAnsi="Arial" w:cs="Arial"/>
        </w:rPr>
        <w:t>用作经食品药品监督管理局许可或批准</w:t>
      </w:r>
      <w:r w:rsidR="00DD1D47" w:rsidRPr="00F31118">
        <w:rPr>
          <w:rFonts w:ascii="Arial" w:eastAsia="宋体" w:hAnsi="Arial" w:cs="Arial"/>
        </w:rPr>
        <w:t>的检验</w:t>
      </w:r>
      <w:r w:rsidR="00B56442" w:rsidRPr="00F31118">
        <w:rPr>
          <w:rFonts w:ascii="Arial" w:eastAsia="宋体" w:hAnsi="Arial" w:cs="Arial"/>
        </w:rPr>
        <w:t>产品</w:t>
      </w:r>
      <w:r w:rsidR="00DD1D47" w:rsidRPr="00F31118">
        <w:rPr>
          <w:rFonts w:ascii="Arial" w:eastAsia="宋体" w:hAnsi="Arial" w:cs="Arial"/>
        </w:rPr>
        <w:t>的组成部分；临床实验室</w:t>
      </w:r>
      <w:proofErr w:type="gramStart"/>
      <w:r w:rsidR="00DD1D47" w:rsidRPr="00F31118">
        <w:rPr>
          <w:rFonts w:ascii="Arial" w:eastAsia="宋体" w:hAnsi="Arial" w:cs="Arial"/>
        </w:rPr>
        <w:t>亦购买</w:t>
      </w:r>
      <w:proofErr w:type="gramEnd"/>
      <w:r w:rsidR="00921E51">
        <w:rPr>
          <w:rFonts w:ascii="Arial" w:eastAsia="宋体" w:hAnsi="Arial" w:cs="Arial"/>
        </w:rPr>
        <w:t>被分析物特效试剂</w:t>
      </w:r>
      <w:r w:rsidR="00DD1D47" w:rsidRPr="00F31118">
        <w:rPr>
          <w:rFonts w:ascii="Arial" w:eastAsia="宋体" w:hAnsi="Arial" w:cs="Arial"/>
        </w:rPr>
        <w:t>，用它们开发供本实验室专用的药事未核准检验（</w:t>
      </w:r>
      <w:r w:rsidR="00DD1D47" w:rsidRPr="00F31118">
        <w:rPr>
          <w:rFonts w:ascii="Arial" w:eastAsia="宋体" w:hAnsi="Arial" w:cs="Arial"/>
        </w:rPr>
        <w:t>62 FR 62243, 62244</w:t>
      </w:r>
      <w:r w:rsidR="00DD1D47" w:rsidRPr="00F31118">
        <w:rPr>
          <w:rFonts w:ascii="Arial" w:eastAsia="宋体" w:hAnsi="Arial" w:cs="Arial"/>
        </w:rPr>
        <w:t>）。这与序言中</w:t>
      </w:r>
      <w:r w:rsidR="00E50443" w:rsidRPr="00F31118">
        <w:rPr>
          <w:rFonts w:ascii="Arial" w:eastAsia="宋体" w:hAnsi="Arial" w:cs="Arial"/>
        </w:rPr>
        <w:t>将其称作</w:t>
      </w:r>
      <w:r w:rsidR="00E50443" w:rsidRPr="00F31118">
        <w:rPr>
          <w:rFonts w:ascii="Arial" w:eastAsia="宋体" w:hAnsi="Arial" w:cs="Arial"/>
        </w:rPr>
        <w:t>“</w:t>
      </w:r>
      <w:r w:rsidR="00E50443" w:rsidRPr="00F31118">
        <w:rPr>
          <w:rFonts w:ascii="Arial" w:eastAsia="宋体" w:hAnsi="Arial" w:cs="Arial"/>
        </w:rPr>
        <w:t>体外诊断</w:t>
      </w:r>
      <w:r w:rsidR="00E50443" w:rsidRPr="00F31118">
        <w:rPr>
          <w:rFonts w:ascii="Arial" w:eastAsia="宋体" w:hAnsi="Arial" w:cs="Arial"/>
        </w:rPr>
        <w:t>”</w:t>
      </w:r>
      <w:r w:rsidR="00E50443" w:rsidRPr="00F31118">
        <w:rPr>
          <w:rFonts w:ascii="Arial" w:eastAsia="宋体" w:hAnsi="Arial" w:cs="Arial"/>
        </w:rPr>
        <w:t>用</w:t>
      </w:r>
      <w:r w:rsidR="00E50443" w:rsidRPr="00F31118">
        <w:rPr>
          <w:rFonts w:ascii="Arial" w:eastAsia="宋体" w:hAnsi="Arial" w:cs="Arial"/>
        </w:rPr>
        <w:t>“</w:t>
      </w:r>
      <w:r w:rsidR="00E50443" w:rsidRPr="00F31118">
        <w:rPr>
          <w:rFonts w:ascii="Arial" w:eastAsia="宋体" w:hAnsi="Arial" w:cs="Arial"/>
        </w:rPr>
        <w:t>试剂盒或系统</w:t>
      </w:r>
      <w:r w:rsidR="00E50443" w:rsidRPr="00F31118">
        <w:rPr>
          <w:rFonts w:ascii="Arial" w:eastAsia="宋体" w:hAnsi="Arial" w:cs="Arial"/>
        </w:rPr>
        <w:t>”</w:t>
      </w:r>
      <w:r w:rsidR="00E50443" w:rsidRPr="00F31118">
        <w:rPr>
          <w:rFonts w:ascii="Arial" w:eastAsia="宋体" w:hAnsi="Arial" w:cs="Arial"/>
        </w:rPr>
        <w:t>形成对比。</w:t>
      </w:r>
      <w:r w:rsidR="000C3383" w:rsidRPr="00F31118">
        <w:rPr>
          <w:rFonts w:ascii="Arial" w:eastAsia="宋体" w:hAnsi="Arial" w:cs="Arial"/>
        </w:rPr>
        <w:t>体外诊断用</w:t>
      </w:r>
      <w:r w:rsidR="00E50443" w:rsidRPr="00F31118">
        <w:rPr>
          <w:rFonts w:ascii="Arial" w:eastAsia="宋体" w:hAnsi="Arial" w:cs="Arial"/>
        </w:rPr>
        <w:t>试剂盒或系统中提供了建议预期用途、</w:t>
      </w:r>
      <w:r w:rsidR="000F3824">
        <w:rPr>
          <w:rFonts w:ascii="Arial" w:eastAsia="宋体" w:hAnsi="Arial" w:cs="Arial"/>
        </w:rPr>
        <w:t>适应症</w:t>
      </w:r>
      <w:r w:rsidR="00E50443" w:rsidRPr="00F31118">
        <w:rPr>
          <w:rFonts w:ascii="Arial" w:eastAsia="宋体" w:hAnsi="Arial" w:cs="Arial"/>
        </w:rPr>
        <w:t>、使用说明和性能特征（</w:t>
      </w:r>
      <w:r w:rsidR="00E50443" w:rsidRPr="00F31118">
        <w:rPr>
          <w:rFonts w:ascii="Arial" w:eastAsia="宋体" w:hAnsi="Arial" w:cs="Arial"/>
        </w:rPr>
        <w:t>62 FR 62243, 62250</w:t>
      </w:r>
      <w:r w:rsidR="00E50443" w:rsidRPr="00F31118">
        <w:rPr>
          <w:rFonts w:ascii="Arial" w:eastAsia="宋体" w:hAnsi="Arial" w:cs="Arial"/>
        </w:rPr>
        <w:t>）。</w:t>
      </w:r>
    </w:p>
    <w:p w:rsidR="0005791A" w:rsidRPr="00F31118" w:rsidRDefault="0005791A" w:rsidP="003059EA">
      <w:pPr>
        <w:snapToGrid w:val="0"/>
        <w:spacing w:line="300" w:lineRule="auto"/>
        <w:rPr>
          <w:rFonts w:ascii="Arial" w:eastAsia="宋体" w:hAnsi="Arial" w:cs="Arial"/>
        </w:rPr>
      </w:pPr>
    </w:p>
    <w:p w:rsidR="006E4B2B" w:rsidRPr="00F31118" w:rsidRDefault="00E81943" w:rsidP="003059EA">
      <w:pPr>
        <w:snapToGrid w:val="0"/>
        <w:spacing w:line="300" w:lineRule="auto"/>
        <w:rPr>
          <w:rFonts w:ascii="Arial" w:eastAsia="宋体" w:hAnsi="Arial" w:cs="Arial"/>
        </w:rPr>
      </w:pPr>
      <w:r w:rsidRPr="00F31118">
        <w:rPr>
          <w:rFonts w:ascii="Arial" w:eastAsia="宋体" w:hAnsi="Arial" w:cs="Arial"/>
        </w:rPr>
        <w:t>制定</w:t>
      </w:r>
      <w:r w:rsidR="00921E51">
        <w:rPr>
          <w:rFonts w:ascii="Arial" w:eastAsia="宋体" w:hAnsi="Arial" w:cs="Arial"/>
        </w:rPr>
        <w:t>被分析物特效试剂</w:t>
      </w:r>
      <w:r w:rsidRPr="00F31118">
        <w:rPr>
          <w:rFonts w:ascii="Arial" w:eastAsia="宋体" w:hAnsi="Arial" w:cs="Arial"/>
        </w:rPr>
        <w:t>规则的目的是要求</w:t>
      </w:r>
      <w:r w:rsidR="00921E51">
        <w:rPr>
          <w:rFonts w:ascii="Arial" w:eastAsia="宋体" w:hAnsi="Arial" w:cs="Arial"/>
        </w:rPr>
        <w:t>被分析物特效试剂</w:t>
      </w:r>
      <w:r w:rsidRPr="00F31118">
        <w:rPr>
          <w:rFonts w:ascii="Arial" w:eastAsia="宋体" w:hAnsi="Arial" w:cs="Arial"/>
        </w:rPr>
        <w:t>制造商采取某些行动（如遵从现行良好生产规范）帮助确保这些试剂的质量，以便</w:t>
      </w:r>
      <w:r w:rsidR="00237F2B" w:rsidRPr="00F31118">
        <w:rPr>
          <w:rFonts w:ascii="Arial" w:eastAsia="宋体" w:hAnsi="Arial" w:cs="Arial"/>
        </w:rPr>
        <w:t>体外诊断</w:t>
      </w:r>
      <w:r w:rsidR="000F3824">
        <w:rPr>
          <w:rFonts w:ascii="Arial" w:eastAsia="宋体" w:hAnsi="Arial" w:cs="Arial"/>
        </w:rPr>
        <w:t>器械</w:t>
      </w:r>
      <w:r w:rsidR="00237F2B" w:rsidRPr="00F31118">
        <w:rPr>
          <w:rFonts w:ascii="Arial" w:eastAsia="宋体" w:hAnsi="Arial" w:cs="Arial"/>
        </w:rPr>
        <w:t>制造商和购买这些试剂的实验室能生产出安全、有效的检验产品。</w:t>
      </w:r>
      <w:r w:rsidR="00A35979" w:rsidRPr="00F31118">
        <w:rPr>
          <w:rFonts w:ascii="Arial" w:eastAsia="宋体" w:hAnsi="Arial" w:cs="Arial"/>
        </w:rPr>
        <w:t>然而，构成该规则的前提是使用</w:t>
      </w:r>
      <w:r w:rsidR="00921E51">
        <w:rPr>
          <w:rFonts w:ascii="Arial" w:eastAsia="宋体" w:hAnsi="Arial" w:cs="Arial"/>
        </w:rPr>
        <w:t>被分析物特效试剂</w:t>
      </w:r>
      <w:r w:rsidR="00A35979" w:rsidRPr="00F31118">
        <w:rPr>
          <w:rFonts w:ascii="Arial" w:eastAsia="宋体" w:hAnsi="Arial" w:cs="Arial"/>
        </w:rPr>
        <w:t>的检验产品是由实验室</w:t>
      </w:r>
      <w:r w:rsidR="00292755" w:rsidRPr="00F31118">
        <w:rPr>
          <w:rFonts w:ascii="Arial" w:eastAsia="宋体" w:hAnsi="Arial" w:cs="Arial"/>
        </w:rPr>
        <w:t>和体外诊断</w:t>
      </w:r>
      <w:r w:rsidR="000F3824">
        <w:rPr>
          <w:rFonts w:ascii="Arial" w:eastAsia="宋体" w:hAnsi="Arial" w:cs="Arial"/>
        </w:rPr>
        <w:t>器械</w:t>
      </w:r>
      <w:r w:rsidR="00292755" w:rsidRPr="00F31118">
        <w:rPr>
          <w:rFonts w:ascii="Arial" w:eastAsia="宋体" w:hAnsi="Arial" w:cs="Arial"/>
        </w:rPr>
        <w:t>制造商</w:t>
      </w:r>
      <w:r w:rsidR="00D47CC4" w:rsidRPr="00F31118">
        <w:rPr>
          <w:rFonts w:ascii="Arial" w:eastAsia="宋体" w:hAnsi="Arial" w:cs="Arial"/>
        </w:rPr>
        <w:t>而不是</w:t>
      </w:r>
      <w:r w:rsidR="00921E51">
        <w:rPr>
          <w:rFonts w:ascii="Arial" w:eastAsia="宋体" w:hAnsi="Arial" w:cs="Arial"/>
        </w:rPr>
        <w:t>被分析物特效试剂</w:t>
      </w:r>
      <w:r w:rsidR="00D47CC4" w:rsidRPr="00F31118">
        <w:rPr>
          <w:rFonts w:ascii="Arial" w:eastAsia="宋体" w:hAnsi="Arial" w:cs="Arial"/>
        </w:rPr>
        <w:t>制造商利用他们的判断和知识</w:t>
      </w:r>
      <w:r w:rsidR="00292755" w:rsidRPr="00F31118">
        <w:rPr>
          <w:rFonts w:ascii="Arial" w:eastAsia="宋体" w:hAnsi="Arial" w:cs="Arial"/>
        </w:rPr>
        <w:t>设计</w:t>
      </w:r>
      <w:r w:rsidR="00B03852" w:rsidRPr="00F31118">
        <w:rPr>
          <w:rFonts w:ascii="Arial" w:eastAsia="宋体" w:hAnsi="Arial" w:cs="Arial"/>
        </w:rPr>
        <w:t>与</w:t>
      </w:r>
      <w:r w:rsidR="00292755" w:rsidRPr="00F31118">
        <w:rPr>
          <w:rFonts w:ascii="Arial" w:eastAsia="宋体" w:hAnsi="Arial" w:cs="Arial"/>
        </w:rPr>
        <w:t>开发的</w:t>
      </w:r>
      <w:r w:rsidR="00B03852" w:rsidRPr="00F31118">
        <w:rPr>
          <w:rFonts w:ascii="Arial" w:eastAsia="宋体" w:hAnsi="Arial" w:cs="Arial"/>
        </w:rPr>
        <w:t>，并且他们还提供了所有必要的验证和确认。</w:t>
      </w:r>
    </w:p>
    <w:p w:rsidR="000C3383" w:rsidRPr="00F31118" w:rsidRDefault="000C3383" w:rsidP="003059EA">
      <w:pPr>
        <w:snapToGrid w:val="0"/>
        <w:spacing w:line="300" w:lineRule="auto"/>
        <w:rPr>
          <w:rFonts w:ascii="Arial" w:eastAsia="宋体" w:hAnsi="Arial" w:cs="Arial"/>
        </w:rPr>
      </w:pPr>
    </w:p>
    <w:p w:rsidR="006E4B2B" w:rsidRPr="00F31118" w:rsidRDefault="00D83CE4" w:rsidP="003059EA">
      <w:pPr>
        <w:snapToGrid w:val="0"/>
        <w:spacing w:line="300" w:lineRule="auto"/>
        <w:rPr>
          <w:rFonts w:ascii="Arial" w:eastAsia="宋体" w:hAnsi="Arial" w:cs="Arial"/>
        </w:rPr>
      </w:pPr>
      <w:r w:rsidRPr="00F31118">
        <w:rPr>
          <w:rFonts w:ascii="Arial" w:eastAsia="宋体" w:hAnsi="Arial" w:cs="Arial"/>
        </w:rPr>
        <w:t>根据该描述并结合</w:t>
      </w:r>
      <w:r w:rsidR="00921E51">
        <w:rPr>
          <w:rFonts w:ascii="Arial" w:eastAsia="宋体" w:hAnsi="Arial" w:cs="Arial"/>
        </w:rPr>
        <w:t>被分析物特效试剂</w:t>
      </w:r>
      <w:r w:rsidRPr="00F31118">
        <w:rPr>
          <w:rFonts w:ascii="Arial" w:eastAsia="宋体" w:hAnsi="Arial" w:cs="Arial"/>
        </w:rPr>
        <w:t>的定义，食品药品监督管理局认为</w:t>
      </w:r>
      <w:r w:rsidR="00921E51">
        <w:rPr>
          <w:rFonts w:ascii="Arial" w:eastAsia="宋体" w:hAnsi="Arial" w:cs="Arial"/>
        </w:rPr>
        <w:t>被分析物特效试剂</w:t>
      </w:r>
      <w:r w:rsidRPr="00F31118">
        <w:rPr>
          <w:rFonts w:ascii="Arial" w:eastAsia="宋体" w:hAnsi="Arial" w:cs="Arial"/>
        </w:rPr>
        <w:t>有下列特征：</w:t>
      </w:r>
    </w:p>
    <w:p w:rsidR="00D83CE4" w:rsidRPr="00F31118" w:rsidRDefault="00D83CE4" w:rsidP="003059EA">
      <w:pPr>
        <w:snapToGrid w:val="0"/>
        <w:spacing w:line="300" w:lineRule="auto"/>
        <w:rPr>
          <w:rFonts w:ascii="Arial" w:eastAsia="宋体" w:hAnsi="Arial" w:cs="Arial"/>
        </w:rPr>
      </w:pPr>
    </w:p>
    <w:p w:rsidR="00D83CE4" w:rsidRPr="004D5EE1" w:rsidRDefault="00DF448F" w:rsidP="004D5EE1">
      <w:pPr>
        <w:pStyle w:val="a8"/>
        <w:numPr>
          <w:ilvl w:val="0"/>
          <w:numId w:val="2"/>
        </w:numPr>
        <w:snapToGrid w:val="0"/>
        <w:spacing w:line="300" w:lineRule="auto"/>
        <w:ind w:firstLineChars="0" w:firstLine="42"/>
        <w:rPr>
          <w:rFonts w:ascii="Arial" w:eastAsia="宋体" w:hAnsi="Arial" w:cs="Arial"/>
        </w:rPr>
      </w:pPr>
      <w:r w:rsidRPr="004D5EE1">
        <w:rPr>
          <w:rFonts w:ascii="Arial" w:eastAsia="宋体" w:hAnsi="Arial" w:cs="Arial"/>
        </w:rPr>
        <w:t>用来检测某种单一</w:t>
      </w:r>
      <w:proofErr w:type="gramStart"/>
      <w:r w:rsidRPr="004D5EE1">
        <w:rPr>
          <w:rFonts w:ascii="Arial" w:eastAsia="宋体" w:hAnsi="Arial" w:cs="Arial"/>
        </w:rPr>
        <w:t>配体或靶成分</w:t>
      </w:r>
      <w:proofErr w:type="gramEnd"/>
      <w:r w:rsidRPr="004D5EE1">
        <w:rPr>
          <w:rFonts w:ascii="Arial" w:eastAsia="宋体" w:hAnsi="Arial" w:cs="Arial"/>
        </w:rPr>
        <w:t>（如蛋白质、单核苷酸改变、</w:t>
      </w:r>
      <w:r w:rsidR="00B02A77" w:rsidRPr="004D5EE1">
        <w:rPr>
          <w:rFonts w:ascii="Arial" w:eastAsia="宋体" w:hAnsi="Arial" w:cs="Arial"/>
        </w:rPr>
        <w:t>抗原决定</w:t>
      </w:r>
      <w:r w:rsidR="00820E50" w:rsidRPr="004D5EE1">
        <w:rPr>
          <w:rFonts w:ascii="Arial" w:eastAsia="宋体" w:hAnsi="Arial" w:cs="Arial"/>
        </w:rPr>
        <w:t>基</w:t>
      </w:r>
      <w:r w:rsidRPr="004D5EE1">
        <w:rPr>
          <w:rFonts w:ascii="Arial" w:eastAsia="宋体" w:hAnsi="Arial" w:cs="Arial"/>
        </w:rPr>
        <w:t>）</w:t>
      </w:r>
      <w:r w:rsidR="00B02A77" w:rsidRPr="004D5EE1">
        <w:rPr>
          <w:rFonts w:ascii="Arial" w:eastAsia="宋体" w:hAnsi="Arial" w:cs="Arial"/>
        </w:rPr>
        <w:t>；</w:t>
      </w:r>
    </w:p>
    <w:p w:rsidR="00D83CE4" w:rsidRPr="004D5EE1" w:rsidRDefault="00B02A77" w:rsidP="004D5EE1">
      <w:pPr>
        <w:pStyle w:val="a8"/>
        <w:numPr>
          <w:ilvl w:val="0"/>
          <w:numId w:val="2"/>
        </w:numPr>
        <w:snapToGrid w:val="0"/>
        <w:spacing w:line="300" w:lineRule="auto"/>
        <w:ind w:firstLineChars="0" w:firstLine="42"/>
        <w:rPr>
          <w:rFonts w:ascii="Arial" w:eastAsia="宋体" w:hAnsi="Arial" w:cs="Arial"/>
        </w:rPr>
      </w:pPr>
      <w:r w:rsidRPr="004D5EE1">
        <w:rPr>
          <w:rFonts w:ascii="Arial" w:eastAsia="宋体" w:hAnsi="Arial" w:cs="Arial"/>
        </w:rPr>
        <w:t>未标出使用说明或性能</w:t>
      </w:r>
      <w:r w:rsidR="00820E50" w:rsidRPr="004D5EE1">
        <w:rPr>
          <w:rFonts w:ascii="Arial" w:eastAsia="宋体" w:hAnsi="Arial" w:cs="Arial"/>
        </w:rPr>
        <w:t>声明</w:t>
      </w:r>
      <w:r w:rsidRPr="004D5EE1">
        <w:rPr>
          <w:rFonts w:ascii="Arial" w:eastAsia="宋体" w:hAnsi="Arial" w:cs="Arial"/>
        </w:rPr>
        <w:t>；</w:t>
      </w:r>
    </w:p>
    <w:p w:rsidR="00B02A77" w:rsidRPr="004D5EE1" w:rsidRDefault="000F7ED8" w:rsidP="004D5EE1">
      <w:pPr>
        <w:pStyle w:val="a8"/>
        <w:numPr>
          <w:ilvl w:val="0"/>
          <w:numId w:val="2"/>
        </w:numPr>
        <w:snapToGrid w:val="0"/>
        <w:spacing w:line="300" w:lineRule="auto"/>
        <w:ind w:firstLineChars="0" w:firstLine="42"/>
        <w:rPr>
          <w:rFonts w:ascii="Arial" w:eastAsia="宋体" w:hAnsi="Arial" w:cs="Arial"/>
        </w:rPr>
      </w:pPr>
      <w:bookmarkStart w:id="25" w:name="OLE_LINK26"/>
      <w:r w:rsidRPr="004D5EE1">
        <w:rPr>
          <w:rFonts w:ascii="Arial" w:eastAsia="宋体" w:hAnsi="Arial" w:cs="Arial"/>
        </w:rPr>
        <w:t>不为在具体指定仪器或具体检验中使用而开展</w:t>
      </w:r>
      <w:r w:rsidR="001E6E6D" w:rsidRPr="004D5EE1">
        <w:rPr>
          <w:rFonts w:ascii="Arial" w:eastAsia="宋体" w:hAnsi="Arial" w:cs="Arial"/>
        </w:rPr>
        <w:t>推销</w:t>
      </w:r>
      <w:r w:rsidRPr="004D5EE1">
        <w:rPr>
          <w:rFonts w:ascii="Arial" w:eastAsia="宋体" w:hAnsi="Arial" w:cs="Arial"/>
        </w:rPr>
        <w:t>活动。</w:t>
      </w:r>
      <w:bookmarkEnd w:id="25"/>
    </w:p>
    <w:p w:rsidR="000F7ED8" w:rsidRPr="00F31118" w:rsidRDefault="000F7ED8" w:rsidP="003059EA">
      <w:pPr>
        <w:snapToGrid w:val="0"/>
        <w:spacing w:line="300" w:lineRule="auto"/>
        <w:rPr>
          <w:rFonts w:ascii="Arial" w:eastAsia="宋体" w:hAnsi="Arial" w:cs="Arial"/>
        </w:rPr>
      </w:pPr>
    </w:p>
    <w:p w:rsidR="000F7ED8" w:rsidRPr="00F31118" w:rsidRDefault="00CF4F1E" w:rsidP="003059EA">
      <w:pPr>
        <w:snapToGrid w:val="0"/>
        <w:spacing w:line="300" w:lineRule="auto"/>
        <w:rPr>
          <w:rFonts w:ascii="Arial" w:eastAsia="宋体" w:hAnsi="Arial" w:cs="Arial"/>
          <w:b/>
        </w:rPr>
      </w:pPr>
      <w:r w:rsidRPr="00F31118">
        <w:rPr>
          <w:rFonts w:ascii="Arial" w:eastAsia="宋体" w:hAnsi="Arial" w:cs="Arial"/>
          <w:b/>
        </w:rPr>
        <w:t xml:space="preserve">7. </w:t>
      </w:r>
      <w:r w:rsidRPr="00F31118">
        <w:rPr>
          <w:rFonts w:ascii="Arial" w:eastAsia="宋体" w:hAnsi="Arial" w:cs="Arial"/>
          <w:b/>
        </w:rPr>
        <w:t>食品药品监督管理局</w:t>
      </w:r>
      <w:r w:rsidR="00062CAD" w:rsidRPr="00F31118">
        <w:rPr>
          <w:rFonts w:ascii="Arial" w:eastAsia="宋体" w:hAnsi="Arial" w:cs="Arial"/>
          <w:b/>
        </w:rPr>
        <w:t>将其视为</w:t>
      </w:r>
      <w:r w:rsidR="00921E51">
        <w:rPr>
          <w:rFonts w:ascii="Arial" w:eastAsia="宋体" w:hAnsi="Arial" w:cs="Arial"/>
          <w:b/>
        </w:rPr>
        <w:t>被分析物特效试剂</w:t>
      </w:r>
      <w:r w:rsidR="00062CAD" w:rsidRPr="00F31118">
        <w:rPr>
          <w:rFonts w:ascii="Arial" w:eastAsia="宋体" w:hAnsi="Arial" w:cs="Arial"/>
          <w:b/>
        </w:rPr>
        <w:t>的具体产品有哪些？</w:t>
      </w:r>
    </w:p>
    <w:p w:rsidR="00062CAD" w:rsidRPr="00F31118" w:rsidRDefault="00062CAD" w:rsidP="003059EA">
      <w:pPr>
        <w:snapToGrid w:val="0"/>
        <w:spacing w:line="300" w:lineRule="auto"/>
        <w:rPr>
          <w:rFonts w:ascii="Arial" w:eastAsia="宋体" w:hAnsi="Arial" w:cs="Arial"/>
        </w:rPr>
      </w:pPr>
    </w:p>
    <w:p w:rsidR="00062CAD" w:rsidRPr="00F31118" w:rsidRDefault="00062CAD" w:rsidP="003059EA">
      <w:pPr>
        <w:snapToGrid w:val="0"/>
        <w:spacing w:line="300" w:lineRule="auto"/>
        <w:rPr>
          <w:rFonts w:ascii="Arial" w:eastAsia="宋体" w:hAnsi="Arial" w:cs="Arial"/>
        </w:rPr>
      </w:pPr>
      <w:r w:rsidRPr="00F31118">
        <w:rPr>
          <w:rFonts w:ascii="Arial" w:eastAsia="宋体" w:hAnsi="Arial" w:cs="Arial"/>
        </w:rPr>
        <w:t>属于</w:t>
      </w:r>
      <w:r w:rsidR="00921E51">
        <w:rPr>
          <w:rFonts w:ascii="Arial" w:eastAsia="宋体" w:hAnsi="Arial" w:cs="Arial"/>
        </w:rPr>
        <w:t>被分析物特效试剂</w:t>
      </w:r>
      <w:r w:rsidRPr="00F31118">
        <w:rPr>
          <w:rFonts w:ascii="Arial" w:eastAsia="宋体" w:hAnsi="Arial" w:cs="Arial"/>
        </w:rPr>
        <w:t>的具体产品包括：</w:t>
      </w:r>
    </w:p>
    <w:p w:rsidR="00062CAD" w:rsidRPr="00F31118" w:rsidRDefault="00062CAD" w:rsidP="003059EA">
      <w:pPr>
        <w:snapToGrid w:val="0"/>
        <w:spacing w:line="300" w:lineRule="auto"/>
        <w:rPr>
          <w:rFonts w:ascii="Arial" w:eastAsia="宋体" w:hAnsi="Arial" w:cs="Arial"/>
        </w:rPr>
      </w:pPr>
    </w:p>
    <w:p w:rsidR="00062CAD" w:rsidRPr="00F31118" w:rsidRDefault="00820E50" w:rsidP="00CA6EE6">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单一</w:t>
      </w:r>
      <w:r w:rsidR="00062CAD" w:rsidRPr="00F31118">
        <w:rPr>
          <w:rFonts w:ascii="Arial" w:eastAsia="宋体" w:hAnsi="Arial" w:cs="Arial"/>
        </w:rPr>
        <w:t>抗体（如</w:t>
      </w:r>
      <w:r w:rsidRPr="00F31118">
        <w:rPr>
          <w:rFonts w:ascii="Arial" w:eastAsia="宋体" w:hAnsi="Arial" w:cs="Arial"/>
        </w:rPr>
        <w:t>无标记或有标记的</w:t>
      </w:r>
      <w:r w:rsidR="00AF5801" w:rsidRPr="00F31118">
        <w:rPr>
          <w:rFonts w:ascii="Arial" w:eastAsia="宋体" w:hAnsi="Arial" w:cs="Arial"/>
        </w:rPr>
        <w:t>抗肌钙蛋白</w:t>
      </w:r>
      <w:r w:rsidR="00AF5801" w:rsidRPr="00F31118">
        <w:rPr>
          <w:rFonts w:ascii="Arial" w:eastAsia="宋体" w:hAnsi="Arial" w:cs="Arial"/>
        </w:rPr>
        <w:t>I</w:t>
      </w:r>
      <w:r w:rsidR="00AF5801" w:rsidRPr="00F31118">
        <w:rPr>
          <w:rFonts w:ascii="Arial" w:eastAsia="宋体" w:hAnsi="Arial" w:cs="Arial"/>
        </w:rPr>
        <w:t>多克隆或单克隆抗体，如</w:t>
      </w:r>
      <w:r w:rsidRPr="00F31118">
        <w:rPr>
          <w:rFonts w:ascii="Arial" w:eastAsia="宋体" w:hAnsi="Arial" w:cs="Arial"/>
        </w:rPr>
        <w:t>与</w:t>
      </w:r>
      <w:r w:rsidR="00AF5801" w:rsidRPr="00F31118">
        <w:rPr>
          <w:rFonts w:ascii="Arial" w:eastAsia="宋体" w:hAnsi="Arial" w:cs="Arial"/>
        </w:rPr>
        <w:t>辣根过氧化物酶</w:t>
      </w:r>
      <w:r w:rsidRPr="00F31118">
        <w:rPr>
          <w:rFonts w:ascii="Arial" w:eastAsia="宋体" w:hAnsi="Arial" w:cs="Arial"/>
        </w:rPr>
        <w:t>结合</w:t>
      </w:r>
      <w:r w:rsidR="00062CAD" w:rsidRPr="00F31118">
        <w:rPr>
          <w:rFonts w:ascii="Arial" w:eastAsia="宋体" w:hAnsi="Arial" w:cs="Arial"/>
        </w:rPr>
        <w:t>）</w:t>
      </w:r>
      <w:r w:rsidR="00E11849" w:rsidRPr="00F31118">
        <w:rPr>
          <w:rFonts w:ascii="Arial" w:eastAsia="宋体" w:hAnsi="Arial" w:cs="Arial"/>
        </w:rPr>
        <w:t>。</w:t>
      </w:r>
    </w:p>
    <w:p w:rsidR="006E4B2B" w:rsidRPr="00F31118" w:rsidRDefault="00820E50" w:rsidP="00CA6EE6">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单一</w:t>
      </w:r>
      <w:r w:rsidR="00BF66D3" w:rsidRPr="00F31118">
        <w:rPr>
          <w:rFonts w:ascii="Arial" w:eastAsia="宋体" w:hAnsi="Arial" w:cs="Arial"/>
        </w:rPr>
        <w:t>正向</w:t>
      </w:r>
      <w:r w:rsidR="00BF66D3" w:rsidRPr="00F31118">
        <w:rPr>
          <w:rFonts w:ascii="Arial" w:eastAsia="宋体" w:hAnsi="Arial" w:cs="Arial"/>
        </w:rPr>
        <w:t>/</w:t>
      </w:r>
      <w:r w:rsidR="00BF66D3" w:rsidRPr="00F31118">
        <w:rPr>
          <w:rFonts w:ascii="Arial" w:eastAsia="宋体" w:hAnsi="Arial" w:cs="Arial"/>
        </w:rPr>
        <w:t>反向寡核苷酸引物</w:t>
      </w:r>
      <w:r w:rsidR="004C316C" w:rsidRPr="00CA6EE6">
        <w:rPr>
          <w:rFonts w:ascii="Arial" w:eastAsia="宋体" w:hAnsi="Arial" w:cs="Arial"/>
        </w:rPr>
        <w:t>1</w:t>
      </w:r>
      <w:r w:rsidR="00BF66D3" w:rsidRPr="00F31118">
        <w:rPr>
          <w:rFonts w:ascii="Arial" w:eastAsia="宋体" w:hAnsi="Arial" w:cs="Arial"/>
        </w:rPr>
        <w:t>对</w:t>
      </w:r>
      <w:r w:rsidR="00B6717F" w:rsidRPr="00F31118">
        <w:rPr>
          <w:rFonts w:ascii="Arial" w:eastAsia="宋体" w:hAnsi="Arial" w:cs="Arial"/>
        </w:rPr>
        <w:t>（如用于扩增某个扩增子的引物对，就像用于扩增</w:t>
      </w:r>
      <w:r w:rsidR="006578B0" w:rsidRPr="00F31118">
        <w:rPr>
          <w:rFonts w:ascii="Arial" w:eastAsia="宋体" w:hAnsi="Arial" w:cs="Arial"/>
        </w:rPr>
        <w:t>囊性纤维化跨膜调节因子（</w:t>
      </w:r>
      <w:r w:rsidR="006578B0" w:rsidRPr="00F31118">
        <w:rPr>
          <w:rFonts w:ascii="Arial" w:eastAsia="宋体" w:hAnsi="Arial" w:cs="Arial"/>
        </w:rPr>
        <w:t>CFTR</w:t>
      </w:r>
      <w:r w:rsidR="006578B0" w:rsidRPr="00F31118">
        <w:rPr>
          <w:rFonts w:ascii="Arial" w:eastAsia="宋体" w:hAnsi="Arial" w:cs="Arial"/>
        </w:rPr>
        <w:t>）编码基因</w:t>
      </w:r>
      <w:r w:rsidR="00571E69" w:rsidRPr="00F31118">
        <w:rPr>
          <w:rFonts w:ascii="宋体" w:eastAsia="宋体" w:hAnsi="宋体" w:cs="宋体" w:hint="eastAsia"/>
        </w:rPr>
        <w:t>△</w:t>
      </w:r>
      <w:r w:rsidR="006578B0" w:rsidRPr="00F31118">
        <w:rPr>
          <w:rFonts w:ascii="Arial" w:eastAsia="宋体" w:hAnsi="Arial" w:cs="Arial"/>
        </w:rPr>
        <w:t>F508</w:t>
      </w:r>
      <w:r w:rsidR="006578B0" w:rsidRPr="00F31118">
        <w:rPr>
          <w:rFonts w:ascii="Arial" w:eastAsia="宋体" w:hAnsi="Arial" w:cs="Arial"/>
        </w:rPr>
        <w:t>位点</w:t>
      </w:r>
      <w:r w:rsidR="005037DB" w:rsidRPr="00F31118">
        <w:rPr>
          <w:rFonts w:ascii="Arial" w:eastAsia="宋体" w:hAnsi="Arial" w:cs="Arial"/>
        </w:rPr>
        <w:t>的引物对</w:t>
      </w:r>
      <w:r w:rsidR="00B6717F" w:rsidRPr="00F31118">
        <w:rPr>
          <w:rFonts w:ascii="Arial" w:eastAsia="宋体" w:hAnsi="Arial" w:cs="Arial"/>
        </w:rPr>
        <w:t>）</w:t>
      </w:r>
      <w:r w:rsidR="005037DB" w:rsidRPr="00F31118">
        <w:rPr>
          <w:rFonts w:ascii="Arial" w:eastAsia="宋体" w:hAnsi="Arial" w:cs="Arial"/>
        </w:rPr>
        <w:t>或</w:t>
      </w:r>
      <w:r w:rsidR="00497127" w:rsidRPr="00F31118">
        <w:rPr>
          <w:rFonts w:ascii="Arial" w:eastAsia="宋体" w:hAnsi="Arial" w:cs="Arial"/>
        </w:rPr>
        <w:t>正向引物或反向引物</w:t>
      </w:r>
      <w:r w:rsidR="00E11849" w:rsidRPr="00F31118">
        <w:rPr>
          <w:rFonts w:ascii="Arial" w:eastAsia="宋体" w:hAnsi="Arial" w:cs="Arial"/>
        </w:rPr>
        <w:t>。</w:t>
      </w:r>
    </w:p>
    <w:p w:rsidR="003040BD" w:rsidRDefault="003040BD" w:rsidP="003059EA">
      <w:pPr>
        <w:snapToGrid w:val="0"/>
        <w:spacing w:line="300" w:lineRule="auto"/>
        <w:rPr>
          <w:rFonts w:ascii="Arial" w:eastAsia="宋体" w:hAnsi="Arial" w:cs="Arial"/>
        </w:rPr>
      </w:pPr>
    </w:p>
    <w:p w:rsidR="009A68EB" w:rsidRDefault="009A68EB" w:rsidP="003059EA">
      <w:pPr>
        <w:snapToGrid w:val="0"/>
        <w:spacing w:line="300" w:lineRule="auto"/>
        <w:rPr>
          <w:rFonts w:ascii="Arial" w:eastAsia="宋体" w:hAnsi="Arial" w:cs="Arial"/>
        </w:rPr>
      </w:pPr>
    </w:p>
    <w:p w:rsidR="009A68EB" w:rsidRDefault="009A68EB" w:rsidP="003059EA">
      <w:pPr>
        <w:snapToGrid w:val="0"/>
        <w:spacing w:line="300" w:lineRule="auto"/>
        <w:rPr>
          <w:rFonts w:ascii="Arial" w:eastAsia="宋体" w:hAnsi="Arial" w:cs="Arial"/>
        </w:rPr>
      </w:pPr>
    </w:p>
    <w:p w:rsidR="009A68EB" w:rsidRPr="00F31118" w:rsidRDefault="009A68EB" w:rsidP="003059EA">
      <w:pPr>
        <w:snapToGrid w:val="0"/>
        <w:spacing w:line="300" w:lineRule="auto"/>
        <w:rPr>
          <w:rFonts w:ascii="Arial" w:eastAsia="宋体" w:hAnsi="Arial" w:cs="Arial"/>
        </w:rPr>
      </w:pPr>
      <w:r>
        <w:rPr>
          <w:rFonts w:ascii="Arial" w:eastAsia="宋体" w:hAnsi="Arial" w:cs="Arial" w:hint="eastAsia"/>
          <w:noProof/>
        </w:rPr>
        <mc:AlternateContent>
          <mc:Choice Requires="wps">
            <w:drawing>
              <wp:anchor distT="0" distB="0" distL="114300" distR="114300" simplePos="0" relativeHeight="251660288" behindDoc="0" locked="0" layoutInCell="1" allowOverlap="1" wp14:anchorId="5FF4F0B8" wp14:editId="52C3B3FC">
                <wp:simplePos x="0" y="0"/>
                <wp:positionH relativeFrom="column">
                  <wp:posOffset>17205</wp:posOffset>
                </wp:positionH>
                <wp:positionV relativeFrom="paragraph">
                  <wp:posOffset>117332</wp:posOffset>
                </wp:positionV>
                <wp:extent cx="1917291" cy="0"/>
                <wp:effectExtent l="0" t="0" r="26035" b="19050"/>
                <wp:wrapNone/>
                <wp:docPr id="4" name="直接连接符 4"/>
                <wp:cNvGraphicFramePr/>
                <a:graphic xmlns:a="http://schemas.openxmlformats.org/drawingml/2006/main">
                  <a:graphicData uri="http://schemas.microsoft.com/office/word/2010/wordprocessingShape">
                    <wps:wsp>
                      <wps:cNvCnPr/>
                      <wps:spPr>
                        <a:xfrm>
                          <a:off x="0" y="0"/>
                          <a:ext cx="19172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41B196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5pt,9.25pt" to="15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" strokecolor="black [3213]"/>
            </w:pict>
          </mc:Fallback>
        </mc:AlternateContent>
      </w:r>
    </w:p>
    <w:p w:rsidR="003040BD" w:rsidRPr="00A65A35" w:rsidRDefault="003040BD" w:rsidP="003059EA">
      <w:pPr>
        <w:snapToGrid w:val="0"/>
        <w:spacing w:line="300" w:lineRule="auto"/>
        <w:rPr>
          <w:rFonts w:ascii="Arial" w:eastAsia="宋体" w:hAnsi="Arial" w:cs="Arial"/>
          <w:sz w:val="18"/>
          <w:szCs w:val="18"/>
        </w:rPr>
      </w:pPr>
      <w:r w:rsidRPr="00A65A35">
        <w:rPr>
          <w:rFonts w:ascii="Arial" w:eastAsia="宋体" w:hAnsi="Arial" w:cs="Arial"/>
          <w:sz w:val="18"/>
          <w:szCs w:val="18"/>
          <w:vertAlign w:val="superscript"/>
        </w:rPr>
        <w:t>1</w:t>
      </w:r>
      <w:bookmarkStart w:id="26" w:name="OLE_LINK33"/>
      <w:bookmarkStart w:id="27" w:name="OLE_LINK34"/>
      <w:r w:rsidRPr="00A65A35">
        <w:rPr>
          <w:rFonts w:ascii="Arial" w:eastAsia="宋体" w:hAnsi="Arial" w:cs="Arial"/>
          <w:sz w:val="18"/>
          <w:szCs w:val="18"/>
        </w:rPr>
        <w:t>从本</w:t>
      </w:r>
      <w:r w:rsidR="000F3824">
        <w:rPr>
          <w:rFonts w:ascii="Arial" w:eastAsia="宋体" w:hAnsi="Arial" w:cs="Arial"/>
          <w:sz w:val="18"/>
          <w:szCs w:val="18"/>
        </w:rPr>
        <w:t>指导性文件</w:t>
      </w:r>
      <w:r w:rsidRPr="00A65A35">
        <w:rPr>
          <w:rFonts w:ascii="Arial" w:eastAsia="宋体" w:hAnsi="Arial" w:cs="Arial"/>
          <w:sz w:val="18"/>
          <w:szCs w:val="18"/>
        </w:rPr>
        <w:t>的编撰目的来考虑，</w:t>
      </w:r>
      <w:bookmarkEnd w:id="26"/>
      <w:bookmarkEnd w:id="27"/>
      <w:r w:rsidRPr="00A65A35">
        <w:rPr>
          <w:rFonts w:ascii="Arial" w:eastAsia="宋体" w:hAnsi="Arial" w:cs="Arial"/>
          <w:sz w:val="18"/>
          <w:szCs w:val="18"/>
        </w:rPr>
        <w:t>将引物定义为</w:t>
      </w:r>
      <w:r w:rsidR="00355B39" w:rsidRPr="00A65A35">
        <w:rPr>
          <w:rFonts w:ascii="Arial" w:eastAsia="宋体" w:hAnsi="Arial" w:cs="Arial"/>
          <w:sz w:val="18"/>
          <w:szCs w:val="18"/>
        </w:rPr>
        <w:t>与一个大核酸聚合物中的互补序列选择性结合，用于启动扩增过程的一段核酸序列。</w:t>
      </w:r>
    </w:p>
    <w:p w:rsidR="009A68EB" w:rsidRDefault="009A68EB">
      <w:pPr>
        <w:widowControl/>
        <w:jc w:val="left"/>
        <w:rPr>
          <w:rFonts w:ascii="Arial" w:eastAsia="宋体" w:hAnsi="Arial" w:cs="Arial"/>
        </w:rPr>
      </w:pPr>
      <w:r>
        <w:rPr>
          <w:rFonts w:ascii="Arial" w:eastAsia="宋体" w:hAnsi="Arial" w:cs="Arial"/>
        </w:rPr>
        <w:br w:type="page"/>
      </w:r>
    </w:p>
    <w:p w:rsidR="00497127" w:rsidRPr="00F31118" w:rsidRDefault="009C40E2" w:rsidP="009F6782">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lastRenderedPageBreak/>
        <w:t>核酸探针</w:t>
      </w:r>
      <w:r w:rsidR="00033B13" w:rsidRPr="00F31118">
        <w:rPr>
          <w:rFonts w:ascii="Arial" w:eastAsia="宋体" w:hAnsi="Arial" w:cs="Arial"/>
          <w:vertAlign w:val="superscript"/>
        </w:rPr>
        <w:t>2</w:t>
      </w:r>
      <w:r w:rsidRPr="00F31118">
        <w:rPr>
          <w:rFonts w:ascii="Arial" w:eastAsia="宋体" w:hAnsi="Arial" w:cs="Arial"/>
        </w:rPr>
        <w:t>（无标记或有标记，如</w:t>
      </w:r>
      <w:r w:rsidR="00B27A75" w:rsidRPr="00F31118">
        <w:rPr>
          <w:rFonts w:ascii="Arial" w:eastAsia="宋体" w:hAnsi="Arial" w:cs="Arial"/>
        </w:rPr>
        <w:t>生物素或</w:t>
      </w:r>
      <w:r w:rsidR="00B27A75" w:rsidRPr="00F31118">
        <w:rPr>
          <w:rFonts w:ascii="Arial" w:eastAsia="宋体" w:hAnsi="Arial" w:cs="Arial"/>
        </w:rPr>
        <w:t>Cy™3</w:t>
      </w:r>
      <w:r w:rsidR="00B27A75" w:rsidRPr="00F31118">
        <w:rPr>
          <w:rFonts w:ascii="Arial" w:eastAsia="宋体" w:hAnsi="Arial" w:cs="Arial"/>
        </w:rPr>
        <w:t>标记</w:t>
      </w:r>
      <w:r w:rsidRPr="00F31118">
        <w:rPr>
          <w:rFonts w:ascii="Arial" w:eastAsia="宋体" w:hAnsi="Arial" w:cs="Arial"/>
        </w:rPr>
        <w:t>）</w:t>
      </w:r>
      <w:r w:rsidR="000E40D6" w:rsidRPr="00F31118">
        <w:rPr>
          <w:rFonts w:ascii="Arial" w:eastAsia="宋体" w:hAnsi="Arial" w:cs="Arial"/>
        </w:rPr>
        <w:t>，拟与互补性扩增或非扩增核酸序列结合</w:t>
      </w:r>
      <w:r w:rsidR="00E11849" w:rsidRPr="00F31118">
        <w:rPr>
          <w:rFonts w:ascii="Arial" w:eastAsia="宋体" w:hAnsi="Arial" w:cs="Arial"/>
        </w:rPr>
        <w:t>。</w:t>
      </w:r>
    </w:p>
    <w:p w:rsidR="006E4B2B" w:rsidRPr="00F31118" w:rsidRDefault="00F874A1" w:rsidP="009F6782">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单一</w:t>
      </w:r>
      <w:r w:rsidR="000E40D6" w:rsidRPr="00F31118">
        <w:rPr>
          <w:rFonts w:ascii="Arial" w:eastAsia="宋体" w:hAnsi="Arial" w:cs="Arial"/>
        </w:rPr>
        <w:t>纯化蛋白质或多肽（如纯化</w:t>
      </w:r>
      <w:r w:rsidR="000E40D6" w:rsidRPr="00F31118">
        <w:rPr>
          <w:rFonts w:ascii="Arial" w:eastAsia="宋体" w:hAnsi="Arial" w:cs="Arial"/>
        </w:rPr>
        <w:t>B</w:t>
      </w:r>
      <w:proofErr w:type="gramStart"/>
      <w:r w:rsidR="000E40D6" w:rsidRPr="00F31118">
        <w:rPr>
          <w:rFonts w:ascii="Arial" w:eastAsia="宋体" w:hAnsi="Arial" w:cs="Arial"/>
        </w:rPr>
        <w:t>型钠尿肽</w:t>
      </w:r>
      <w:proofErr w:type="gramEnd"/>
      <w:r w:rsidR="000E40D6" w:rsidRPr="00F31118">
        <w:rPr>
          <w:rFonts w:ascii="Arial" w:eastAsia="宋体" w:hAnsi="Arial" w:cs="Arial"/>
        </w:rPr>
        <w:t>）</w:t>
      </w:r>
      <w:r w:rsidR="00E11849" w:rsidRPr="00F31118">
        <w:rPr>
          <w:rFonts w:ascii="Arial" w:eastAsia="宋体" w:hAnsi="Arial" w:cs="Arial"/>
        </w:rPr>
        <w:t>。</w:t>
      </w:r>
    </w:p>
    <w:p w:rsidR="006E4B2B" w:rsidRPr="00F31118" w:rsidRDefault="006E4B2B" w:rsidP="009F6782">
      <w:pPr>
        <w:pStyle w:val="a8"/>
        <w:snapToGrid w:val="0"/>
        <w:spacing w:line="300" w:lineRule="auto"/>
        <w:ind w:left="826" w:firstLineChars="0" w:firstLine="0"/>
        <w:rPr>
          <w:rFonts w:ascii="Arial" w:eastAsia="宋体" w:hAnsi="Arial" w:cs="Arial"/>
        </w:rPr>
      </w:pPr>
    </w:p>
    <w:p w:rsidR="006E4B2B" w:rsidRPr="00F31118" w:rsidRDefault="00B70B77" w:rsidP="003059EA">
      <w:pPr>
        <w:snapToGrid w:val="0"/>
        <w:spacing w:line="300" w:lineRule="auto"/>
        <w:rPr>
          <w:rFonts w:ascii="Arial" w:eastAsia="宋体" w:hAnsi="Arial" w:cs="Arial"/>
        </w:rPr>
      </w:pPr>
      <w:r w:rsidRPr="00F31118">
        <w:rPr>
          <w:rFonts w:ascii="Arial" w:eastAsia="宋体" w:hAnsi="Arial" w:cs="Arial"/>
        </w:rPr>
        <w:t>上面列出的产品在销售时如果带有临床或分析性能</w:t>
      </w:r>
      <w:r w:rsidR="00F874A1" w:rsidRPr="00F31118">
        <w:rPr>
          <w:rFonts w:ascii="Arial" w:eastAsia="宋体" w:hAnsi="Arial" w:cs="Arial"/>
        </w:rPr>
        <w:t>声明</w:t>
      </w:r>
      <w:r w:rsidRPr="00F31118">
        <w:rPr>
          <w:rFonts w:ascii="Arial" w:eastAsia="宋体" w:hAnsi="Arial" w:cs="Arial"/>
        </w:rPr>
        <w:t>（如传染因子定量、心脏病风险评估），则不将其视为</w:t>
      </w:r>
      <w:r w:rsidR="00921E51">
        <w:rPr>
          <w:rFonts w:ascii="Arial" w:eastAsia="宋体" w:hAnsi="Arial" w:cs="Arial"/>
        </w:rPr>
        <w:t>被分析物特效试剂</w:t>
      </w:r>
      <w:r w:rsidRPr="00F31118">
        <w:rPr>
          <w:rFonts w:ascii="Arial" w:eastAsia="宋体" w:hAnsi="Arial" w:cs="Arial"/>
        </w:rPr>
        <w:t>。</w:t>
      </w:r>
    </w:p>
    <w:p w:rsidR="00B70B77" w:rsidRPr="00F31118" w:rsidRDefault="00B70B77" w:rsidP="003059EA">
      <w:pPr>
        <w:snapToGrid w:val="0"/>
        <w:spacing w:line="300" w:lineRule="auto"/>
        <w:rPr>
          <w:rFonts w:ascii="Arial" w:eastAsia="宋体" w:hAnsi="Arial" w:cs="Arial"/>
        </w:rPr>
      </w:pPr>
    </w:p>
    <w:p w:rsidR="00B70B77" w:rsidRPr="00F31118" w:rsidRDefault="00DE6C95" w:rsidP="003059EA">
      <w:pPr>
        <w:snapToGrid w:val="0"/>
        <w:spacing w:line="300" w:lineRule="auto"/>
        <w:rPr>
          <w:rFonts w:ascii="Arial" w:eastAsia="宋体" w:hAnsi="Arial" w:cs="Arial"/>
        </w:rPr>
      </w:pPr>
      <w:r w:rsidRPr="00F31118">
        <w:rPr>
          <w:rFonts w:ascii="Arial" w:eastAsia="宋体" w:hAnsi="Arial" w:cs="Arial"/>
        </w:rPr>
        <w:t>除了在这里列出的具体产品，其它产品如果符合上述标准，即</w:t>
      </w:r>
      <w:r w:rsidR="00F13C4A" w:rsidRPr="00F31118">
        <w:rPr>
          <w:rFonts w:ascii="Arial" w:eastAsia="宋体" w:hAnsi="Arial" w:cs="Arial"/>
        </w:rPr>
        <w:t>使用</w:t>
      </w:r>
      <w:r w:rsidR="00921E51">
        <w:rPr>
          <w:rFonts w:ascii="Arial" w:eastAsia="宋体" w:hAnsi="Arial" w:cs="Arial"/>
        </w:rPr>
        <w:t>被分析物特效试剂</w:t>
      </w:r>
      <w:r w:rsidR="00F13C4A" w:rsidRPr="00F31118">
        <w:rPr>
          <w:rFonts w:ascii="Arial" w:eastAsia="宋体" w:hAnsi="Arial" w:cs="Arial"/>
        </w:rPr>
        <w:t>检测某种</w:t>
      </w:r>
      <w:proofErr w:type="gramStart"/>
      <w:r w:rsidR="00F13C4A" w:rsidRPr="00F31118">
        <w:rPr>
          <w:rFonts w:ascii="Arial" w:eastAsia="宋体" w:hAnsi="Arial" w:cs="Arial"/>
        </w:rPr>
        <w:t>配体或靶成分</w:t>
      </w:r>
      <w:proofErr w:type="gramEnd"/>
      <w:r w:rsidR="00F13C4A" w:rsidRPr="00F31118">
        <w:rPr>
          <w:rFonts w:ascii="Arial" w:eastAsia="宋体" w:hAnsi="Arial" w:cs="Arial"/>
        </w:rPr>
        <w:t>（如蛋白质、单核苷酸改变、抗原决定</w:t>
      </w:r>
      <w:r w:rsidR="00F874A1" w:rsidRPr="00F31118">
        <w:rPr>
          <w:rFonts w:ascii="Arial" w:eastAsia="宋体" w:hAnsi="Arial" w:cs="Arial"/>
        </w:rPr>
        <w:t>基</w:t>
      </w:r>
      <w:r w:rsidR="00F13C4A" w:rsidRPr="00F31118">
        <w:rPr>
          <w:rFonts w:ascii="Arial" w:eastAsia="宋体" w:hAnsi="Arial" w:cs="Arial"/>
        </w:rPr>
        <w:t>），但标签上无使用说明或性能</w:t>
      </w:r>
      <w:r w:rsidR="00F874A1" w:rsidRPr="00F31118">
        <w:rPr>
          <w:rFonts w:ascii="Arial" w:eastAsia="宋体" w:hAnsi="Arial" w:cs="Arial"/>
        </w:rPr>
        <w:t>声明</w:t>
      </w:r>
      <w:r w:rsidR="00F13C4A" w:rsidRPr="00F31118">
        <w:rPr>
          <w:rFonts w:ascii="Arial" w:eastAsia="宋体" w:hAnsi="Arial" w:cs="Arial"/>
        </w:rPr>
        <w:t>，</w:t>
      </w:r>
      <w:r w:rsidR="00A47B46" w:rsidRPr="00F31118">
        <w:rPr>
          <w:rFonts w:ascii="Arial" w:eastAsia="宋体" w:hAnsi="Arial" w:cs="Arial"/>
        </w:rPr>
        <w:t>且不为在具体指定仪器或具体检验中使用而开展</w:t>
      </w:r>
      <w:r w:rsidR="001E6E6D" w:rsidRPr="00F31118">
        <w:rPr>
          <w:rFonts w:ascii="Arial" w:eastAsia="宋体" w:hAnsi="Arial" w:cs="Arial"/>
        </w:rPr>
        <w:t>推销</w:t>
      </w:r>
      <w:r w:rsidR="00A47B46" w:rsidRPr="00F31118">
        <w:rPr>
          <w:rFonts w:ascii="Arial" w:eastAsia="宋体" w:hAnsi="Arial" w:cs="Arial"/>
        </w:rPr>
        <w:t>活动，亦可适当以</w:t>
      </w:r>
      <w:r w:rsidR="00921E51">
        <w:rPr>
          <w:rFonts w:ascii="Arial" w:eastAsia="宋体" w:hAnsi="Arial" w:cs="Arial"/>
        </w:rPr>
        <w:t>被分析物特效试剂</w:t>
      </w:r>
      <w:r w:rsidR="00A47B46" w:rsidRPr="00F31118">
        <w:rPr>
          <w:rFonts w:ascii="Arial" w:eastAsia="宋体" w:hAnsi="Arial" w:cs="Arial"/>
        </w:rPr>
        <w:t>的名义进行销售。将来，随着新技术的发展，</w:t>
      </w:r>
      <w:r w:rsidR="0002721E" w:rsidRPr="00F31118">
        <w:rPr>
          <w:rFonts w:ascii="Arial" w:eastAsia="宋体" w:hAnsi="Arial" w:cs="Arial"/>
        </w:rPr>
        <w:t>可能会有与上述具体产品不同的符合</w:t>
      </w:r>
      <w:r w:rsidR="00921E51">
        <w:rPr>
          <w:rFonts w:ascii="Arial" w:eastAsia="宋体" w:hAnsi="Arial" w:cs="Arial"/>
        </w:rPr>
        <w:t>被分析物特效试剂</w:t>
      </w:r>
      <w:r w:rsidR="0002721E" w:rsidRPr="00F31118">
        <w:rPr>
          <w:rFonts w:ascii="Arial" w:eastAsia="宋体" w:hAnsi="Arial" w:cs="Arial"/>
        </w:rPr>
        <w:t>定义的产品（</w:t>
      </w:r>
      <w:r w:rsidR="0002721E" w:rsidRPr="00F31118">
        <w:rPr>
          <w:rFonts w:ascii="Arial" w:eastAsia="宋体" w:hAnsi="Arial" w:cs="Arial"/>
        </w:rPr>
        <w:t>21 CFR 864.4020</w:t>
      </w:r>
      <w:r w:rsidR="0002721E" w:rsidRPr="00F31118">
        <w:rPr>
          <w:rFonts w:ascii="Arial" w:eastAsia="宋体" w:hAnsi="Arial" w:cs="Arial"/>
        </w:rPr>
        <w:t>）问世。在这种情况下，对具体产品</w:t>
      </w:r>
      <w:r w:rsidR="00033B13" w:rsidRPr="00F31118">
        <w:rPr>
          <w:rFonts w:ascii="Arial" w:eastAsia="宋体" w:hAnsi="Arial" w:cs="Arial"/>
        </w:rPr>
        <w:t>若有疑问，</w:t>
      </w:r>
      <w:r w:rsidR="00921E51">
        <w:rPr>
          <w:rFonts w:ascii="Arial" w:eastAsia="宋体" w:hAnsi="Arial" w:cs="Arial"/>
        </w:rPr>
        <w:t>被分析物特效试剂</w:t>
      </w:r>
      <w:r w:rsidR="0002721E" w:rsidRPr="00F31118">
        <w:rPr>
          <w:rFonts w:ascii="Arial" w:eastAsia="宋体" w:hAnsi="Arial" w:cs="Arial"/>
        </w:rPr>
        <w:t>制造商应与</w:t>
      </w:r>
      <w:r w:rsidR="00033B13" w:rsidRPr="00F31118">
        <w:rPr>
          <w:rFonts w:ascii="Arial" w:eastAsia="宋体" w:hAnsi="Arial" w:cs="Arial"/>
        </w:rPr>
        <w:t>食品药品监督管理局联系。</w:t>
      </w:r>
    </w:p>
    <w:p w:rsidR="006E4B2B" w:rsidRPr="00F31118" w:rsidRDefault="006E4B2B" w:rsidP="003059EA">
      <w:pPr>
        <w:snapToGrid w:val="0"/>
        <w:spacing w:line="300" w:lineRule="auto"/>
        <w:rPr>
          <w:rFonts w:ascii="Arial" w:eastAsia="宋体" w:hAnsi="Arial" w:cs="Arial"/>
        </w:rPr>
      </w:pPr>
    </w:p>
    <w:p w:rsidR="006E4B2B" w:rsidRPr="00F31118" w:rsidRDefault="00FB0BAB" w:rsidP="003059EA">
      <w:pPr>
        <w:snapToGrid w:val="0"/>
        <w:spacing w:line="300" w:lineRule="auto"/>
        <w:rPr>
          <w:rFonts w:ascii="Arial" w:eastAsia="宋体" w:hAnsi="Arial" w:cs="Arial"/>
          <w:b/>
        </w:rPr>
      </w:pPr>
      <w:r w:rsidRPr="00F31118">
        <w:rPr>
          <w:rFonts w:ascii="Arial" w:eastAsia="宋体" w:hAnsi="Arial" w:cs="Arial"/>
          <w:b/>
        </w:rPr>
        <w:t xml:space="preserve">8. </w:t>
      </w:r>
      <w:r w:rsidR="003905FF" w:rsidRPr="00F31118">
        <w:rPr>
          <w:rFonts w:ascii="Arial" w:eastAsia="宋体" w:hAnsi="Arial" w:cs="Arial"/>
          <w:b/>
        </w:rPr>
        <w:t>有哪些具体产品</w:t>
      </w:r>
      <w:r w:rsidR="00995D0E" w:rsidRPr="00F31118">
        <w:rPr>
          <w:rFonts w:ascii="Arial" w:eastAsia="宋体" w:hAnsi="Arial" w:cs="Arial"/>
          <w:b/>
        </w:rPr>
        <w:t>不被</w:t>
      </w:r>
      <w:r w:rsidR="003905FF" w:rsidRPr="00F31118">
        <w:rPr>
          <w:rFonts w:ascii="Arial" w:eastAsia="宋体" w:hAnsi="Arial" w:cs="Arial"/>
          <w:b/>
        </w:rPr>
        <w:t>食品药品监督管理局视为</w:t>
      </w:r>
      <w:r w:rsidR="00921E51">
        <w:rPr>
          <w:rFonts w:ascii="Arial" w:eastAsia="宋体" w:hAnsi="Arial" w:cs="Arial"/>
          <w:b/>
        </w:rPr>
        <w:t>被分析物特效试剂</w:t>
      </w:r>
      <w:r w:rsidR="003905FF" w:rsidRPr="00F31118">
        <w:rPr>
          <w:rFonts w:ascii="Arial" w:eastAsia="宋体" w:hAnsi="Arial" w:cs="Arial"/>
          <w:b/>
        </w:rPr>
        <w:t>？</w:t>
      </w:r>
    </w:p>
    <w:p w:rsidR="003905FF" w:rsidRPr="00F31118" w:rsidRDefault="003905FF" w:rsidP="003059EA">
      <w:pPr>
        <w:snapToGrid w:val="0"/>
        <w:spacing w:line="300" w:lineRule="auto"/>
        <w:rPr>
          <w:rFonts w:ascii="Arial" w:eastAsia="宋体" w:hAnsi="Arial" w:cs="Arial"/>
        </w:rPr>
      </w:pPr>
    </w:p>
    <w:p w:rsidR="003905FF" w:rsidRPr="00F31118" w:rsidRDefault="00995D0E" w:rsidP="003059EA">
      <w:pPr>
        <w:snapToGrid w:val="0"/>
        <w:spacing w:line="300" w:lineRule="auto"/>
        <w:rPr>
          <w:rFonts w:ascii="Arial" w:eastAsia="宋体" w:hAnsi="Arial" w:cs="Arial"/>
        </w:rPr>
      </w:pPr>
      <w:r w:rsidRPr="00F31118">
        <w:rPr>
          <w:rFonts w:ascii="Arial" w:eastAsia="宋体" w:hAnsi="Arial" w:cs="Arial"/>
        </w:rPr>
        <w:t>·</w:t>
      </w:r>
      <w:r w:rsidR="008B5B99" w:rsidRPr="00F31118">
        <w:rPr>
          <w:rFonts w:ascii="Arial" w:eastAsia="宋体" w:hAnsi="Arial" w:cs="Arial"/>
        </w:rPr>
        <w:t>在某种预配混合物或最优化混合物中捆绑</w:t>
      </w:r>
      <w:r w:rsidR="000652A3" w:rsidRPr="00F31118">
        <w:rPr>
          <w:rFonts w:ascii="Arial" w:eastAsia="宋体" w:hAnsi="Arial" w:cs="Arial"/>
        </w:rPr>
        <w:t>使用</w:t>
      </w:r>
      <w:r w:rsidR="008B5B99" w:rsidRPr="00F31118">
        <w:rPr>
          <w:rFonts w:ascii="Arial" w:eastAsia="宋体" w:hAnsi="Arial" w:cs="Arial"/>
        </w:rPr>
        <w:t>的</w:t>
      </w:r>
      <w:r w:rsidRPr="00F31118">
        <w:rPr>
          <w:rFonts w:ascii="Arial" w:eastAsia="宋体" w:hAnsi="Arial" w:cs="Arial"/>
        </w:rPr>
        <w:t>多种具体</w:t>
      </w:r>
      <w:r w:rsidR="00921E51">
        <w:rPr>
          <w:rFonts w:ascii="Arial" w:eastAsia="宋体" w:hAnsi="Arial" w:cs="Arial"/>
        </w:rPr>
        <w:t>被分析物特效试剂</w:t>
      </w:r>
      <w:r w:rsidRPr="00F31118">
        <w:rPr>
          <w:rFonts w:ascii="Arial" w:eastAsia="宋体" w:hAnsi="Arial" w:cs="Arial"/>
        </w:rPr>
        <w:t>（如抗体、探针、引物对）</w:t>
      </w:r>
      <w:r w:rsidR="008B5B99" w:rsidRPr="00F31118">
        <w:rPr>
          <w:rFonts w:ascii="Arial" w:eastAsia="宋体" w:hAnsi="Arial" w:cs="Arial"/>
        </w:rPr>
        <w:t>，如此一来，这些试剂就必须在由此产生的药事未核准检验中同时使用。</w:t>
      </w:r>
      <w:r w:rsidR="007B7EFA" w:rsidRPr="00F31118">
        <w:rPr>
          <w:rFonts w:ascii="Arial" w:eastAsia="宋体" w:hAnsi="Arial" w:cs="Arial"/>
        </w:rPr>
        <w:t>例如，</w:t>
      </w:r>
      <w:r w:rsidR="00395159" w:rsidRPr="00F31118">
        <w:rPr>
          <w:rFonts w:ascii="Arial" w:eastAsia="宋体" w:hAnsi="Arial" w:cs="Arial"/>
        </w:rPr>
        <w:t>对</w:t>
      </w:r>
      <w:r w:rsidR="00222461" w:rsidRPr="00F31118">
        <w:rPr>
          <w:rFonts w:ascii="Arial" w:eastAsia="宋体" w:hAnsi="Arial" w:cs="Arial"/>
        </w:rPr>
        <w:t>装在一个试管中用于检测</w:t>
      </w:r>
      <w:r w:rsidR="00222461" w:rsidRPr="00F31118">
        <w:rPr>
          <w:rFonts w:ascii="Arial" w:eastAsia="宋体" w:hAnsi="Arial" w:cs="Arial"/>
        </w:rPr>
        <w:t>5</w:t>
      </w:r>
      <w:r w:rsidR="00222461" w:rsidRPr="00F31118">
        <w:rPr>
          <w:rFonts w:ascii="Arial" w:eastAsia="宋体" w:hAnsi="Arial" w:cs="Arial"/>
        </w:rPr>
        <w:t>个不同病毒基因型的</w:t>
      </w:r>
      <w:r w:rsidR="007B7EFA" w:rsidRPr="00F31118">
        <w:rPr>
          <w:rFonts w:ascii="Arial" w:eastAsia="宋体" w:hAnsi="Arial" w:cs="Arial"/>
        </w:rPr>
        <w:t>一套</w:t>
      </w:r>
      <w:r w:rsidR="007B7EFA" w:rsidRPr="00F31118">
        <w:rPr>
          <w:rFonts w:ascii="Arial" w:eastAsia="宋体" w:hAnsi="Arial" w:cs="Arial"/>
        </w:rPr>
        <w:t>5</w:t>
      </w:r>
      <w:r w:rsidR="007B7EFA" w:rsidRPr="00F31118">
        <w:rPr>
          <w:rFonts w:ascii="Arial" w:eastAsia="宋体" w:hAnsi="Arial" w:cs="Arial"/>
        </w:rPr>
        <w:t>对引物</w:t>
      </w:r>
      <w:r w:rsidR="00222461" w:rsidRPr="00F31118">
        <w:rPr>
          <w:rFonts w:ascii="Arial" w:eastAsia="宋体" w:hAnsi="Arial" w:cs="Arial"/>
        </w:rPr>
        <w:t>要求同时使用，</w:t>
      </w:r>
      <w:r w:rsidR="00395159" w:rsidRPr="00F31118">
        <w:rPr>
          <w:rFonts w:ascii="Arial" w:eastAsia="宋体" w:hAnsi="Arial" w:cs="Arial"/>
        </w:rPr>
        <w:t>它们</w:t>
      </w:r>
      <w:r w:rsidR="00222461" w:rsidRPr="00F31118">
        <w:rPr>
          <w:rFonts w:ascii="Arial" w:eastAsia="宋体" w:hAnsi="Arial" w:cs="Arial"/>
        </w:rPr>
        <w:t>共同发挥作用</w:t>
      </w:r>
      <w:r w:rsidR="00395159" w:rsidRPr="00F31118">
        <w:rPr>
          <w:rFonts w:ascii="Arial" w:eastAsia="宋体" w:hAnsi="Arial" w:cs="Arial"/>
        </w:rPr>
        <w:t>，</w:t>
      </w:r>
      <w:r w:rsidR="00222461" w:rsidRPr="00F31118">
        <w:rPr>
          <w:rFonts w:ascii="Arial" w:eastAsia="宋体" w:hAnsi="Arial" w:cs="Arial"/>
        </w:rPr>
        <w:t>准确检测</w:t>
      </w:r>
      <w:r w:rsidR="00374A76" w:rsidRPr="00F31118">
        <w:rPr>
          <w:rFonts w:ascii="Arial" w:eastAsia="宋体" w:hAnsi="Arial" w:cs="Arial"/>
        </w:rPr>
        <w:t>5</w:t>
      </w:r>
      <w:r w:rsidR="00374A76" w:rsidRPr="00F31118">
        <w:rPr>
          <w:rFonts w:ascii="Arial" w:eastAsia="宋体" w:hAnsi="Arial" w:cs="Arial"/>
        </w:rPr>
        <w:t>个基因型。这是对产品的一个分析</w:t>
      </w:r>
      <w:r w:rsidR="00F874A1" w:rsidRPr="00F31118">
        <w:rPr>
          <w:rFonts w:ascii="Arial" w:eastAsia="宋体" w:hAnsi="Arial" w:cs="Arial"/>
        </w:rPr>
        <w:t>声明</w:t>
      </w:r>
      <w:r w:rsidR="00374A76" w:rsidRPr="00F31118">
        <w:rPr>
          <w:rFonts w:ascii="Arial" w:eastAsia="宋体" w:hAnsi="Arial" w:cs="Arial"/>
        </w:rPr>
        <w:t>，食品药品监督管理局不将这类产品视为</w:t>
      </w:r>
      <w:r w:rsidR="00921E51">
        <w:rPr>
          <w:rFonts w:ascii="Arial" w:eastAsia="宋体" w:hAnsi="Arial" w:cs="Arial"/>
        </w:rPr>
        <w:t>被分析物特效试剂</w:t>
      </w:r>
      <w:r w:rsidR="00374A76" w:rsidRPr="00F31118">
        <w:rPr>
          <w:rFonts w:ascii="Arial" w:eastAsia="宋体" w:hAnsi="Arial" w:cs="Arial"/>
        </w:rPr>
        <w:t>。</w:t>
      </w:r>
    </w:p>
    <w:p w:rsidR="00374A76" w:rsidRPr="00F31118" w:rsidRDefault="000652A3" w:rsidP="003059EA">
      <w:pPr>
        <w:snapToGrid w:val="0"/>
        <w:spacing w:line="300" w:lineRule="auto"/>
        <w:rPr>
          <w:rFonts w:ascii="Arial" w:eastAsia="宋体" w:hAnsi="Arial" w:cs="Arial"/>
        </w:rPr>
      </w:pPr>
      <w:r w:rsidRPr="00F31118">
        <w:rPr>
          <w:rFonts w:ascii="Arial" w:eastAsia="宋体" w:hAnsi="Arial" w:cs="Arial"/>
        </w:rPr>
        <w:t>·</w:t>
      </w:r>
      <w:r w:rsidR="000B5962" w:rsidRPr="00F31118">
        <w:rPr>
          <w:rFonts w:ascii="Arial" w:eastAsia="宋体" w:hAnsi="Arial" w:cs="Arial"/>
        </w:rPr>
        <w:t>包含或需要</w:t>
      </w:r>
      <w:r w:rsidR="0036533A" w:rsidRPr="00F31118">
        <w:rPr>
          <w:rFonts w:ascii="Arial" w:eastAsia="宋体" w:hAnsi="Arial" w:cs="Arial"/>
        </w:rPr>
        <w:t>不只</w:t>
      </w:r>
      <w:r w:rsidR="000B5962" w:rsidRPr="00F31118">
        <w:rPr>
          <w:rFonts w:ascii="Arial" w:eastAsia="宋体" w:hAnsi="Arial" w:cs="Arial"/>
        </w:rPr>
        <w:t>一种</w:t>
      </w:r>
      <w:r w:rsidR="00921E51">
        <w:rPr>
          <w:rFonts w:ascii="Arial" w:eastAsia="宋体" w:hAnsi="Arial" w:cs="Arial"/>
        </w:rPr>
        <w:t>被分析物特效试剂</w:t>
      </w:r>
      <w:r w:rsidR="000B5962" w:rsidRPr="00F31118">
        <w:rPr>
          <w:rFonts w:ascii="Arial" w:eastAsia="宋体" w:hAnsi="Arial" w:cs="Arial"/>
        </w:rPr>
        <w:t>（即</w:t>
      </w:r>
      <w:r w:rsidR="007B1B48" w:rsidRPr="00F31118">
        <w:rPr>
          <w:rFonts w:ascii="Arial" w:eastAsia="宋体" w:hAnsi="Arial" w:cs="Arial"/>
        </w:rPr>
        <w:t>该产品中包含了</w:t>
      </w:r>
      <w:r w:rsidR="00F73B24" w:rsidRPr="00F31118">
        <w:rPr>
          <w:rFonts w:ascii="Arial" w:eastAsia="宋体" w:hAnsi="Arial" w:cs="Arial"/>
        </w:rPr>
        <w:t>进行某种特</w:t>
      </w:r>
      <w:r w:rsidR="002256C2" w:rsidRPr="00F31118">
        <w:rPr>
          <w:rFonts w:ascii="Arial" w:eastAsia="宋体" w:hAnsi="Arial" w:cs="Arial"/>
        </w:rPr>
        <w:t>定</w:t>
      </w:r>
      <w:r w:rsidR="00F73B24" w:rsidRPr="00F31118">
        <w:rPr>
          <w:rFonts w:ascii="Arial" w:eastAsia="宋体" w:hAnsi="Arial" w:cs="Arial"/>
        </w:rPr>
        <w:t>检验所需的几种或全部产品，如一种以上</w:t>
      </w:r>
      <w:r w:rsidR="00921E51">
        <w:rPr>
          <w:rFonts w:ascii="Arial" w:eastAsia="宋体" w:hAnsi="Arial" w:cs="Arial"/>
        </w:rPr>
        <w:t>被分析物特效试剂</w:t>
      </w:r>
      <w:r w:rsidR="00F73B24" w:rsidRPr="00F31118">
        <w:rPr>
          <w:rFonts w:ascii="Arial" w:eastAsia="宋体" w:hAnsi="Arial" w:cs="Arial"/>
        </w:rPr>
        <w:t>、通用试剂、质控品、</w:t>
      </w:r>
      <w:r w:rsidR="00921E51">
        <w:rPr>
          <w:rFonts w:ascii="Arial" w:eastAsia="宋体" w:hAnsi="Arial" w:cs="Arial"/>
        </w:rPr>
        <w:t>器械</w:t>
      </w:r>
      <w:r w:rsidR="00F73B24" w:rsidRPr="00F31118">
        <w:rPr>
          <w:rFonts w:ascii="Arial" w:eastAsia="宋体" w:hAnsi="Arial" w:cs="Arial"/>
        </w:rPr>
        <w:t>、软件等</w:t>
      </w:r>
      <w:r w:rsidR="000B5962" w:rsidRPr="00F31118">
        <w:rPr>
          <w:rFonts w:ascii="Arial" w:eastAsia="宋体" w:hAnsi="Arial" w:cs="Arial"/>
        </w:rPr>
        <w:t>）和</w:t>
      </w:r>
      <w:r w:rsidR="000B5962" w:rsidRPr="00F31118">
        <w:rPr>
          <w:rFonts w:ascii="Arial" w:eastAsia="宋体" w:hAnsi="Arial" w:cs="Arial"/>
        </w:rPr>
        <w:t>/</w:t>
      </w:r>
      <w:r w:rsidR="000B5962" w:rsidRPr="00F31118">
        <w:rPr>
          <w:rFonts w:ascii="Arial" w:eastAsia="宋体" w:hAnsi="Arial" w:cs="Arial"/>
        </w:rPr>
        <w:t>或有使用说明的产品。</w:t>
      </w:r>
      <w:bookmarkStart w:id="28" w:name="OLE_LINK15"/>
      <w:bookmarkStart w:id="29" w:name="OLE_LINK16"/>
      <w:r w:rsidR="00B65DDB" w:rsidRPr="00F31118">
        <w:rPr>
          <w:rFonts w:ascii="Arial" w:eastAsia="宋体" w:hAnsi="Arial" w:cs="Arial"/>
        </w:rPr>
        <w:t>食品药品监督管理局不将此类产品视为</w:t>
      </w:r>
      <w:r w:rsidR="00921E51">
        <w:rPr>
          <w:rFonts w:ascii="Arial" w:eastAsia="宋体" w:hAnsi="Arial" w:cs="Arial"/>
        </w:rPr>
        <w:t>被分析物特效试剂</w:t>
      </w:r>
      <w:r w:rsidR="00B65DDB" w:rsidRPr="00F31118">
        <w:rPr>
          <w:rFonts w:ascii="Arial" w:eastAsia="宋体" w:hAnsi="Arial" w:cs="Arial"/>
        </w:rPr>
        <w:t>，但</w:t>
      </w:r>
      <w:r w:rsidR="00B533D1" w:rsidRPr="00F31118">
        <w:rPr>
          <w:rFonts w:ascii="Arial" w:eastAsia="宋体" w:hAnsi="Arial" w:cs="Arial"/>
        </w:rPr>
        <w:t>某种</w:t>
      </w:r>
      <w:r w:rsidR="00B65DDB" w:rsidRPr="00F31118">
        <w:rPr>
          <w:rFonts w:ascii="Arial" w:eastAsia="宋体" w:hAnsi="Arial" w:cs="Arial"/>
        </w:rPr>
        <w:t>体外诊断</w:t>
      </w:r>
      <w:r w:rsidR="000F3824">
        <w:rPr>
          <w:rFonts w:ascii="Arial" w:eastAsia="宋体" w:hAnsi="Arial" w:cs="Arial"/>
        </w:rPr>
        <w:t>器械</w:t>
      </w:r>
      <w:r w:rsidR="00B65DDB" w:rsidRPr="00F31118">
        <w:rPr>
          <w:rFonts w:ascii="Arial" w:eastAsia="宋体" w:hAnsi="Arial" w:cs="Arial"/>
        </w:rPr>
        <w:t>或体外诊断</w:t>
      </w:r>
      <w:r w:rsidR="000F3824">
        <w:rPr>
          <w:rFonts w:ascii="Arial" w:eastAsia="宋体" w:hAnsi="Arial" w:cs="Arial"/>
        </w:rPr>
        <w:t>器械</w:t>
      </w:r>
      <w:r w:rsidR="00B65DDB" w:rsidRPr="00F31118">
        <w:rPr>
          <w:rFonts w:ascii="Arial" w:eastAsia="宋体" w:hAnsi="Arial" w:cs="Arial"/>
        </w:rPr>
        <w:t>的</w:t>
      </w:r>
      <w:r w:rsidR="00B533D1" w:rsidRPr="00F31118">
        <w:rPr>
          <w:rFonts w:ascii="Arial" w:eastAsia="宋体" w:hAnsi="Arial" w:cs="Arial"/>
        </w:rPr>
        <w:t>某种</w:t>
      </w:r>
      <w:r w:rsidR="00B65DDB" w:rsidRPr="00F31118">
        <w:rPr>
          <w:rFonts w:ascii="Arial" w:eastAsia="宋体" w:hAnsi="Arial" w:cs="Arial"/>
        </w:rPr>
        <w:t>成分不在</w:t>
      </w:r>
      <w:r w:rsidR="00921E51">
        <w:rPr>
          <w:rFonts w:ascii="Arial" w:eastAsia="宋体" w:hAnsi="Arial" w:cs="Arial"/>
        </w:rPr>
        <w:t>被分析物特效试剂</w:t>
      </w:r>
      <w:r w:rsidR="00B65DDB" w:rsidRPr="00F31118">
        <w:rPr>
          <w:rFonts w:ascii="Arial" w:eastAsia="宋体" w:hAnsi="Arial" w:cs="Arial"/>
        </w:rPr>
        <w:t>规则的限制范围内。</w:t>
      </w:r>
    </w:p>
    <w:bookmarkEnd w:id="28"/>
    <w:bookmarkEnd w:id="29"/>
    <w:p w:rsidR="00374A76" w:rsidRPr="00F31118" w:rsidRDefault="00B533D1" w:rsidP="003059EA">
      <w:pPr>
        <w:snapToGrid w:val="0"/>
        <w:spacing w:line="300" w:lineRule="auto"/>
        <w:rPr>
          <w:rFonts w:ascii="Arial" w:eastAsia="宋体" w:hAnsi="Arial" w:cs="Arial"/>
        </w:rPr>
      </w:pPr>
      <w:r w:rsidRPr="00F31118">
        <w:rPr>
          <w:rFonts w:ascii="Arial" w:eastAsia="宋体" w:hAnsi="Arial" w:cs="Arial"/>
        </w:rPr>
        <w:t>·</w:t>
      </w:r>
      <w:r w:rsidRPr="00F31118">
        <w:rPr>
          <w:rFonts w:ascii="Arial" w:eastAsia="宋体" w:hAnsi="Arial" w:cs="Arial"/>
        </w:rPr>
        <w:t>要求在某种具体测定或某种指定仪器上使用</w:t>
      </w:r>
      <w:r w:rsidR="00BC3354" w:rsidRPr="00F31118">
        <w:rPr>
          <w:rFonts w:ascii="Arial" w:eastAsia="宋体" w:hAnsi="Arial" w:cs="Arial"/>
        </w:rPr>
        <w:t>而设计</w:t>
      </w:r>
      <w:r w:rsidRPr="00F31118">
        <w:rPr>
          <w:rFonts w:ascii="Arial" w:eastAsia="宋体" w:hAnsi="Arial" w:cs="Arial"/>
        </w:rPr>
        <w:t>的试剂（如</w:t>
      </w:r>
      <w:r w:rsidR="00BC3354" w:rsidRPr="00F31118">
        <w:rPr>
          <w:rFonts w:ascii="Arial" w:eastAsia="宋体" w:hAnsi="Arial" w:cs="Arial"/>
        </w:rPr>
        <w:t>排列在微球上</w:t>
      </w:r>
      <w:r w:rsidRPr="00F31118">
        <w:rPr>
          <w:rFonts w:ascii="Arial" w:eastAsia="宋体" w:hAnsi="Arial" w:cs="Arial"/>
        </w:rPr>
        <w:t>）。</w:t>
      </w:r>
      <w:r w:rsidR="0006297D" w:rsidRPr="00F31118">
        <w:rPr>
          <w:rFonts w:ascii="Arial" w:eastAsia="宋体" w:hAnsi="Arial" w:cs="Arial"/>
        </w:rPr>
        <w:t>这些具体试剂拟用于具体仪器，因此，</w:t>
      </w:r>
      <w:r w:rsidR="00E15697" w:rsidRPr="00F31118">
        <w:rPr>
          <w:rFonts w:ascii="Arial" w:eastAsia="宋体" w:hAnsi="Arial" w:cs="Arial"/>
        </w:rPr>
        <w:t>对同时使用的试剂和指定仪器的要求</w:t>
      </w:r>
      <w:r w:rsidR="0006297D" w:rsidRPr="00F31118">
        <w:rPr>
          <w:rFonts w:ascii="Arial" w:eastAsia="宋体" w:hAnsi="Arial" w:cs="Arial"/>
        </w:rPr>
        <w:t>就</w:t>
      </w:r>
      <w:r w:rsidR="00E15697" w:rsidRPr="00F31118">
        <w:rPr>
          <w:rFonts w:ascii="Arial" w:eastAsia="宋体" w:hAnsi="Arial" w:cs="Arial"/>
        </w:rPr>
        <w:t>构成了性能</w:t>
      </w:r>
      <w:r w:rsidR="00CC5032" w:rsidRPr="00F31118">
        <w:rPr>
          <w:rFonts w:ascii="Arial" w:eastAsia="宋体" w:hAnsi="Arial" w:cs="Arial"/>
        </w:rPr>
        <w:t>声明</w:t>
      </w:r>
      <w:r w:rsidR="00FC5F9C" w:rsidRPr="00F31118">
        <w:rPr>
          <w:rFonts w:ascii="Arial" w:eastAsia="宋体" w:hAnsi="Arial" w:cs="Arial"/>
        </w:rPr>
        <w:t>（即同时使用时它们将会适当发挥作用）</w:t>
      </w:r>
      <w:r w:rsidR="0006297D" w:rsidRPr="00F31118">
        <w:rPr>
          <w:rFonts w:ascii="Arial" w:eastAsia="宋体" w:hAnsi="Arial" w:cs="Arial"/>
        </w:rPr>
        <w:t>。食品药品监督管理局不将此类产品视为</w:t>
      </w:r>
      <w:r w:rsidR="00921E51">
        <w:rPr>
          <w:rFonts w:ascii="Arial" w:eastAsia="宋体" w:hAnsi="Arial" w:cs="Arial"/>
        </w:rPr>
        <w:t>被分析物特效试剂</w:t>
      </w:r>
      <w:r w:rsidR="0006297D" w:rsidRPr="00F31118">
        <w:rPr>
          <w:rFonts w:ascii="Arial" w:eastAsia="宋体" w:hAnsi="Arial" w:cs="Arial"/>
        </w:rPr>
        <w:t>，但某种体外诊断</w:t>
      </w:r>
      <w:r w:rsidR="000F3824">
        <w:rPr>
          <w:rFonts w:ascii="Arial" w:eastAsia="宋体" w:hAnsi="Arial" w:cs="Arial"/>
        </w:rPr>
        <w:t>器械</w:t>
      </w:r>
      <w:r w:rsidR="0006297D" w:rsidRPr="00F31118">
        <w:rPr>
          <w:rFonts w:ascii="Arial" w:eastAsia="宋体" w:hAnsi="Arial" w:cs="Arial"/>
        </w:rPr>
        <w:t>或体外诊断</w:t>
      </w:r>
      <w:r w:rsidR="000F3824">
        <w:rPr>
          <w:rFonts w:ascii="Arial" w:eastAsia="宋体" w:hAnsi="Arial" w:cs="Arial"/>
        </w:rPr>
        <w:t>器械</w:t>
      </w:r>
      <w:r w:rsidR="0006297D" w:rsidRPr="00F31118">
        <w:rPr>
          <w:rFonts w:ascii="Arial" w:eastAsia="宋体" w:hAnsi="Arial" w:cs="Arial"/>
        </w:rPr>
        <w:t>的某种成分不在</w:t>
      </w:r>
      <w:r w:rsidR="00921E51">
        <w:rPr>
          <w:rFonts w:ascii="Arial" w:eastAsia="宋体" w:hAnsi="Arial" w:cs="Arial"/>
        </w:rPr>
        <w:t>被分析物特效试剂</w:t>
      </w:r>
      <w:r w:rsidR="0006297D" w:rsidRPr="00F31118">
        <w:rPr>
          <w:rFonts w:ascii="Arial" w:eastAsia="宋体" w:hAnsi="Arial" w:cs="Arial"/>
        </w:rPr>
        <w:t>规则的限制范围内。</w:t>
      </w:r>
    </w:p>
    <w:p w:rsidR="00FB0BAB" w:rsidRPr="00F31118" w:rsidRDefault="00FB0BAB" w:rsidP="003059EA">
      <w:pPr>
        <w:snapToGrid w:val="0"/>
        <w:spacing w:line="300" w:lineRule="auto"/>
        <w:rPr>
          <w:rFonts w:ascii="Arial" w:eastAsia="宋体" w:hAnsi="Arial" w:cs="Arial"/>
        </w:rPr>
      </w:pPr>
    </w:p>
    <w:p w:rsidR="00995D0E" w:rsidRDefault="00995D0E" w:rsidP="003059EA">
      <w:pPr>
        <w:snapToGrid w:val="0"/>
        <w:spacing w:line="300" w:lineRule="auto"/>
        <w:rPr>
          <w:rFonts w:ascii="Arial" w:eastAsia="宋体" w:hAnsi="Arial" w:cs="Arial"/>
        </w:rPr>
      </w:pPr>
    </w:p>
    <w:p w:rsidR="00591D78" w:rsidRDefault="00591D78" w:rsidP="003059EA">
      <w:pPr>
        <w:snapToGrid w:val="0"/>
        <w:spacing w:line="300" w:lineRule="auto"/>
        <w:rPr>
          <w:rFonts w:ascii="Arial" w:eastAsia="宋体" w:hAnsi="Arial" w:cs="Arial"/>
        </w:rPr>
      </w:pPr>
    </w:p>
    <w:p w:rsidR="00591D78" w:rsidRDefault="00591D78" w:rsidP="003059EA">
      <w:pPr>
        <w:snapToGrid w:val="0"/>
        <w:spacing w:line="300" w:lineRule="auto"/>
        <w:rPr>
          <w:rFonts w:ascii="Arial" w:eastAsia="宋体" w:hAnsi="Arial" w:cs="Arial"/>
        </w:rPr>
      </w:pPr>
    </w:p>
    <w:p w:rsidR="00591D78" w:rsidRDefault="00591D78" w:rsidP="003059EA">
      <w:pPr>
        <w:snapToGrid w:val="0"/>
        <w:spacing w:line="300" w:lineRule="auto"/>
        <w:rPr>
          <w:rFonts w:ascii="Arial" w:eastAsia="宋体" w:hAnsi="Arial" w:cs="Arial"/>
        </w:rPr>
      </w:pPr>
    </w:p>
    <w:p w:rsidR="00591D78" w:rsidRDefault="00591D78" w:rsidP="003059EA">
      <w:pPr>
        <w:snapToGrid w:val="0"/>
        <w:spacing w:line="300" w:lineRule="auto"/>
        <w:rPr>
          <w:rFonts w:ascii="Arial" w:eastAsia="宋体" w:hAnsi="Arial" w:cs="Arial"/>
        </w:rPr>
      </w:pPr>
    </w:p>
    <w:p w:rsidR="00591D78" w:rsidRDefault="00591D78" w:rsidP="003059EA">
      <w:pPr>
        <w:snapToGrid w:val="0"/>
        <w:spacing w:line="300" w:lineRule="auto"/>
        <w:rPr>
          <w:rFonts w:ascii="Arial" w:eastAsia="宋体" w:hAnsi="Arial" w:cs="Arial"/>
        </w:rPr>
      </w:pPr>
    </w:p>
    <w:p w:rsidR="00591D78" w:rsidRDefault="00591D78" w:rsidP="003059EA">
      <w:pPr>
        <w:snapToGrid w:val="0"/>
        <w:spacing w:line="300" w:lineRule="auto"/>
        <w:rPr>
          <w:rFonts w:ascii="Arial" w:eastAsia="宋体" w:hAnsi="Arial" w:cs="Arial"/>
        </w:rPr>
      </w:pPr>
    </w:p>
    <w:p w:rsidR="00591D78" w:rsidRDefault="00591D78" w:rsidP="003059EA">
      <w:pPr>
        <w:snapToGrid w:val="0"/>
        <w:spacing w:line="300" w:lineRule="auto"/>
        <w:rPr>
          <w:rFonts w:ascii="Arial" w:eastAsia="宋体" w:hAnsi="Arial" w:cs="Arial"/>
        </w:rPr>
      </w:pPr>
    </w:p>
    <w:p w:rsidR="00591D78" w:rsidRPr="00F31118" w:rsidRDefault="00591D78" w:rsidP="00591D78">
      <w:pPr>
        <w:snapToGrid w:val="0"/>
        <w:spacing w:line="300" w:lineRule="auto"/>
        <w:rPr>
          <w:rFonts w:ascii="Arial" w:eastAsia="宋体" w:hAnsi="Arial" w:cs="Arial"/>
        </w:rPr>
      </w:pPr>
      <w:r>
        <w:rPr>
          <w:rFonts w:ascii="Arial" w:eastAsia="宋体" w:hAnsi="Arial" w:cs="Arial" w:hint="eastAsia"/>
          <w:noProof/>
        </w:rPr>
        <mc:AlternateContent>
          <mc:Choice Requires="wps">
            <w:drawing>
              <wp:anchor distT="0" distB="0" distL="114300" distR="114300" simplePos="0" relativeHeight="251662336" behindDoc="0" locked="0" layoutInCell="1" allowOverlap="1" wp14:anchorId="7BEC5D20" wp14:editId="35BD9521">
                <wp:simplePos x="0" y="0"/>
                <wp:positionH relativeFrom="column">
                  <wp:posOffset>17205</wp:posOffset>
                </wp:positionH>
                <wp:positionV relativeFrom="paragraph">
                  <wp:posOffset>117332</wp:posOffset>
                </wp:positionV>
                <wp:extent cx="1917291" cy="0"/>
                <wp:effectExtent l="0" t="0" r="26035" b="19050"/>
                <wp:wrapNone/>
                <wp:docPr id="5" name="直接连接符 5"/>
                <wp:cNvGraphicFramePr/>
                <a:graphic xmlns:a="http://schemas.openxmlformats.org/drawingml/2006/main">
                  <a:graphicData uri="http://schemas.microsoft.com/office/word/2010/wordprocessingShape">
                    <wps:wsp>
                      <wps:cNvCnPr/>
                      <wps:spPr>
                        <a:xfrm>
                          <a:off x="0" y="0"/>
                          <a:ext cx="19172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40154B4"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5pt,9.25pt" to="15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" strokecolor="black [3213]"/>
            </w:pict>
          </mc:Fallback>
        </mc:AlternateContent>
      </w:r>
    </w:p>
    <w:p w:rsidR="005964F0" w:rsidRPr="009D4092" w:rsidRDefault="00033B13" w:rsidP="003059EA">
      <w:pPr>
        <w:snapToGrid w:val="0"/>
        <w:spacing w:line="300" w:lineRule="auto"/>
        <w:rPr>
          <w:rFonts w:ascii="Arial" w:eastAsia="宋体" w:hAnsi="Arial" w:cs="Arial"/>
          <w:sz w:val="18"/>
          <w:szCs w:val="18"/>
        </w:rPr>
      </w:pPr>
      <w:r w:rsidRPr="009D4092">
        <w:rPr>
          <w:rFonts w:ascii="Arial" w:eastAsia="宋体" w:hAnsi="Arial" w:cs="Arial"/>
          <w:sz w:val="18"/>
          <w:szCs w:val="18"/>
          <w:vertAlign w:val="superscript"/>
        </w:rPr>
        <w:t>2</w:t>
      </w:r>
      <w:r w:rsidRPr="009D4092">
        <w:rPr>
          <w:rFonts w:ascii="Arial" w:eastAsia="宋体" w:hAnsi="Arial" w:cs="Arial"/>
          <w:sz w:val="18"/>
          <w:szCs w:val="18"/>
        </w:rPr>
        <w:t>从本</w:t>
      </w:r>
      <w:r w:rsidR="000F3824">
        <w:rPr>
          <w:rFonts w:ascii="Arial" w:eastAsia="宋体" w:hAnsi="Arial" w:cs="Arial"/>
          <w:sz w:val="18"/>
          <w:szCs w:val="18"/>
        </w:rPr>
        <w:t>指导性文件</w:t>
      </w:r>
      <w:r w:rsidRPr="009D4092">
        <w:rPr>
          <w:rFonts w:ascii="Arial" w:eastAsia="宋体" w:hAnsi="Arial" w:cs="Arial"/>
          <w:sz w:val="18"/>
          <w:szCs w:val="18"/>
        </w:rPr>
        <w:t>的编撰目的来考虑，将探针定义为拟用来分离、结合或识别某个具体靶成分或配体的</w:t>
      </w:r>
      <w:r w:rsidR="00153CE7" w:rsidRPr="009D4092">
        <w:rPr>
          <w:rFonts w:ascii="Arial" w:eastAsia="宋体" w:hAnsi="Arial" w:cs="Arial"/>
          <w:sz w:val="18"/>
          <w:szCs w:val="18"/>
        </w:rPr>
        <w:t>一个分子。</w:t>
      </w:r>
    </w:p>
    <w:p w:rsidR="00591D78" w:rsidRDefault="00591D78">
      <w:pPr>
        <w:widowControl/>
        <w:jc w:val="left"/>
        <w:rPr>
          <w:rFonts w:ascii="Arial" w:eastAsia="宋体" w:hAnsi="Arial" w:cs="Arial"/>
        </w:rPr>
      </w:pPr>
      <w:r>
        <w:rPr>
          <w:rFonts w:ascii="Arial" w:eastAsia="宋体" w:hAnsi="Arial" w:cs="Arial"/>
        </w:rPr>
        <w:br w:type="page"/>
      </w:r>
    </w:p>
    <w:p w:rsidR="00FB0BAB" w:rsidRPr="00F31118" w:rsidRDefault="00430D33" w:rsidP="003059EA">
      <w:pPr>
        <w:snapToGrid w:val="0"/>
        <w:spacing w:line="300" w:lineRule="auto"/>
        <w:rPr>
          <w:rFonts w:ascii="Arial" w:eastAsia="宋体" w:hAnsi="Arial" w:cs="Arial"/>
        </w:rPr>
      </w:pPr>
      <w:r w:rsidRPr="00F31118">
        <w:rPr>
          <w:rFonts w:ascii="Arial" w:eastAsia="宋体" w:hAnsi="Arial" w:cs="Arial"/>
        </w:rPr>
        <w:lastRenderedPageBreak/>
        <w:t>当制造商为了开发一种检验</w:t>
      </w:r>
      <w:r w:rsidR="000565E9" w:rsidRPr="00F31118">
        <w:rPr>
          <w:rFonts w:ascii="Arial" w:eastAsia="宋体" w:hAnsi="Arial" w:cs="Arial"/>
        </w:rPr>
        <w:t>产品</w:t>
      </w:r>
      <w:r w:rsidRPr="00F31118">
        <w:rPr>
          <w:rFonts w:ascii="Arial" w:eastAsia="宋体" w:hAnsi="Arial" w:cs="Arial"/>
        </w:rPr>
        <w:t>而将几种成分组合在一起时（就像上面列出的实例），该产品就不再是一种</w:t>
      </w:r>
      <w:r w:rsidR="00921E51">
        <w:rPr>
          <w:rFonts w:ascii="Arial" w:eastAsia="宋体" w:hAnsi="Arial" w:cs="Arial"/>
        </w:rPr>
        <w:t>被分析物特效试剂</w:t>
      </w:r>
      <w:r w:rsidRPr="00F31118">
        <w:rPr>
          <w:rFonts w:ascii="Arial" w:eastAsia="宋体" w:hAnsi="Arial" w:cs="Arial"/>
        </w:rPr>
        <w:t>。</w:t>
      </w:r>
      <w:r w:rsidR="00A755FA" w:rsidRPr="00F31118">
        <w:rPr>
          <w:rFonts w:ascii="Arial" w:eastAsia="宋体" w:hAnsi="Arial" w:cs="Arial"/>
        </w:rPr>
        <w:t>实验室无法确认制造商将那些具体的</w:t>
      </w:r>
      <w:r w:rsidR="00921E51">
        <w:rPr>
          <w:rFonts w:ascii="Arial" w:eastAsia="宋体" w:hAnsi="Arial" w:cs="Arial"/>
        </w:rPr>
        <w:t>被分析物特效试剂</w:t>
      </w:r>
      <w:r w:rsidR="00C403A1" w:rsidRPr="00F31118">
        <w:rPr>
          <w:rFonts w:ascii="Arial" w:eastAsia="宋体" w:hAnsi="Arial" w:cs="Arial"/>
        </w:rPr>
        <w:t>和其它成分</w:t>
      </w:r>
      <w:r w:rsidR="00EF20FF" w:rsidRPr="00F31118">
        <w:rPr>
          <w:rFonts w:ascii="Arial" w:eastAsia="宋体" w:hAnsi="Arial" w:cs="Arial"/>
        </w:rPr>
        <w:t>组合在一起的方法对</w:t>
      </w:r>
      <w:r w:rsidR="009558E7" w:rsidRPr="00F31118">
        <w:rPr>
          <w:rFonts w:ascii="Arial" w:eastAsia="宋体" w:hAnsi="Arial" w:cs="Arial"/>
        </w:rPr>
        <w:t>符合</w:t>
      </w:r>
      <w:r w:rsidR="00EF20FF" w:rsidRPr="00F31118">
        <w:rPr>
          <w:rFonts w:ascii="Arial" w:eastAsia="宋体" w:hAnsi="Arial" w:cs="Arial"/>
        </w:rPr>
        <w:t>其内部检验</w:t>
      </w:r>
      <w:r w:rsidR="006B4040" w:rsidRPr="00F31118">
        <w:rPr>
          <w:rFonts w:ascii="Arial" w:eastAsia="宋体" w:hAnsi="Arial" w:cs="Arial"/>
        </w:rPr>
        <w:t>产品</w:t>
      </w:r>
      <w:r w:rsidR="00EF20FF" w:rsidRPr="00F31118">
        <w:rPr>
          <w:rFonts w:ascii="Arial" w:eastAsia="宋体" w:hAnsi="Arial" w:cs="Arial"/>
        </w:rPr>
        <w:t>的预期用途和技术规范</w:t>
      </w:r>
      <w:r w:rsidR="009558E7" w:rsidRPr="00F31118">
        <w:rPr>
          <w:rFonts w:ascii="Arial" w:eastAsia="宋体" w:hAnsi="Arial" w:cs="Arial"/>
        </w:rPr>
        <w:t>来说是适当的</w:t>
      </w:r>
      <w:r w:rsidR="00EF20FF" w:rsidRPr="00F31118">
        <w:rPr>
          <w:rFonts w:ascii="Arial" w:eastAsia="宋体" w:hAnsi="Arial" w:cs="Arial"/>
        </w:rPr>
        <w:t>。</w:t>
      </w:r>
      <w:r w:rsidR="009558E7" w:rsidRPr="00F31118">
        <w:rPr>
          <w:rFonts w:ascii="Arial" w:eastAsia="宋体" w:hAnsi="Arial" w:cs="Arial"/>
        </w:rPr>
        <w:t>然而，</w:t>
      </w:r>
      <w:r w:rsidR="00CC5032" w:rsidRPr="00F31118">
        <w:rPr>
          <w:rFonts w:ascii="Arial" w:eastAsia="宋体" w:hAnsi="Arial" w:cs="Arial"/>
        </w:rPr>
        <w:t>实验室本身并不排除</w:t>
      </w:r>
      <w:r w:rsidR="00921E51">
        <w:rPr>
          <w:rFonts w:ascii="Arial" w:eastAsia="宋体" w:hAnsi="Arial" w:cs="Arial"/>
        </w:rPr>
        <w:t>被分析物特效试剂</w:t>
      </w:r>
      <w:r w:rsidR="009558E7" w:rsidRPr="00F31118">
        <w:rPr>
          <w:rFonts w:ascii="Arial" w:eastAsia="宋体" w:hAnsi="Arial" w:cs="Arial"/>
        </w:rPr>
        <w:t>规则自身</w:t>
      </w:r>
      <w:r w:rsidR="00BD2BC3" w:rsidRPr="00F31118">
        <w:rPr>
          <w:rFonts w:ascii="Arial" w:eastAsia="宋体" w:hAnsi="Arial" w:cs="Arial"/>
        </w:rPr>
        <w:t>在开发内部检验</w:t>
      </w:r>
      <w:r w:rsidR="006B4040" w:rsidRPr="00F31118">
        <w:rPr>
          <w:rFonts w:ascii="Arial" w:eastAsia="宋体" w:hAnsi="Arial" w:cs="Arial"/>
        </w:rPr>
        <w:t>产品</w:t>
      </w:r>
      <w:r w:rsidR="00BD2BC3" w:rsidRPr="00F31118">
        <w:rPr>
          <w:rFonts w:ascii="Arial" w:eastAsia="宋体" w:hAnsi="Arial" w:cs="Arial"/>
        </w:rPr>
        <w:t>时选择</w:t>
      </w:r>
      <w:r w:rsidR="00CC5032" w:rsidRPr="00F31118">
        <w:rPr>
          <w:rFonts w:ascii="Arial" w:eastAsia="宋体" w:hAnsi="Arial" w:cs="Arial"/>
        </w:rPr>
        <w:t>和组合各自</w:t>
      </w:r>
      <w:r w:rsidR="00921E51">
        <w:rPr>
          <w:rFonts w:ascii="Arial" w:eastAsia="宋体" w:hAnsi="Arial" w:cs="Arial"/>
        </w:rPr>
        <w:t>被分析物特效试剂</w:t>
      </w:r>
      <w:r w:rsidR="00BD2BC3" w:rsidRPr="00F31118">
        <w:rPr>
          <w:rFonts w:ascii="Arial" w:eastAsia="宋体" w:hAnsi="Arial" w:cs="Arial"/>
        </w:rPr>
        <w:t>和其它</w:t>
      </w:r>
      <w:r w:rsidR="00CC5032" w:rsidRPr="00F31118">
        <w:rPr>
          <w:rFonts w:ascii="Arial" w:eastAsia="宋体" w:hAnsi="Arial" w:cs="Arial"/>
        </w:rPr>
        <w:t>组件</w:t>
      </w:r>
      <w:r w:rsidR="00BD2BC3" w:rsidRPr="00F31118">
        <w:rPr>
          <w:rFonts w:ascii="Arial" w:eastAsia="宋体" w:hAnsi="Arial" w:cs="Arial"/>
        </w:rPr>
        <w:t>。</w:t>
      </w:r>
    </w:p>
    <w:p w:rsidR="00FB0BAB" w:rsidRPr="00F31118" w:rsidRDefault="00FB0BAB" w:rsidP="003059EA">
      <w:pPr>
        <w:snapToGrid w:val="0"/>
        <w:spacing w:line="300" w:lineRule="auto"/>
        <w:rPr>
          <w:rFonts w:ascii="Arial" w:eastAsia="宋体" w:hAnsi="Arial" w:cs="Arial"/>
        </w:rPr>
      </w:pPr>
    </w:p>
    <w:p w:rsidR="00153CE7" w:rsidRPr="00F31118" w:rsidRDefault="00BD2BC3" w:rsidP="003059EA">
      <w:pPr>
        <w:snapToGrid w:val="0"/>
        <w:spacing w:line="300" w:lineRule="auto"/>
        <w:rPr>
          <w:rFonts w:ascii="Arial" w:eastAsia="宋体" w:hAnsi="Arial" w:cs="Arial"/>
        </w:rPr>
      </w:pPr>
      <w:r w:rsidRPr="00F31118">
        <w:rPr>
          <w:rFonts w:ascii="Arial" w:eastAsia="宋体" w:hAnsi="Arial" w:cs="Arial"/>
        </w:rPr>
        <w:t>不符合</w:t>
      </w:r>
      <w:r w:rsidR="00921E51">
        <w:rPr>
          <w:rFonts w:ascii="Arial" w:eastAsia="宋体" w:hAnsi="Arial" w:cs="Arial"/>
        </w:rPr>
        <w:t>被分析物特效试剂</w:t>
      </w:r>
      <w:r w:rsidRPr="00F31118">
        <w:rPr>
          <w:rFonts w:ascii="Arial" w:eastAsia="宋体" w:hAnsi="Arial" w:cs="Arial"/>
        </w:rPr>
        <w:t>定义的其它类型医疗</w:t>
      </w:r>
      <w:r w:rsidR="000F3824">
        <w:rPr>
          <w:rFonts w:ascii="Arial" w:eastAsia="宋体" w:hAnsi="Arial" w:cs="Arial"/>
        </w:rPr>
        <w:t>器械</w:t>
      </w:r>
      <w:r w:rsidRPr="00F31118">
        <w:rPr>
          <w:rFonts w:ascii="Arial" w:eastAsia="宋体" w:hAnsi="Arial" w:cs="Arial"/>
        </w:rPr>
        <w:t>包括：</w:t>
      </w:r>
    </w:p>
    <w:p w:rsidR="00BD2BC3" w:rsidRPr="00F31118" w:rsidRDefault="00BD2BC3" w:rsidP="003059EA">
      <w:pPr>
        <w:snapToGrid w:val="0"/>
        <w:spacing w:line="300" w:lineRule="auto"/>
        <w:rPr>
          <w:rFonts w:ascii="Arial" w:eastAsia="宋体" w:hAnsi="Arial" w:cs="Arial"/>
        </w:rPr>
      </w:pPr>
    </w:p>
    <w:p w:rsidR="00B42E70" w:rsidRPr="00F31118" w:rsidRDefault="00B42E70" w:rsidP="00981738">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质</w:t>
      </w:r>
      <w:proofErr w:type="gramStart"/>
      <w:r w:rsidRPr="00F31118">
        <w:rPr>
          <w:rFonts w:ascii="Arial" w:eastAsia="宋体" w:hAnsi="Arial" w:cs="Arial"/>
        </w:rPr>
        <w:t>控材料</w:t>
      </w:r>
      <w:proofErr w:type="gramEnd"/>
      <w:r w:rsidRPr="00F31118">
        <w:rPr>
          <w:rFonts w:ascii="Arial" w:eastAsia="宋体" w:hAnsi="Arial" w:cs="Arial"/>
        </w:rPr>
        <w:t>或校准品。</w:t>
      </w:r>
    </w:p>
    <w:p w:rsidR="00B42E70" w:rsidRPr="00F31118" w:rsidRDefault="00E11849" w:rsidP="00981738">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拥有具体性能</w:t>
      </w:r>
      <w:r w:rsidR="00CC5032" w:rsidRPr="00F31118">
        <w:rPr>
          <w:rFonts w:ascii="Arial" w:eastAsia="宋体" w:hAnsi="Arial" w:cs="Arial"/>
        </w:rPr>
        <w:t>声明</w:t>
      </w:r>
      <w:r w:rsidR="00D61877" w:rsidRPr="00F31118">
        <w:rPr>
          <w:rFonts w:ascii="Arial" w:eastAsia="宋体" w:hAnsi="Arial" w:cs="Arial"/>
        </w:rPr>
        <w:t>、</w:t>
      </w:r>
      <w:r w:rsidRPr="00F31118">
        <w:rPr>
          <w:rFonts w:ascii="Arial" w:eastAsia="宋体" w:hAnsi="Arial" w:cs="Arial"/>
        </w:rPr>
        <w:t>操作指南或使用说明的产品。</w:t>
      </w:r>
    </w:p>
    <w:p w:rsidR="00E11849" w:rsidRPr="00F31118" w:rsidRDefault="00D61877" w:rsidP="00981738">
      <w:pPr>
        <w:pStyle w:val="a8"/>
        <w:numPr>
          <w:ilvl w:val="0"/>
          <w:numId w:val="2"/>
        </w:numPr>
        <w:snapToGrid w:val="0"/>
        <w:spacing w:line="300" w:lineRule="auto"/>
        <w:ind w:left="826" w:firstLineChars="0" w:hanging="364"/>
        <w:rPr>
          <w:rFonts w:ascii="Arial" w:eastAsia="宋体" w:hAnsi="Arial" w:cs="Arial"/>
        </w:rPr>
      </w:pPr>
      <w:proofErr w:type="gramStart"/>
      <w:r w:rsidRPr="00F31118">
        <w:rPr>
          <w:rFonts w:ascii="Arial" w:eastAsia="宋体" w:hAnsi="Arial" w:cs="Arial"/>
        </w:rPr>
        <w:t>随结果</w:t>
      </w:r>
      <w:proofErr w:type="gramEnd"/>
      <w:r w:rsidRPr="00F31118">
        <w:rPr>
          <w:rFonts w:ascii="Arial" w:eastAsia="宋体" w:hAnsi="Arial" w:cs="Arial"/>
        </w:rPr>
        <w:t>分析软件提供的试剂。</w:t>
      </w:r>
    </w:p>
    <w:p w:rsidR="00D61877" w:rsidRPr="00F31118" w:rsidRDefault="00D61877" w:rsidP="00981738">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测定结果分析软件</w:t>
      </w:r>
    </w:p>
    <w:p w:rsidR="00D61877" w:rsidRPr="00F31118" w:rsidRDefault="00D61877" w:rsidP="00981738">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微阵列</w:t>
      </w:r>
    </w:p>
    <w:p w:rsidR="00B42E70" w:rsidRPr="00F31118" w:rsidRDefault="00B42E70" w:rsidP="003059EA">
      <w:pPr>
        <w:snapToGrid w:val="0"/>
        <w:spacing w:line="300" w:lineRule="auto"/>
        <w:rPr>
          <w:rFonts w:ascii="Arial" w:eastAsia="宋体" w:hAnsi="Arial" w:cs="Arial"/>
        </w:rPr>
      </w:pPr>
    </w:p>
    <w:p w:rsidR="00B42E70" w:rsidRPr="00F31118" w:rsidRDefault="00215CFD" w:rsidP="003059EA">
      <w:pPr>
        <w:snapToGrid w:val="0"/>
        <w:spacing w:line="300" w:lineRule="auto"/>
        <w:rPr>
          <w:rFonts w:ascii="Arial" w:eastAsia="宋体" w:hAnsi="Arial" w:cs="Arial"/>
        </w:rPr>
      </w:pPr>
      <w:r w:rsidRPr="00F31118">
        <w:rPr>
          <w:rFonts w:ascii="Arial" w:eastAsia="宋体" w:hAnsi="Arial" w:cs="Arial"/>
        </w:rPr>
        <w:t>想以类似于上</w:t>
      </w:r>
      <w:r w:rsidR="006B4040" w:rsidRPr="00F31118">
        <w:rPr>
          <w:rFonts w:ascii="Arial" w:eastAsia="宋体" w:hAnsi="Arial" w:cs="Arial"/>
        </w:rPr>
        <w:t>述具体产品</w:t>
      </w:r>
      <w:r w:rsidRPr="00F31118">
        <w:rPr>
          <w:rFonts w:ascii="Arial" w:eastAsia="宋体" w:hAnsi="Arial" w:cs="Arial"/>
        </w:rPr>
        <w:t>的方式销售某种产品的制造商在销售前应与食品药品监督管理局就其产品分类进行讨论。</w:t>
      </w:r>
    </w:p>
    <w:p w:rsidR="00B42E70" w:rsidRPr="00F31118" w:rsidRDefault="00B42E70" w:rsidP="003059EA">
      <w:pPr>
        <w:snapToGrid w:val="0"/>
        <w:spacing w:line="300" w:lineRule="auto"/>
        <w:rPr>
          <w:rFonts w:ascii="Arial" w:eastAsia="宋体" w:hAnsi="Arial" w:cs="Arial"/>
        </w:rPr>
      </w:pPr>
    </w:p>
    <w:p w:rsidR="00BD2BC3" w:rsidRPr="00F31118" w:rsidRDefault="00E62729" w:rsidP="003059EA">
      <w:pPr>
        <w:snapToGrid w:val="0"/>
        <w:spacing w:line="300" w:lineRule="auto"/>
        <w:rPr>
          <w:rFonts w:ascii="Arial" w:eastAsia="宋体" w:hAnsi="Arial" w:cs="Arial"/>
          <w:b/>
        </w:rPr>
      </w:pPr>
      <w:r w:rsidRPr="00F31118">
        <w:rPr>
          <w:rFonts w:ascii="Arial" w:eastAsia="宋体" w:hAnsi="Arial" w:cs="Arial"/>
          <w:b/>
        </w:rPr>
        <w:t xml:space="preserve">9. </w:t>
      </w:r>
      <w:r w:rsidR="001618FC" w:rsidRPr="00F31118">
        <w:rPr>
          <w:rFonts w:ascii="Arial" w:eastAsia="宋体" w:hAnsi="Arial" w:cs="Arial"/>
          <w:b/>
        </w:rPr>
        <w:t>通用试剂与</w:t>
      </w:r>
      <w:r w:rsidR="00921E51">
        <w:rPr>
          <w:rFonts w:ascii="Arial" w:eastAsia="宋体" w:hAnsi="Arial" w:cs="Arial"/>
          <w:b/>
        </w:rPr>
        <w:t>被分析物特效试剂</w:t>
      </w:r>
      <w:r w:rsidR="001618FC" w:rsidRPr="00F31118">
        <w:rPr>
          <w:rFonts w:ascii="Arial" w:eastAsia="宋体" w:hAnsi="Arial" w:cs="Arial"/>
          <w:b/>
        </w:rPr>
        <w:t>相比有什么特点？</w:t>
      </w:r>
    </w:p>
    <w:p w:rsidR="001618FC" w:rsidRPr="00F31118" w:rsidRDefault="001618FC" w:rsidP="003059EA">
      <w:pPr>
        <w:snapToGrid w:val="0"/>
        <w:spacing w:line="300" w:lineRule="auto"/>
        <w:rPr>
          <w:rFonts w:ascii="Arial" w:eastAsia="宋体" w:hAnsi="Arial" w:cs="Arial"/>
        </w:rPr>
      </w:pPr>
    </w:p>
    <w:p w:rsidR="001618FC" w:rsidRPr="00F31118" w:rsidRDefault="001618FC" w:rsidP="003059EA">
      <w:pPr>
        <w:snapToGrid w:val="0"/>
        <w:spacing w:line="300" w:lineRule="auto"/>
        <w:rPr>
          <w:rFonts w:ascii="Arial" w:eastAsia="宋体" w:hAnsi="Arial" w:cs="Arial"/>
        </w:rPr>
      </w:pPr>
      <w:r w:rsidRPr="00F31118">
        <w:rPr>
          <w:rFonts w:ascii="Arial" w:eastAsia="宋体" w:hAnsi="Arial" w:cs="Arial"/>
        </w:rPr>
        <w:t>通用试剂</w:t>
      </w:r>
      <w:r w:rsidR="00107C51" w:rsidRPr="00F31118">
        <w:rPr>
          <w:rFonts w:ascii="Arial" w:eastAsia="宋体" w:hAnsi="Arial" w:cs="Arial"/>
        </w:rPr>
        <w:t>（</w:t>
      </w:r>
      <w:r w:rsidR="00107C51" w:rsidRPr="00F31118">
        <w:rPr>
          <w:rFonts w:ascii="Arial" w:eastAsia="宋体" w:hAnsi="Arial" w:cs="Arial"/>
        </w:rPr>
        <w:t>GPR</w:t>
      </w:r>
      <w:r w:rsidR="00107C51" w:rsidRPr="00F31118">
        <w:rPr>
          <w:rFonts w:ascii="Arial" w:eastAsia="宋体" w:hAnsi="Arial" w:cs="Arial"/>
        </w:rPr>
        <w:t>）</w:t>
      </w:r>
      <w:r w:rsidRPr="00F31118">
        <w:rPr>
          <w:rFonts w:ascii="Arial" w:eastAsia="宋体" w:hAnsi="Arial" w:cs="Arial"/>
        </w:rPr>
        <w:t>是</w:t>
      </w:r>
      <w:r w:rsidR="00107C51" w:rsidRPr="00F31118">
        <w:rPr>
          <w:rFonts w:ascii="Arial" w:eastAsia="宋体" w:hAnsi="Arial" w:cs="Arial"/>
        </w:rPr>
        <w:t>“</w:t>
      </w:r>
      <w:r w:rsidRPr="00F31118">
        <w:rPr>
          <w:rFonts w:ascii="Arial" w:eastAsia="宋体" w:hAnsi="Arial" w:cs="Arial"/>
        </w:rPr>
        <w:t>具有一般实验室用途的化学试剂，</w:t>
      </w:r>
      <w:r w:rsidR="00F618F1" w:rsidRPr="00F31118">
        <w:rPr>
          <w:rFonts w:ascii="Arial" w:eastAsia="宋体" w:hAnsi="Arial" w:cs="Arial"/>
        </w:rPr>
        <w:t>可用来采集、制备和检测人体样品以实现诊断目的</w:t>
      </w:r>
      <w:r w:rsidR="008D22FC" w:rsidRPr="00F31118">
        <w:rPr>
          <w:rFonts w:ascii="Arial" w:eastAsia="宋体" w:hAnsi="Arial" w:cs="Arial"/>
        </w:rPr>
        <w:t>；</w:t>
      </w:r>
      <w:r w:rsidR="007C6898" w:rsidRPr="00F31118">
        <w:rPr>
          <w:rFonts w:ascii="Arial" w:eastAsia="宋体" w:hAnsi="Arial" w:cs="Arial"/>
        </w:rPr>
        <w:t>其上不标注</w:t>
      </w:r>
      <w:r w:rsidR="008D22FC" w:rsidRPr="00F31118">
        <w:rPr>
          <w:rFonts w:ascii="Arial" w:eastAsia="宋体" w:hAnsi="Arial" w:cs="Arial"/>
        </w:rPr>
        <w:t>用于某种具体诊断用途，</w:t>
      </w:r>
      <w:r w:rsidR="007C6898" w:rsidRPr="00F31118">
        <w:rPr>
          <w:rFonts w:ascii="Arial" w:eastAsia="宋体" w:hAnsi="Arial" w:cs="Arial"/>
        </w:rPr>
        <w:t>或</w:t>
      </w:r>
      <w:r w:rsidR="00107C51" w:rsidRPr="00F31118">
        <w:rPr>
          <w:rFonts w:ascii="Arial" w:eastAsia="宋体" w:hAnsi="Arial" w:cs="Arial"/>
        </w:rPr>
        <w:t>者相反标注其</w:t>
      </w:r>
      <w:r w:rsidR="00AD6F76" w:rsidRPr="00F31118">
        <w:rPr>
          <w:rFonts w:ascii="Arial" w:eastAsia="宋体" w:hAnsi="Arial" w:cs="Arial"/>
        </w:rPr>
        <w:t>不</w:t>
      </w:r>
      <w:r w:rsidR="008D22FC" w:rsidRPr="00F31118">
        <w:rPr>
          <w:rFonts w:ascii="Arial" w:eastAsia="宋体" w:hAnsi="Arial" w:cs="Arial"/>
        </w:rPr>
        <w:t>拟用于某种具体诊断用途</w:t>
      </w:r>
      <w:r w:rsidR="0019611B" w:rsidRPr="00F31118">
        <w:rPr>
          <w:rFonts w:ascii="Arial" w:eastAsia="宋体" w:hAnsi="Arial" w:cs="Arial"/>
        </w:rPr>
        <w:t>（</w:t>
      </w:r>
      <w:r w:rsidR="0019611B" w:rsidRPr="00F31118">
        <w:rPr>
          <w:rFonts w:ascii="Arial" w:eastAsia="宋体" w:hAnsi="Arial" w:cs="Arial"/>
        </w:rPr>
        <w:t>21 CFR 864.4010(a)</w:t>
      </w:r>
      <w:r w:rsidR="0019611B" w:rsidRPr="00F31118">
        <w:rPr>
          <w:rFonts w:ascii="Arial" w:eastAsia="宋体" w:hAnsi="Arial" w:cs="Arial"/>
        </w:rPr>
        <w:t>）</w:t>
      </w:r>
      <w:r w:rsidR="008D22FC" w:rsidRPr="00F31118">
        <w:rPr>
          <w:rFonts w:ascii="Arial" w:eastAsia="宋体" w:hAnsi="Arial" w:cs="Arial"/>
        </w:rPr>
        <w:t>。</w:t>
      </w:r>
      <w:r w:rsidR="00107C51" w:rsidRPr="00F31118">
        <w:rPr>
          <w:rFonts w:ascii="Arial" w:eastAsia="宋体" w:hAnsi="Arial" w:cs="Arial"/>
        </w:rPr>
        <w:t>”</w:t>
      </w:r>
      <w:r w:rsidR="00AD6F76" w:rsidRPr="00F31118">
        <w:rPr>
          <w:rFonts w:ascii="Arial" w:eastAsia="宋体" w:hAnsi="Arial" w:cs="Arial"/>
        </w:rPr>
        <w:t>与</w:t>
      </w:r>
      <w:r w:rsidR="00921E51">
        <w:rPr>
          <w:rFonts w:ascii="Arial" w:eastAsia="宋体" w:hAnsi="Arial" w:cs="Arial"/>
        </w:rPr>
        <w:t>被分析物特效试剂</w:t>
      </w:r>
      <w:r w:rsidR="00107C51" w:rsidRPr="00F31118">
        <w:rPr>
          <w:rFonts w:ascii="Arial" w:eastAsia="宋体" w:hAnsi="Arial" w:cs="Arial"/>
        </w:rPr>
        <w:t>一样，</w:t>
      </w:r>
      <w:r w:rsidR="0019611B" w:rsidRPr="00F31118">
        <w:rPr>
          <w:rFonts w:ascii="Arial" w:eastAsia="宋体" w:hAnsi="Arial" w:cs="Arial"/>
        </w:rPr>
        <w:t>通用试剂不标注用于某种具体临床或诊断用途。由于通用试剂不具备被测物特异性，它们应有可能由实验室或开发检验</w:t>
      </w:r>
      <w:r w:rsidR="00AD6F76" w:rsidRPr="00F31118">
        <w:rPr>
          <w:rFonts w:ascii="Arial" w:eastAsia="宋体" w:hAnsi="Arial" w:cs="Arial"/>
        </w:rPr>
        <w:t>产品</w:t>
      </w:r>
      <w:r w:rsidR="00FF4C14" w:rsidRPr="00F31118">
        <w:rPr>
          <w:rFonts w:ascii="Arial" w:eastAsia="宋体" w:hAnsi="Arial" w:cs="Arial"/>
        </w:rPr>
        <w:t>的体外诊断</w:t>
      </w:r>
      <w:r w:rsidR="000F3824">
        <w:rPr>
          <w:rFonts w:ascii="Arial" w:eastAsia="宋体" w:hAnsi="Arial" w:cs="Arial"/>
        </w:rPr>
        <w:t>器械</w:t>
      </w:r>
      <w:r w:rsidR="00FF4C14" w:rsidRPr="00F31118">
        <w:rPr>
          <w:rFonts w:ascii="Arial" w:eastAsia="宋体" w:hAnsi="Arial" w:cs="Arial"/>
        </w:rPr>
        <w:t>制造商决定与一种以上类型的</w:t>
      </w:r>
      <w:r w:rsidR="00921E51">
        <w:rPr>
          <w:rFonts w:ascii="Arial" w:eastAsia="宋体" w:hAnsi="Arial" w:cs="Arial"/>
        </w:rPr>
        <w:t>被分析物特效试剂</w:t>
      </w:r>
      <w:r w:rsidR="00FF4C14" w:rsidRPr="00F31118">
        <w:rPr>
          <w:rFonts w:ascii="Arial" w:eastAsia="宋体" w:hAnsi="Arial" w:cs="Arial"/>
        </w:rPr>
        <w:t>联合使用。相比之下，就像上面描述的那样，</w:t>
      </w:r>
      <w:r w:rsidR="00921E51">
        <w:rPr>
          <w:rFonts w:ascii="Arial" w:eastAsia="宋体" w:hAnsi="Arial" w:cs="Arial"/>
        </w:rPr>
        <w:t>被分析物特效试剂</w:t>
      </w:r>
      <w:r w:rsidR="00FF4C14" w:rsidRPr="00F31118">
        <w:rPr>
          <w:rFonts w:ascii="Arial" w:eastAsia="宋体" w:hAnsi="Arial" w:cs="Arial"/>
        </w:rPr>
        <w:t>是具体的化学成分、</w:t>
      </w:r>
      <w:r w:rsidR="00A40D85" w:rsidRPr="00F31118">
        <w:rPr>
          <w:rFonts w:ascii="Arial" w:eastAsia="宋体" w:hAnsi="Arial" w:cs="Arial"/>
        </w:rPr>
        <w:t>探针或抗体，根据设计的不同，确定其可检测哪种化学物质或配体。</w:t>
      </w:r>
    </w:p>
    <w:p w:rsidR="001618FC" w:rsidRPr="00F31118" w:rsidRDefault="001618FC" w:rsidP="003059EA">
      <w:pPr>
        <w:snapToGrid w:val="0"/>
        <w:spacing w:line="300" w:lineRule="auto"/>
        <w:rPr>
          <w:rFonts w:ascii="Arial" w:eastAsia="宋体" w:hAnsi="Arial" w:cs="Arial"/>
        </w:rPr>
      </w:pPr>
    </w:p>
    <w:p w:rsidR="00BD2BC3" w:rsidRPr="00F31118" w:rsidRDefault="00AE47B8" w:rsidP="003059EA">
      <w:pPr>
        <w:snapToGrid w:val="0"/>
        <w:spacing w:line="300" w:lineRule="auto"/>
        <w:rPr>
          <w:rFonts w:ascii="Arial" w:eastAsia="宋体" w:hAnsi="Arial" w:cs="Arial"/>
          <w:b/>
        </w:rPr>
      </w:pPr>
      <w:r w:rsidRPr="00F31118">
        <w:rPr>
          <w:rFonts w:ascii="Arial" w:eastAsia="宋体" w:hAnsi="Arial" w:cs="Arial"/>
          <w:b/>
        </w:rPr>
        <w:t xml:space="preserve">III. </w:t>
      </w:r>
      <w:r w:rsidRPr="00F31118">
        <w:rPr>
          <w:rFonts w:ascii="Arial" w:eastAsia="宋体" w:hAnsi="Arial" w:cs="Arial"/>
          <w:b/>
        </w:rPr>
        <w:t>制造商销售规范</w:t>
      </w:r>
    </w:p>
    <w:p w:rsidR="00AE47B8" w:rsidRPr="00F31118" w:rsidRDefault="00AE47B8" w:rsidP="003059EA">
      <w:pPr>
        <w:snapToGrid w:val="0"/>
        <w:spacing w:line="300" w:lineRule="auto"/>
        <w:rPr>
          <w:rFonts w:ascii="Arial" w:eastAsia="宋体" w:hAnsi="Arial" w:cs="Arial"/>
        </w:rPr>
      </w:pPr>
    </w:p>
    <w:p w:rsidR="00AE47B8" w:rsidRPr="00F31118" w:rsidRDefault="00AE47B8" w:rsidP="003059EA">
      <w:pPr>
        <w:snapToGrid w:val="0"/>
        <w:spacing w:line="300" w:lineRule="auto"/>
        <w:rPr>
          <w:rFonts w:ascii="Arial" w:eastAsia="宋体" w:hAnsi="Arial" w:cs="Arial"/>
          <w:b/>
        </w:rPr>
      </w:pPr>
      <w:r w:rsidRPr="00F31118">
        <w:rPr>
          <w:rFonts w:ascii="Arial" w:eastAsia="宋体" w:hAnsi="Arial" w:cs="Arial"/>
          <w:b/>
        </w:rPr>
        <w:t xml:space="preserve">10. </w:t>
      </w:r>
      <w:r w:rsidRPr="00F31118">
        <w:rPr>
          <w:rFonts w:ascii="Arial" w:eastAsia="宋体" w:hAnsi="Arial" w:cs="Arial"/>
          <w:b/>
        </w:rPr>
        <w:t>制造商可将</w:t>
      </w:r>
      <w:r w:rsidR="00921E51">
        <w:rPr>
          <w:rFonts w:ascii="Arial" w:eastAsia="宋体" w:hAnsi="Arial" w:cs="Arial"/>
          <w:b/>
        </w:rPr>
        <w:t>被分析物特效试剂</w:t>
      </w:r>
      <w:r w:rsidR="00CC5032" w:rsidRPr="00F31118">
        <w:rPr>
          <w:rFonts w:ascii="Arial" w:eastAsia="宋体" w:hAnsi="Arial" w:cs="Arial"/>
          <w:b/>
        </w:rPr>
        <w:t>销售</w:t>
      </w:r>
      <w:r w:rsidRPr="00F31118">
        <w:rPr>
          <w:rFonts w:ascii="Arial" w:eastAsia="宋体" w:hAnsi="Arial" w:cs="Arial"/>
          <w:b/>
        </w:rPr>
        <w:t>给谁？</w:t>
      </w:r>
    </w:p>
    <w:p w:rsidR="00AE47B8" w:rsidRPr="00F31118" w:rsidRDefault="00AE47B8" w:rsidP="003059EA">
      <w:pPr>
        <w:snapToGrid w:val="0"/>
        <w:spacing w:line="300" w:lineRule="auto"/>
        <w:rPr>
          <w:rFonts w:ascii="Arial" w:eastAsia="宋体" w:hAnsi="Arial" w:cs="Arial"/>
        </w:rPr>
      </w:pPr>
    </w:p>
    <w:p w:rsidR="00AE47B8" w:rsidRPr="00F31118" w:rsidRDefault="00921E51" w:rsidP="003059EA">
      <w:pPr>
        <w:snapToGrid w:val="0"/>
        <w:spacing w:line="300" w:lineRule="auto"/>
        <w:rPr>
          <w:rFonts w:ascii="Arial" w:eastAsia="宋体" w:hAnsi="Arial" w:cs="Arial"/>
        </w:rPr>
      </w:pPr>
      <w:r>
        <w:rPr>
          <w:rFonts w:ascii="Arial" w:eastAsia="宋体" w:hAnsi="Arial" w:cs="Arial"/>
        </w:rPr>
        <w:t>被分析物特效试剂</w:t>
      </w:r>
      <w:r w:rsidR="00AE47B8" w:rsidRPr="00F31118">
        <w:rPr>
          <w:rFonts w:ascii="Arial" w:eastAsia="宋体" w:hAnsi="Arial" w:cs="Arial"/>
        </w:rPr>
        <w:t>只可</w:t>
      </w:r>
      <w:r w:rsidR="00CC5032" w:rsidRPr="00F31118">
        <w:rPr>
          <w:rFonts w:ascii="Arial" w:eastAsia="宋体" w:hAnsi="Arial" w:cs="Arial"/>
        </w:rPr>
        <w:t>销售</w:t>
      </w:r>
      <w:r w:rsidR="00AE47B8" w:rsidRPr="00F31118">
        <w:rPr>
          <w:rFonts w:ascii="Arial" w:eastAsia="宋体" w:hAnsi="Arial" w:cs="Arial"/>
        </w:rPr>
        <w:t>给：</w:t>
      </w:r>
    </w:p>
    <w:p w:rsidR="00AE47B8" w:rsidRPr="00F31118" w:rsidRDefault="00AE47B8" w:rsidP="003059EA">
      <w:pPr>
        <w:snapToGrid w:val="0"/>
        <w:spacing w:line="300" w:lineRule="auto"/>
        <w:rPr>
          <w:rFonts w:ascii="Arial" w:eastAsia="宋体" w:hAnsi="Arial" w:cs="Arial"/>
        </w:rPr>
      </w:pPr>
    </w:p>
    <w:p w:rsidR="00AE47B8" w:rsidRPr="00F31118" w:rsidRDefault="00AE47B8" w:rsidP="003907B7">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体外诊断</w:t>
      </w:r>
      <w:r w:rsidR="00D2181D" w:rsidRPr="00F31118">
        <w:rPr>
          <w:rFonts w:ascii="Arial" w:eastAsia="宋体" w:hAnsi="Arial" w:cs="Arial"/>
        </w:rPr>
        <w:t>产品制造商；</w:t>
      </w:r>
    </w:p>
    <w:p w:rsidR="00D2181D" w:rsidRPr="00F31118" w:rsidRDefault="00D2181D" w:rsidP="003907B7">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依据</w:t>
      </w:r>
      <w:r w:rsidRPr="00F31118">
        <w:rPr>
          <w:rFonts w:ascii="Arial" w:eastAsia="宋体" w:hAnsi="Arial" w:cs="Arial"/>
        </w:rPr>
        <w:t>1988</w:t>
      </w:r>
      <w:r w:rsidRPr="00F31118">
        <w:rPr>
          <w:rFonts w:ascii="Arial" w:eastAsia="宋体" w:hAnsi="Arial" w:cs="Arial"/>
        </w:rPr>
        <w:t>年临床实验室改进法案（</w:t>
      </w:r>
      <w:r w:rsidRPr="00F31118">
        <w:rPr>
          <w:rFonts w:ascii="Arial" w:eastAsia="宋体" w:hAnsi="Arial" w:cs="Arial"/>
        </w:rPr>
        <w:t>CLIA</w:t>
      </w:r>
      <w:r w:rsidRPr="00F31118">
        <w:rPr>
          <w:rFonts w:ascii="Arial" w:eastAsia="宋体" w:hAnsi="Arial" w:cs="Arial"/>
        </w:rPr>
        <w:t>）实施监管</w:t>
      </w:r>
      <w:r w:rsidR="000E6989" w:rsidRPr="00F31118">
        <w:rPr>
          <w:rFonts w:ascii="Arial" w:eastAsia="宋体" w:hAnsi="Arial" w:cs="Arial"/>
        </w:rPr>
        <w:t>且已具备</w:t>
      </w:r>
      <w:r w:rsidR="00B371D3" w:rsidRPr="00F31118">
        <w:rPr>
          <w:rFonts w:ascii="Arial" w:eastAsia="宋体" w:hAnsi="Arial" w:cs="Arial"/>
        </w:rPr>
        <w:t>从事</w:t>
      </w:r>
      <w:proofErr w:type="gramStart"/>
      <w:r w:rsidR="000E6989" w:rsidRPr="00F31118">
        <w:rPr>
          <w:rFonts w:ascii="Arial" w:eastAsia="宋体" w:hAnsi="Arial" w:cs="Arial"/>
        </w:rPr>
        <w:t>高复杂</w:t>
      </w:r>
      <w:proofErr w:type="gramEnd"/>
      <w:r w:rsidR="000E6989" w:rsidRPr="00F31118">
        <w:rPr>
          <w:rFonts w:ascii="Arial" w:eastAsia="宋体" w:hAnsi="Arial" w:cs="Arial"/>
        </w:rPr>
        <w:t>度检测资质</w:t>
      </w:r>
      <w:r w:rsidRPr="00F31118">
        <w:rPr>
          <w:rFonts w:ascii="Arial" w:eastAsia="宋体" w:hAnsi="Arial" w:cs="Arial"/>
        </w:rPr>
        <w:t>的临床实验室，</w:t>
      </w:r>
      <w:r w:rsidR="000E6989" w:rsidRPr="00F31118">
        <w:rPr>
          <w:rFonts w:ascii="Arial" w:eastAsia="宋体" w:hAnsi="Arial" w:cs="Arial"/>
        </w:rPr>
        <w:t>或依据</w:t>
      </w:r>
      <w:r w:rsidR="00B371D3" w:rsidRPr="00F31118">
        <w:rPr>
          <w:rFonts w:ascii="Arial" w:eastAsia="宋体" w:hAnsi="Arial" w:cs="Arial"/>
        </w:rPr>
        <w:t>退伍军人健康管理局（</w:t>
      </w:r>
      <w:r w:rsidR="00B371D3" w:rsidRPr="00F31118">
        <w:rPr>
          <w:rFonts w:ascii="Arial" w:eastAsia="宋体" w:hAnsi="Arial" w:cs="Arial"/>
        </w:rPr>
        <w:t>VHA</w:t>
      </w:r>
      <w:r w:rsidR="00B371D3" w:rsidRPr="00F31118">
        <w:rPr>
          <w:rFonts w:ascii="Arial" w:eastAsia="宋体" w:hAnsi="Arial" w:cs="Arial"/>
        </w:rPr>
        <w:t>）指令</w:t>
      </w:r>
      <w:r w:rsidR="00B371D3" w:rsidRPr="00F31118">
        <w:rPr>
          <w:rFonts w:ascii="Arial" w:eastAsia="宋体" w:hAnsi="Arial" w:cs="Arial"/>
        </w:rPr>
        <w:t>1106</w:t>
      </w:r>
      <w:r w:rsidR="00B371D3" w:rsidRPr="00F31118">
        <w:rPr>
          <w:rFonts w:ascii="Arial" w:eastAsia="宋体" w:hAnsi="Arial" w:cs="Arial"/>
        </w:rPr>
        <w:t>实施监管的临床实验室；</w:t>
      </w:r>
    </w:p>
    <w:p w:rsidR="00B371D3" w:rsidRPr="00F31118" w:rsidRDefault="008771A1" w:rsidP="003907B7">
      <w:pPr>
        <w:pStyle w:val="a8"/>
        <w:numPr>
          <w:ilvl w:val="0"/>
          <w:numId w:val="2"/>
        </w:numPr>
        <w:snapToGrid w:val="0"/>
        <w:spacing w:line="300" w:lineRule="auto"/>
        <w:ind w:left="826" w:firstLineChars="0" w:hanging="364"/>
        <w:rPr>
          <w:rFonts w:ascii="Arial" w:eastAsia="宋体" w:hAnsi="Arial" w:cs="Arial"/>
        </w:rPr>
      </w:pPr>
      <w:r w:rsidRPr="00F31118">
        <w:rPr>
          <w:rFonts w:ascii="Arial" w:eastAsia="宋体" w:hAnsi="Arial" w:cs="Arial"/>
        </w:rPr>
        <w:t>使用这些试剂从事特定目的检测的组织。这些特定目的中不包括向患者和开业医生提供诊断信息，</w:t>
      </w:r>
      <w:r w:rsidR="007F0732" w:rsidRPr="00F31118">
        <w:rPr>
          <w:rFonts w:ascii="Arial" w:eastAsia="宋体" w:hAnsi="Arial" w:cs="Arial"/>
        </w:rPr>
        <w:t>如</w:t>
      </w:r>
      <w:r w:rsidR="00E53F95" w:rsidRPr="00F31118">
        <w:rPr>
          <w:rFonts w:ascii="Arial" w:eastAsia="宋体" w:hAnsi="Arial" w:cs="Arial"/>
        </w:rPr>
        <w:t>司法实验室、学术</w:t>
      </w:r>
      <w:r w:rsidR="00C6159A" w:rsidRPr="00F31118">
        <w:rPr>
          <w:rFonts w:ascii="Arial" w:eastAsia="宋体" w:hAnsi="Arial" w:cs="Arial"/>
        </w:rPr>
        <w:t>性</w:t>
      </w:r>
      <w:r w:rsidR="00E53F95" w:rsidRPr="00F31118">
        <w:rPr>
          <w:rFonts w:ascii="Arial" w:eastAsia="宋体" w:hAnsi="Arial" w:cs="Arial"/>
        </w:rPr>
        <w:t>实验室、</w:t>
      </w:r>
      <w:r w:rsidR="00C6159A" w:rsidRPr="00F31118">
        <w:rPr>
          <w:rFonts w:ascii="Arial" w:eastAsia="宋体" w:hAnsi="Arial" w:cs="Arial"/>
        </w:rPr>
        <w:t>研究性</w:t>
      </w:r>
      <w:r w:rsidR="00E53F95" w:rsidRPr="00F31118">
        <w:rPr>
          <w:rFonts w:ascii="Arial" w:eastAsia="宋体" w:hAnsi="Arial" w:cs="Arial"/>
        </w:rPr>
        <w:t>实验室和其它非临床实验室（</w:t>
      </w:r>
      <w:r w:rsidR="00E53F95" w:rsidRPr="00F31118">
        <w:rPr>
          <w:rFonts w:ascii="Arial" w:eastAsia="宋体" w:hAnsi="Arial" w:cs="Arial"/>
        </w:rPr>
        <w:t>21 CFR 809.30 (b)</w:t>
      </w:r>
      <w:r w:rsidR="00E53F95" w:rsidRPr="00F31118">
        <w:rPr>
          <w:rFonts w:ascii="Arial" w:eastAsia="宋体" w:hAnsi="Arial" w:cs="Arial"/>
        </w:rPr>
        <w:t>）。</w:t>
      </w:r>
    </w:p>
    <w:p w:rsidR="00AE47B8" w:rsidRPr="00F31118" w:rsidRDefault="00AE47B8" w:rsidP="003059EA">
      <w:pPr>
        <w:snapToGrid w:val="0"/>
        <w:spacing w:line="300" w:lineRule="auto"/>
        <w:rPr>
          <w:rFonts w:ascii="Arial" w:eastAsia="宋体" w:hAnsi="Arial" w:cs="Arial"/>
        </w:rPr>
      </w:pPr>
    </w:p>
    <w:p w:rsidR="00AE47B8" w:rsidRPr="00F31118" w:rsidRDefault="00AE47B8" w:rsidP="003059EA">
      <w:pPr>
        <w:snapToGrid w:val="0"/>
        <w:spacing w:line="300" w:lineRule="auto"/>
        <w:rPr>
          <w:rFonts w:ascii="Arial" w:eastAsia="宋体" w:hAnsi="Arial" w:cs="Arial"/>
        </w:rPr>
      </w:pPr>
    </w:p>
    <w:p w:rsidR="00C6159A" w:rsidRPr="00F31118" w:rsidRDefault="00C6159A" w:rsidP="003059EA">
      <w:pPr>
        <w:snapToGrid w:val="0"/>
        <w:spacing w:line="300" w:lineRule="auto"/>
        <w:rPr>
          <w:rFonts w:ascii="Arial" w:eastAsia="宋体" w:hAnsi="Arial" w:cs="Arial"/>
          <w:b/>
        </w:rPr>
      </w:pPr>
      <w:r w:rsidRPr="00F31118">
        <w:rPr>
          <w:rFonts w:ascii="Arial" w:eastAsia="宋体" w:hAnsi="Arial" w:cs="Arial"/>
          <w:b/>
        </w:rPr>
        <w:lastRenderedPageBreak/>
        <w:t xml:space="preserve">11. </w:t>
      </w:r>
      <w:r w:rsidR="00FE7FFA" w:rsidRPr="00F31118">
        <w:rPr>
          <w:rFonts w:ascii="Arial" w:eastAsia="宋体" w:hAnsi="Arial" w:cs="Arial"/>
          <w:b/>
        </w:rPr>
        <w:t>制造商或经销商可以</w:t>
      </w:r>
      <w:r w:rsidR="00671E3F" w:rsidRPr="00F31118">
        <w:rPr>
          <w:rFonts w:ascii="Arial" w:eastAsia="宋体" w:hAnsi="Arial" w:cs="Arial"/>
          <w:b/>
        </w:rPr>
        <w:t>为了</w:t>
      </w:r>
      <w:r w:rsidR="002F7AFC" w:rsidRPr="00F31118">
        <w:rPr>
          <w:rFonts w:ascii="Arial" w:eastAsia="宋体" w:hAnsi="Arial" w:cs="Arial"/>
          <w:b/>
        </w:rPr>
        <w:t>将特定</w:t>
      </w:r>
      <w:r w:rsidR="00921E51">
        <w:rPr>
          <w:rFonts w:ascii="Arial" w:eastAsia="宋体" w:hAnsi="Arial" w:cs="Arial"/>
          <w:b/>
        </w:rPr>
        <w:t>被分析物特效试剂</w:t>
      </w:r>
      <w:r w:rsidR="00FE7FFA" w:rsidRPr="00F31118">
        <w:rPr>
          <w:rFonts w:ascii="Arial" w:eastAsia="宋体" w:hAnsi="Arial" w:cs="Arial"/>
          <w:b/>
        </w:rPr>
        <w:t>和通用试剂</w:t>
      </w:r>
      <w:r w:rsidR="002F7AFC" w:rsidRPr="00F31118">
        <w:rPr>
          <w:rFonts w:ascii="Arial" w:eastAsia="宋体" w:hAnsi="Arial" w:cs="Arial"/>
          <w:b/>
        </w:rPr>
        <w:t>同时用于开发某种检验</w:t>
      </w:r>
      <w:r w:rsidR="006D7739" w:rsidRPr="00F31118">
        <w:rPr>
          <w:rFonts w:ascii="Arial" w:eastAsia="宋体" w:hAnsi="Arial" w:cs="Arial"/>
          <w:b/>
        </w:rPr>
        <w:t>产品</w:t>
      </w:r>
      <w:r w:rsidR="00671E3F" w:rsidRPr="00F31118">
        <w:rPr>
          <w:rFonts w:ascii="Arial" w:eastAsia="宋体" w:hAnsi="Arial" w:cs="Arial"/>
          <w:b/>
        </w:rPr>
        <w:t>而举办推销活动吗</w:t>
      </w:r>
      <w:r w:rsidR="002F7AFC" w:rsidRPr="00F31118">
        <w:rPr>
          <w:rFonts w:ascii="Arial" w:eastAsia="宋体" w:hAnsi="Arial" w:cs="Arial"/>
          <w:b/>
        </w:rPr>
        <w:t>？</w:t>
      </w:r>
    </w:p>
    <w:p w:rsidR="002F7AFC" w:rsidRPr="00F31118" w:rsidRDefault="002F7AFC" w:rsidP="003059EA">
      <w:pPr>
        <w:snapToGrid w:val="0"/>
        <w:spacing w:line="300" w:lineRule="auto"/>
        <w:rPr>
          <w:rFonts w:ascii="Arial" w:eastAsia="宋体" w:hAnsi="Arial" w:cs="Arial"/>
        </w:rPr>
      </w:pPr>
    </w:p>
    <w:p w:rsidR="002F7AFC" w:rsidRPr="00F31118" w:rsidRDefault="002F7AFC" w:rsidP="003059EA">
      <w:pPr>
        <w:snapToGrid w:val="0"/>
        <w:spacing w:line="300" w:lineRule="auto"/>
        <w:rPr>
          <w:rFonts w:ascii="Arial" w:eastAsia="宋体" w:hAnsi="Arial" w:cs="Arial"/>
        </w:rPr>
      </w:pPr>
      <w:r w:rsidRPr="00F31118">
        <w:rPr>
          <w:rFonts w:ascii="Arial" w:eastAsia="宋体" w:hAnsi="Arial" w:cs="Arial"/>
        </w:rPr>
        <w:t>不可以。就像上面已解释过的，</w:t>
      </w:r>
      <w:r w:rsidR="00491E94" w:rsidRPr="00F31118">
        <w:rPr>
          <w:rFonts w:ascii="Arial" w:eastAsia="宋体" w:hAnsi="Arial" w:cs="Arial"/>
        </w:rPr>
        <w:t>我</w:t>
      </w:r>
      <w:r w:rsidR="007F0732" w:rsidRPr="00F31118">
        <w:rPr>
          <w:rFonts w:ascii="Arial" w:eastAsia="宋体" w:hAnsi="Arial" w:cs="Arial"/>
        </w:rPr>
        <w:t>方</w:t>
      </w:r>
      <w:r w:rsidR="00491E94" w:rsidRPr="00F31118">
        <w:rPr>
          <w:rFonts w:ascii="Arial" w:eastAsia="宋体" w:hAnsi="Arial" w:cs="Arial"/>
        </w:rPr>
        <w:t>将</w:t>
      </w:r>
      <w:r w:rsidR="00921E51">
        <w:rPr>
          <w:rFonts w:ascii="Arial" w:eastAsia="宋体" w:hAnsi="Arial" w:cs="Arial"/>
        </w:rPr>
        <w:t>被分析物特效试剂</w:t>
      </w:r>
      <w:r w:rsidR="00491E94" w:rsidRPr="00F31118">
        <w:rPr>
          <w:rFonts w:ascii="Arial" w:eastAsia="宋体" w:hAnsi="Arial" w:cs="Arial"/>
        </w:rPr>
        <w:t>视为药事未核准检验或</w:t>
      </w:r>
      <w:r w:rsidR="00193033" w:rsidRPr="00F31118">
        <w:rPr>
          <w:rFonts w:ascii="Arial" w:eastAsia="宋体" w:hAnsi="Arial" w:cs="Arial"/>
        </w:rPr>
        <w:t>定型体外诊断检验的</w:t>
      </w:r>
      <w:r w:rsidR="00193033" w:rsidRPr="00F31118">
        <w:rPr>
          <w:rFonts w:ascii="Arial" w:eastAsia="宋体" w:hAnsi="Arial" w:cs="Arial"/>
        </w:rPr>
        <w:t>“</w:t>
      </w:r>
      <w:r w:rsidR="00A82711" w:rsidRPr="00F31118">
        <w:rPr>
          <w:rFonts w:ascii="Arial" w:eastAsia="宋体" w:hAnsi="Arial" w:cs="Arial"/>
        </w:rPr>
        <w:t>构造板块</w:t>
      </w:r>
      <w:r w:rsidR="00193033" w:rsidRPr="00F31118">
        <w:rPr>
          <w:rFonts w:ascii="Arial" w:eastAsia="宋体" w:hAnsi="Arial" w:cs="Arial"/>
        </w:rPr>
        <w:t>”</w:t>
      </w:r>
      <w:r w:rsidR="008D7603" w:rsidRPr="00F31118">
        <w:rPr>
          <w:rFonts w:ascii="Arial" w:eastAsia="宋体" w:hAnsi="Arial" w:cs="Arial"/>
        </w:rPr>
        <w:t>，却不打算将通用试剂用于任何具体的诊断用途（</w:t>
      </w:r>
      <w:r w:rsidR="008D7603" w:rsidRPr="00F31118">
        <w:rPr>
          <w:rFonts w:ascii="Arial" w:eastAsia="宋体" w:hAnsi="Arial" w:cs="Arial"/>
        </w:rPr>
        <w:t>21 CFR 864.4010, 864.4020</w:t>
      </w:r>
      <w:r w:rsidR="008D7603" w:rsidRPr="00F31118">
        <w:rPr>
          <w:rFonts w:ascii="Arial" w:eastAsia="宋体" w:hAnsi="Arial" w:cs="Arial"/>
        </w:rPr>
        <w:t>）。</w:t>
      </w:r>
      <w:r w:rsidR="00671E3F" w:rsidRPr="00F31118">
        <w:rPr>
          <w:rFonts w:ascii="Arial" w:eastAsia="宋体" w:hAnsi="Arial" w:cs="Arial"/>
        </w:rPr>
        <w:t>为了与某种</w:t>
      </w:r>
      <w:r w:rsidR="00921E51">
        <w:rPr>
          <w:rFonts w:ascii="Arial" w:eastAsia="宋体" w:hAnsi="Arial" w:cs="Arial"/>
        </w:rPr>
        <w:t>被分析物特效试剂</w:t>
      </w:r>
      <w:r w:rsidR="00B0437F" w:rsidRPr="00F31118">
        <w:rPr>
          <w:rFonts w:ascii="Arial" w:eastAsia="宋体" w:hAnsi="Arial" w:cs="Arial"/>
        </w:rPr>
        <w:t>同时使用而推销的某种产品是打算与该</w:t>
      </w:r>
      <w:r w:rsidR="00921E51">
        <w:rPr>
          <w:rFonts w:ascii="Arial" w:eastAsia="宋体" w:hAnsi="Arial" w:cs="Arial"/>
        </w:rPr>
        <w:t>被分析物特效试剂</w:t>
      </w:r>
      <w:r w:rsidR="00B0437F" w:rsidRPr="00F31118">
        <w:rPr>
          <w:rFonts w:ascii="Arial" w:eastAsia="宋体" w:hAnsi="Arial" w:cs="Arial"/>
        </w:rPr>
        <w:t>同时</w:t>
      </w:r>
      <w:r w:rsidR="0091239B" w:rsidRPr="00F31118">
        <w:rPr>
          <w:rFonts w:ascii="Arial" w:eastAsia="宋体" w:hAnsi="Arial" w:cs="Arial"/>
        </w:rPr>
        <w:t>用于某种具体诊断用途的，因此，该产品不符合</w:t>
      </w:r>
      <w:r w:rsidR="0091239B" w:rsidRPr="00F31118">
        <w:rPr>
          <w:rFonts w:ascii="Arial" w:eastAsia="宋体" w:hAnsi="Arial" w:cs="Arial"/>
        </w:rPr>
        <w:t>“</w:t>
      </w:r>
      <w:r w:rsidR="0091239B" w:rsidRPr="00F31118">
        <w:rPr>
          <w:rFonts w:ascii="Arial" w:eastAsia="宋体" w:hAnsi="Arial" w:cs="Arial"/>
        </w:rPr>
        <w:t>一般实验室用途</w:t>
      </w:r>
      <w:r w:rsidR="0091239B" w:rsidRPr="00F31118">
        <w:rPr>
          <w:rFonts w:ascii="Arial" w:eastAsia="宋体" w:hAnsi="Arial" w:cs="Arial"/>
        </w:rPr>
        <w:t>”</w:t>
      </w:r>
      <w:r w:rsidR="0091239B" w:rsidRPr="00F31118">
        <w:rPr>
          <w:rFonts w:ascii="Arial" w:eastAsia="宋体" w:hAnsi="Arial" w:cs="Arial"/>
        </w:rPr>
        <w:t>的通用试剂定义。</w:t>
      </w:r>
      <w:r w:rsidR="00717B8B" w:rsidRPr="00F31118">
        <w:rPr>
          <w:rFonts w:ascii="Arial" w:eastAsia="宋体" w:hAnsi="Arial" w:cs="Arial"/>
        </w:rPr>
        <w:t>同样，为了与某种具体的通用试剂同时使用而推销的某种产品是打算用于某种特</w:t>
      </w:r>
      <w:r w:rsidR="002256C2" w:rsidRPr="00F31118">
        <w:rPr>
          <w:rFonts w:ascii="Arial" w:eastAsia="宋体" w:hAnsi="Arial" w:cs="Arial"/>
        </w:rPr>
        <w:t>定</w:t>
      </w:r>
      <w:r w:rsidR="00717B8B" w:rsidRPr="00F31118">
        <w:rPr>
          <w:rFonts w:ascii="Arial" w:eastAsia="宋体" w:hAnsi="Arial" w:cs="Arial"/>
        </w:rPr>
        <w:t>预期用途</w:t>
      </w:r>
      <w:r w:rsidR="00727BE4" w:rsidRPr="00F31118">
        <w:rPr>
          <w:rFonts w:ascii="Arial" w:eastAsia="宋体" w:hAnsi="Arial" w:cs="Arial"/>
        </w:rPr>
        <w:t>而不是作为一种</w:t>
      </w:r>
      <w:r w:rsidR="00921E51">
        <w:rPr>
          <w:rFonts w:ascii="Arial" w:eastAsia="宋体" w:hAnsi="Arial" w:cs="Arial"/>
        </w:rPr>
        <w:t>被分析物特效试剂</w:t>
      </w:r>
      <w:r w:rsidR="00727BE4" w:rsidRPr="00F31118">
        <w:rPr>
          <w:rFonts w:ascii="Arial" w:eastAsia="宋体" w:hAnsi="Arial" w:cs="Arial"/>
        </w:rPr>
        <w:t>，而</w:t>
      </w:r>
      <w:r w:rsidR="00921E51">
        <w:rPr>
          <w:rFonts w:ascii="Arial" w:eastAsia="宋体" w:hAnsi="Arial" w:cs="Arial"/>
        </w:rPr>
        <w:t>被分析物特效试剂</w:t>
      </w:r>
      <w:r w:rsidR="00727BE4" w:rsidRPr="00F31118">
        <w:rPr>
          <w:rFonts w:ascii="Arial" w:eastAsia="宋体" w:hAnsi="Arial" w:cs="Arial"/>
        </w:rPr>
        <w:t>是药事未核准检验的一个</w:t>
      </w:r>
      <w:r w:rsidR="00A82711" w:rsidRPr="00F31118">
        <w:rPr>
          <w:rFonts w:ascii="Arial" w:eastAsia="宋体" w:hAnsi="Arial" w:cs="Arial"/>
        </w:rPr>
        <w:t>构造板块</w:t>
      </w:r>
      <w:r w:rsidR="00727BE4" w:rsidRPr="00F31118">
        <w:rPr>
          <w:rFonts w:ascii="Arial" w:eastAsia="宋体" w:hAnsi="Arial" w:cs="Arial"/>
        </w:rPr>
        <w:t>。因此，想以通用试剂或</w:t>
      </w:r>
      <w:r w:rsidR="00921E51">
        <w:rPr>
          <w:rFonts w:ascii="Arial" w:eastAsia="宋体" w:hAnsi="Arial" w:cs="Arial"/>
        </w:rPr>
        <w:t>被分析物特效试剂</w:t>
      </w:r>
      <w:r w:rsidR="00727BE4" w:rsidRPr="00F31118">
        <w:rPr>
          <w:rFonts w:ascii="Arial" w:eastAsia="宋体" w:hAnsi="Arial" w:cs="Arial"/>
        </w:rPr>
        <w:t>的名义销售</w:t>
      </w:r>
      <w:r w:rsidR="00272110" w:rsidRPr="00F31118">
        <w:rPr>
          <w:rFonts w:ascii="Arial" w:eastAsia="宋体" w:hAnsi="Arial" w:cs="Arial"/>
        </w:rPr>
        <w:t>其产品的制造商不应同时推销或销售这两种试剂，包括</w:t>
      </w:r>
      <w:r w:rsidR="007244F5" w:rsidRPr="00F31118">
        <w:rPr>
          <w:rFonts w:ascii="Arial" w:eastAsia="宋体" w:hAnsi="Arial" w:cs="Arial"/>
        </w:rPr>
        <w:t>将其</w:t>
      </w:r>
      <w:r w:rsidR="00272110" w:rsidRPr="00F31118">
        <w:rPr>
          <w:rFonts w:ascii="Arial" w:eastAsia="宋体" w:hAnsi="Arial" w:cs="Arial"/>
        </w:rPr>
        <w:t>包含于定型体外诊断检验产品中或体外诊断检验</w:t>
      </w:r>
      <w:r w:rsidR="00144B6F" w:rsidRPr="00F31118">
        <w:rPr>
          <w:rFonts w:ascii="Arial" w:eastAsia="宋体" w:hAnsi="Arial" w:cs="Arial"/>
        </w:rPr>
        <w:t>产品</w:t>
      </w:r>
      <w:r w:rsidR="00272110" w:rsidRPr="00F31118">
        <w:rPr>
          <w:rFonts w:ascii="Arial" w:eastAsia="宋体" w:hAnsi="Arial" w:cs="Arial"/>
        </w:rPr>
        <w:t>的部分构造中。</w:t>
      </w:r>
    </w:p>
    <w:p w:rsidR="00C6159A" w:rsidRPr="00F31118" w:rsidRDefault="00C6159A" w:rsidP="003059EA">
      <w:pPr>
        <w:snapToGrid w:val="0"/>
        <w:spacing w:line="300" w:lineRule="auto"/>
        <w:rPr>
          <w:rFonts w:ascii="Arial" w:eastAsia="宋体" w:hAnsi="Arial" w:cs="Arial"/>
        </w:rPr>
      </w:pPr>
    </w:p>
    <w:p w:rsidR="00D502DD" w:rsidRPr="00F31118" w:rsidRDefault="00D502DD" w:rsidP="003059EA">
      <w:pPr>
        <w:snapToGrid w:val="0"/>
        <w:spacing w:line="300" w:lineRule="auto"/>
        <w:rPr>
          <w:rFonts w:ascii="Arial" w:eastAsia="宋体" w:hAnsi="Arial" w:cs="Arial"/>
        </w:rPr>
      </w:pPr>
      <w:r w:rsidRPr="00F31118">
        <w:rPr>
          <w:rFonts w:ascii="Arial" w:eastAsia="宋体" w:hAnsi="Arial" w:cs="Arial"/>
        </w:rPr>
        <w:t>我</w:t>
      </w:r>
      <w:r w:rsidR="007F0732" w:rsidRPr="00F31118">
        <w:rPr>
          <w:rFonts w:ascii="Arial" w:eastAsia="宋体" w:hAnsi="Arial" w:cs="Arial"/>
        </w:rPr>
        <w:t>方</w:t>
      </w:r>
      <w:r w:rsidRPr="00F31118">
        <w:rPr>
          <w:rFonts w:ascii="Arial" w:eastAsia="宋体" w:hAnsi="Arial" w:cs="Arial"/>
        </w:rPr>
        <w:t>建议想以</w:t>
      </w:r>
      <w:r w:rsidR="00921E51">
        <w:rPr>
          <w:rFonts w:ascii="Arial" w:eastAsia="宋体" w:hAnsi="Arial" w:cs="Arial"/>
        </w:rPr>
        <w:t>被分析物特效试剂</w:t>
      </w:r>
      <w:r w:rsidRPr="00F31118">
        <w:rPr>
          <w:rFonts w:ascii="Arial" w:eastAsia="宋体" w:hAnsi="Arial" w:cs="Arial"/>
        </w:rPr>
        <w:t>（如</w:t>
      </w:r>
      <w:r w:rsidR="0015475D" w:rsidRPr="00F31118">
        <w:rPr>
          <w:rFonts w:ascii="Arial" w:eastAsia="宋体" w:hAnsi="Arial" w:cs="Arial"/>
        </w:rPr>
        <w:t>用于扩增一个基因中不同突变位点的</w:t>
      </w:r>
      <w:r w:rsidRPr="00F31118">
        <w:rPr>
          <w:rFonts w:ascii="Arial" w:eastAsia="宋体" w:hAnsi="Arial" w:cs="Arial"/>
        </w:rPr>
        <w:t>多种</w:t>
      </w:r>
      <w:r w:rsidR="00921E51">
        <w:rPr>
          <w:rFonts w:ascii="Arial" w:eastAsia="宋体" w:hAnsi="Arial" w:cs="Arial"/>
        </w:rPr>
        <w:t>被分析物特效试剂</w:t>
      </w:r>
      <w:r w:rsidRPr="00F31118">
        <w:rPr>
          <w:rFonts w:ascii="Arial" w:eastAsia="宋体" w:hAnsi="Arial" w:cs="Arial"/>
        </w:rPr>
        <w:t>引物对）</w:t>
      </w:r>
      <w:r w:rsidR="0015475D" w:rsidRPr="00F31118">
        <w:rPr>
          <w:rFonts w:ascii="Arial" w:eastAsia="宋体" w:hAnsi="Arial" w:cs="Arial"/>
        </w:rPr>
        <w:t>名义而不是以体外诊断产品或体外诊断产品</w:t>
      </w:r>
      <w:r w:rsidR="0090296D" w:rsidRPr="00F31118">
        <w:rPr>
          <w:rFonts w:ascii="Arial" w:eastAsia="宋体" w:hAnsi="Arial" w:cs="Arial"/>
        </w:rPr>
        <w:t>组成部</w:t>
      </w:r>
      <w:r w:rsidR="0015475D" w:rsidRPr="00F31118">
        <w:rPr>
          <w:rFonts w:ascii="Arial" w:eastAsia="宋体" w:hAnsi="Arial" w:cs="Arial"/>
        </w:rPr>
        <w:t>分的名义销售多种不同产品</w:t>
      </w:r>
      <w:r w:rsidR="00B171E3" w:rsidRPr="00F31118">
        <w:rPr>
          <w:rFonts w:ascii="Arial" w:eastAsia="宋体" w:hAnsi="Arial" w:cs="Arial"/>
        </w:rPr>
        <w:t>的制造商避免以下列方式销售</w:t>
      </w:r>
      <w:r w:rsidR="00921E51">
        <w:rPr>
          <w:rFonts w:ascii="Arial" w:eastAsia="宋体" w:hAnsi="Arial" w:cs="Arial"/>
        </w:rPr>
        <w:t>被分析物特效试剂</w:t>
      </w:r>
      <w:r w:rsidR="00B171E3" w:rsidRPr="00F31118">
        <w:rPr>
          <w:rFonts w:ascii="Arial" w:eastAsia="宋体" w:hAnsi="Arial" w:cs="Arial"/>
        </w:rPr>
        <w:t>：即</w:t>
      </w:r>
      <w:r w:rsidR="00EE0BF4" w:rsidRPr="00F31118">
        <w:rPr>
          <w:rFonts w:ascii="Arial" w:eastAsia="宋体" w:hAnsi="Arial" w:cs="Arial"/>
        </w:rPr>
        <w:t>暗示同时使用特</w:t>
      </w:r>
      <w:r w:rsidR="002256C2" w:rsidRPr="00F31118">
        <w:rPr>
          <w:rFonts w:ascii="Arial" w:eastAsia="宋体" w:hAnsi="Arial" w:cs="Arial"/>
        </w:rPr>
        <w:t>定</w:t>
      </w:r>
      <w:r w:rsidR="00921E51">
        <w:rPr>
          <w:rFonts w:ascii="Arial" w:eastAsia="宋体" w:hAnsi="Arial" w:cs="Arial"/>
        </w:rPr>
        <w:t>被分析物特效试剂</w:t>
      </w:r>
      <w:r w:rsidR="00EE0BF4" w:rsidRPr="00F31118">
        <w:rPr>
          <w:rFonts w:ascii="Arial" w:eastAsia="宋体" w:hAnsi="Arial" w:cs="Arial"/>
        </w:rPr>
        <w:t>将会提供某种特</w:t>
      </w:r>
      <w:r w:rsidR="002256C2" w:rsidRPr="00F31118">
        <w:rPr>
          <w:rFonts w:ascii="Arial" w:eastAsia="宋体" w:hAnsi="Arial" w:cs="Arial"/>
        </w:rPr>
        <w:t>定</w:t>
      </w:r>
      <w:r w:rsidR="00EE0BF4" w:rsidRPr="00F31118">
        <w:rPr>
          <w:rFonts w:ascii="Arial" w:eastAsia="宋体" w:hAnsi="Arial" w:cs="Arial"/>
        </w:rPr>
        <w:t>结果或</w:t>
      </w:r>
      <w:r w:rsidR="000A3D9E" w:rsidRPr="00F31118">
        <w:rPr>
          <w:rFonts w:ascii="Arial" w:eastAsia="宋体" w:hAnsi="Arial" w:cs="Arial"/>
        </w:rPr>
        <w:t>为了达到某种具体目的应同时使用这些试剂。</w:t>
      </w:r>
    </w:p>
    <w:p w:rsidR="0015475D" w:rsidRPr="00F31118" w:rsidRDefault="0015475D" w:rsidP="003059EA">
      <w:pPr>
        <w:snapToGrid w:val="0"/>
        <w:spacing w:line="300" w:lineRule="auto"/>
        <w:rPr>
          <w:rFonts w:ascii="Arial" w:eastAsia="宋体" w:hAnsi="Arial" w:cs="Arial"/>
        </w:rPr>
      </w:pPr>
    </w:p>
    <w:p w:rsidR="00F65C8B" w:rsidRPr="00F31118" w:rsidRDefault="005A1887" w:rsidP="003059EA">
      <w:pPr>
        <w:snapToGrid w:val="0"/>
        <w:spacing w:line="300" w:lineRule="auto"/>
        <w:rPr>
          <w:rFonts w:ascii="Arial" w:eastAsia="宋体" w:hAnsi="Arial" w:cs="Arial"/>
          <w:b/>
        </w:rPr>
      </w:pPr>
      <w:r w:rsidRPr="00F31118">
        <w:rPr>
          <w:rFonts w:ascii="Arial" w:eastAsia="宋体" w:hAnsi="Arial" w:cs="Arial"/>
          <w:b/>
        </w:rPr>
        <w:t xml:space="preserve">12. </w:t>
      </w:r>
      <w:r w:rsidR="00C4209B" w:rsidRPr="00F31118">
        <w:rPr>
          <w:rFonts w:ascii="Arial" w:eastAsia="宋体" w:hAnsi="Arial" w:cs="Arial"/>
          <w:b/>
        </w:rPr>
        <w:t>制造商可以将</w:t>
      </w:r>
      <w:r w:rsidR="001348F2" w:rsidRPr="00F31118">
        <w:rPr>
          <w:rFonts w:ascii="Arial" w:eastAsia="宋体" w:hAnsi="Arial" w:cs="Arial"/>
          <w:b/>
        </w:rPr>
        <w:t>操作指南</w:t>
      </w:r>
      <w:r w:rsidR="00C4209B" w:rsidRPr="00F31118">
        <w:rPr>
          <w:rFonts w:ascii="Arial" w:eastAsia="宋体" w:hAnsi="Arial" w:cs="Arial"/>
          <w:b/>
        </w:rPr>
        <w:t>和</w:t>
      </w:r>
      <w:r w:rsidR="00921E51">
        <w:rPr>
          <w:rFonts w:ascii="Arial" w:eastAsia="宋体" w:hAnsi="Arial" w:cs="Arial"/>
          <w:b/>
        </w:rPr>
        <w:t>被分析物特效试剂</w:t>
      </w:r>
      <w:r w:rsidR="00C4209B" w:rsidRPr="00F31118">
        <w:rPr>
          <w:rFonts w:ascii="Arial" w:eastAsia="宋体" w:hAnsi="Arial" w:cs="Arial"/>
          <w:b/>
        </w:rPr>
        <w:t>包装在一起吗？</w:t>
      </w:r>
    </w:p>
    <w:p w:rsidR="00C4209B" w:rsidRPr="00F31118" w:rsidRDefault="00C4209B" w:rsidP="003059EA">
      <w:pPr>
        <w:snapToGrid w:val="0"/>
        <w:spacing w:line="300" w:lineRule="auto"/>
        <w:rPr>
          <w:rFonts w:ascii="Arial" w:eastAsia="宋体" w:hAnsi="Arial" w:cs="Arial"/>
        </w:rPr>
      </w:pPr>
    </w:p>
    <w:p w:rsidR="000A3D9E" w:rsidRPr="00F31118" w:rsidRDefault="00921E51" w:rsidP="003059EA">
      <w:pPr>
        <w:snapToGrid w:val="0"/>
        <w:spacing w:line="300" w:lineRule="auto"/>
        <w:rPr>
          <w:rFonts w:ascii="Arial" w:eastAsia="宋体" w:hAnsi="Arial" w:cs="Arial"/>
        </w:rPr>
      </w:pPr>
      <w:r>
        <w:rPr>
          <w:rFonts w:ascii="Arial" w:eastAsia="宋体" w:hAnsi="Arial" w:cs="Arial"/>
        </w:rPr>
        <w:t>被分析物特效试剂</w:t>
      </w:r>
      <w:r w:rsidR="001348F2" w:rsidRPr="00F31118">
        <w:rPr>
          <w:rFonts w:ascii="Arial" w:eastAsia="宋体" w:hAnsi="Arial" w:cs="Arial"/>
        </w:rPr>
        <w:t>制造商</w:t>
      </w:r>
      <w:r w:rsidR="004622AC" w:rsidRPr="00F31118">
        <w:rPr>
          <w:rFonts w:ascii="Arial" w:eastAsia="宋体" w:hAnsi="Arial" w:cs="Arial"/>
        </w:rPr>
        <w:t>不应为使用</w:t>
      </w:r>
      <w:r>
        <w:rPr>
          <w:rFonts w:ascii="Arial" w:eastAsia="宋体" w:hAnsi="Arial" w:cs="Arial"/>
        </w:rPr>
        <w:t>被分析物特效试剂</w:t>
      </w:r>
      <w:r w:rsidR="004622AC" w:rsidRPr="00F31118">
        <w:rPr>
          <w:rFonts w:ascii="Arial" w:eastAsia="宋体" w:hAnsi="Arial" w:cs="Arial"/>
        </w:rPr>
        <w:t>开发测定</w:t>
      </w:r>
      <w:r w:rsidR="00144B6F" w:rsidRPr="00F31118">
        <w:rPr>
          <w:rFonts w:ascii="Arial" w:eastAsia="宋体" w:hAnsi="Arial" w:cs="Arial"/>
        </w:rPr>
        <w:t>产品</w:t>
      </w:r>
      <w:r w:rsidR="004622AC" w:rsidRPr="00F31118">
        <w:rPr>
          <w:rFonts w:ascii="Arial" w:eastAsia="宋体" w:hAnsi="Arial" w:cs="Arial"/>
        </w:rPr>
        <w:t>或实施测定提供操作指南。就像上面所解释的，食品药品监督管理局不将</w:t>
      </w:r>
      <w:r w:rsidR="004E01E8" w:rsidRPr="00F31118">
        <w:rPr>
          <w:rFonts w:ascii="Arial" w:eastAsia="宋体" w:hAnsi="Arial" w:cs="Arial"/>
        </w:rPr>
        <w:t>与操作指南一起销售</w:t>
      </w:r>
      <w:r w:rsidR="004622AC" w:rsidRPr="00F31118">
        <w:rPr>
          <w:rFonts w:ascii="Arial" w:eastAsia="宋体" w:hAnsi="Arial" w:cs="Arial"/>
        </w:rPr>
        <w:t>供开发检验</w:t>
      </w:r>
      <w:r w:rsidR="00144B6F" w:rsidRPr="00F31118">
        <w:rPr>
          <w:rFonts w:ascii="Arial" w:eastAsia="宋体" w:hAnsi="Arial" w:cs="Arial"/>
        </w:rPr>
        <w:t>产品</w:t>
      </w:r>
      <w:r w:rsidR="004622AC" w:rsidRPr="00F31118">
        <w:rPr>
          <w:rFonts w:ascii="Arial" w:eastAsia="宋体" w:hAnsi="Arial" w:cs="Arial"/>
        </w:rPr>
        <w:t>或实施检验</w:t>
      </w:r>
      <w:r w:rsidR="004E01E8" w:rsidRPr="00F31118">
        <w:rPr>
          <w:rFonts w:ascii="Arial" w:eastAsia="宋体" w:hAnsi="Arial" w:cs="Arial"/>
        </w:rPr>
        <w:t>之用的试剂视为</w:t>
      </w:r>
      <w:r>
        <w:rPr>
          <w:rFonts w:ascii="Arial" w:eastAsia="宋体" w:hAnsi="Arial" w:cs="Arial"/>
        </w:rPr>
        <w:t>被分析物特效试剂</w:t>
      </w:r>
      <w:r w:rsidR="004E01E8" w:rsidRPr="00F31118">
        <w:rPr>
          <w:rFonts w:ascii="Arial" w:eastAsia="宋体" w:hAnsi="Arial" w:cs="Arial"/>
        </w:rPr>
        <w:t>。这样做的原因是，</w:t>
      </w:r>
      <w:r w:rsidR="0090296D" w:rsidRPr="00F31118">
        <w:rPr>
          <w:rFonts w:ascii="Arial" w:eastAsia="宋体" w:hAnsi="Arial" w:cs="Arial"/>
        </w:rPr>
        <w:t>拟将</w:t>
      </w:r>
      <w:r>
        <w:rPr>
          <w:rFonts w:ascii="Arial" w:eastAsia="宋体" w:hAnsi="Arial" w:cs="Arial"/>
        </w:rPr>
        <w:t>被分析物特效试剂</w:t>
      </w:r>
      <w:r w:rsidR="00CB6424" w:rsidRPr="00F31118">
        <w:rPr>
          <w:rFonts w:ascii="Arial" w:eastAsia="宋体" w:hAnsi="Arial" w:cs="Arial"/>
        </w:rPr>
        <w:t>作为检验</w:t>
      </w:r>
      <w:r w:rsidR="00144B6F" w:rsidRPr="00F31118">
        <w:rPr>
          <w:rFonts w:ascii="Arial" w:eastAsia="宋体" w:hAnsi="Arial" w:cs="Arial"/>
        </w:rPr>
        <w:t>产品</w:t>
      </w:r>
      <w:r w:rsidR="00CB6424" w:rsidRPr="00F31118">
        <w:rPr>
          <w:rFonts w:ascii="Arial" w:eastAsia="宋体" w:hAnsi="Arial" w:cs="Arial"/>
        </w:rPr>
        <w:t>的一个</w:t>
      </w:r>
      <w:r w:rsidR="00A82711" w:rsidRPr="00F31118">
        <w:rPr>
          <w:rFonts w:ascii="Arial" w:eastAsia="宋体" w:hAnsi="Arial" w:cs="Arial"/>
        </w:rPr>
        <w:t>构造板块</w:t>
      </w:r>
      <w:r w:rsidR="00A40A27" w:rsidRPr="00F31118">
        <w:rPr>
          <w:rFonts w:ascii="Arial" w:eastAsia="宋体" w:hAnsi="Arial" w:cs="Arial"/>
        </w:rPr>
        <w:t>并拟用来开发一种开发商必须制定使用说明、提出性能主张的检验</w:t>
      </w:r>
      <w:r w:rsidR="00144B6F" w:rsidRPr="00F31118">
        <w:rPr>
          <w:rFonts w:ascii="Arial" w:eastAsia="宋体" w:hAnsi="Arial" w:cs="Arial"/>
        </w:rPr>
        <w:t>产品</w:t>
      </w:r>
      <w:r w:rsidR="00680E78" w:rsidRPr="00F31118">
        <w:rPr>
          <w:rFonts w:ascii="Arial" w:eastAsia="宋体" w:hAnsi="Arial" w:cs="Arial"/>
        </w:rPr>
        <w:t>（</w:t>
      </w:r>
      <w:r w:rsidR="00680E78" w:rsidRPr="00F31118">
        <w:rPr>
          <w:rFonts w:ascii="Arial" w:eastAsia="宋体" w:hAnsi="Arial" w:cs="Arial"/>
        </w:rPr>
        <w:t>21 CFR 809.10(e)(1)(x)</w:t>
      </w:r>
      <w:r w:rsidR="00680E78" w:rsidRPr="00F31118">
        <w:rPr>
          <w:rFonts w:ascii="Arial" w:eastAsia="宋体" w:hAnsi="Arial" w:cs="Arial"/>
        </w:rPr>
        <w:t>，</w:t>
      </w:r>
      <w:r w:rsidR="00680E78" w:rsidRPr="00F31118">
        <w:rPr>
          <w:rFonts w:ascii="Arial" w:eastAsia="宋体" w:hAnsi="Arial" w:cs="Arial"/>
        </w:rPr>
        <w:t>809.30(d)(4)</w:t>
      </w:r>
      <w:r w:rsidR="00680E78" w:rsidRPr="00F31118">
        <w:rPr>
          <w:rFonts w:ascii="Arial" w:eastAsia="宋体" w:hAnsi="Arial" w:cs="Arial"/>
        </w:rPr>
        <w:t>）</w:t>
      </w:r>
      <w:r w:rsidR="00A40A27" w:rsidRPr="00F31118">
        <w:rPr>
          <w:rFonts w:ascii="Arial" w:eastAsia="宋体" w:hAnsi="Arial" w:cs="Arial"/>
        </w:rPr>
        <w:t>。</w:t>
      </w:r>
      <w:r w:rsidR="008039A3" w:rsidRPr="00F31118">
        <w:rPr>
          <w:rFonts w:ascii="Arial" w:eastAsia="宋体" w:hAnsi="Arial" w:cs="Arial"/>
        </w:rPr>
        <w:t>制造商</w:t>
      </w:r>
      <w:r w:rsidR="00CC49F7" w:rsidRPr="00F31118">
        <w:rPr>
          <w:rFonts w:ascii="Arial" w:eastAsia="宋体" w:hAnsi="Arial" w:cs="Arial"/>
        </w:rPr>
        <w:t>在</w:t>
      </w:r>
      <w:r w:rsidR="00FC4483" w:rsidRPr="00F31118">
        <w:rPr>
          <w:rFonts w:ascii="Arial" w:eastAsia="宋体" w:hAnsi="Arial" w:cs="Arial"/>
        </w:rPr>
        <w:t>用于</w:t>
      </w:r>
      <w:r w:rsidR="00CC49F7" w:rsidRPr="00F31118">
        <w:rPr>
          <w:rFonts w:ascii="Arial" w:eastAsia="宋体" w:hAnsi="Arial" w:cs="Arial"/>
        </w:rPr>
        <w:t>某种特</w:t>
      </w:r>
      <w:r w:rsidR="002256C2" w:rsidRPr="00F31118">
        <w:rPr>
          <w:rFonts w:ascii="Arial" w:eastAsia="宋体" w:hAnsi="Arial" w:cs="Arial"/>
        </w:rPr>
        <w:t>定</w:t>
      </w:r>
      <w:r w:rsidR="00CC49F7" w:rsidRPr="00F31118">
        <w:rPr>
          <w:rFonts w:ascii="Arial" w:eastAsia="宋体" w:hAnsi="Arial" w:cs="Arial"/>
        </w:rPr>
        <w:t>检验</w:t>
      </w:r>
      <w:r w:rsidR="00C81076" w:rsidRPr="00F31118">
        <w:rPr>
          <w:rFonts w:ascii="Arial" w:eastAsia="宋体" w:hAnsi="Arial" w:cs="Arial"/>
        </w:rPr>
        <w:t>产品</w:t>
      </w:r>
      <w:r w:rsidR="00FC4483" w:rsidRPr="00F31118">
        <w:rPr>
          <w:rFonts w:ascii="Arial" w:eastAsia="宋体" w:hAnsi="Arial" w:cs="Arial"/>
        </w:rPr>
        <w:t>的</w:t>
      </w:r>
      <w:r>
        <w:rPr>
          <w:rFonts w:ascii="Arial" w:eastAsia="宋体" w:hAnsi="Arial" w:cs="Arial"/>
        </w:rPr>
        <w:t>被分析物特效试剂</w:t>
      </w:r>
      <w:r w:rsidR="00CC49F7" w:rsidRPr="00F31118">
        <w:rPr>
          <w:rFonts w:ascii="Arial" w:eastAsia="宋体" w:hAnsi="Arial" w:cs="Arial"/>
        </w:rPr>
        <w:t>使用说明</w:t>
      </w:r>
      <w:r w:rsidR="00FC4483" w:rsidRPr="00F31118">
        <w:rPr>
          <w:rFonts w:ascii="Arial" w:eastAsia="宋体" w:hAnsi="Arial" w:cs="Arial"/>
        </w:rPr>
        <w:t>中</w:t>
      </w:r>
      <w:r w:rsidR="00CC49F7" w:rsidRPr="00F31118">
        <w:rPr>
          <w:rFonts w:ascii="Arial" w:eastAsia="宋体" w:hAnsi="Arial" w:cs="Arial"/>
        </w:rPr>
        <w:t>会提出一个</w:t>
      </w:r>
      <w:r w:rsidR="007F0732" w:rsidRPr="00F31118">
        <w:rPr>
          <w:rFonts w:ascii="Arial" w:eastAsia="宋体" w:hAnsi="Arial" w:cs="Arial"/>
        </w:rPr>
        <w:t>声明</w:t>
      </w:r>
      <w:r w:rsidR="00CC49F7" w:rsidRPr="00F31118">
        <w:rPr>
          <w:rFonts w:ascii="Arial" w:eastAsia="宋体" w:hAnsi="Arial" w:cs="Arial"/>
        </w:rPr>
        <w:t>，即按说明使用时，</w:t>
      </w:r>
      <w:r>
        <w:rPr>
          <w:rFonts w:ascii="Arial" w:eastAsia="宋体" w:hAnsi="Arial" w:cs="Arial"/>
        </w:rPr>
        <w:t>被分析物特效试剂</w:t>
      </w:r>
      <w:r w:rsidR="00FC4483" w:rsidRPr="00F31118">
        <w:rPr>
          <w:rFonts w:ascii="Arial" w:eastAsia="宋体" w:hAnsi="Arial" w:cs="Arial"/>
        </w:rPr>
        <w:t>可发挥检测某种特</w:t>
      </w:r>
      <w:r w:rsidR="002256C2" w:rsidRPr="00F31118">
        <w:rPr>
          <w:rFonts w:ascii="Arial" w:eastAsia="宋体" w:hAnsi="Arial" w:cs="Arial"/>
        </w:rPr>
        <w:t>定</w:t>
      </w:r>
      <w:r w:rsidR="00FC4483" w:rsidRPr="00F31118">
        <w:rPr>
          <w:rFonts w:ascii="Arial" w:eastAsia="宋体" w:hAnsi="Arial" w:cs="Arial"/>
        </w:rPr>
        <w:t>化学物质或配体的作用。</w:t>
      </w:r>
    </w:p>
    <w:p w:rsidR="00FC4483" w:rsidRPr="00F31118" w:rsidRDefault="00FC4483" w:rsidP="003059EA">
      <w:pPr>
        <w:snapToGrid w:val="0"/>
        <w:spacing w:line="300" w:lineRule="auto"/>
        <w:rPr>
          <w:rFonts w:ascii="Arial" w:eastAsia="宋体" w:hAnsi="Arial" w:cs="Arial"/>
        </w:rPr>
      </w:pPr>
    </w:p>
    <w:p w:rsidR="00FC4483" w:rsidRPr="00F31118" w:rsidRDefault="00AE0DCB" w:rsidP="003059EA">
      <w:pPr>
        <w:snapToGrid w:val="0"/>
        <w:spacing w:line="300" w:lineRule="auto"/>
        <w:rPr>
          <w:rFonts w:ascii="Arial" w:eastAsia="宋体" w:hAnsi="Arial" w:cs="Arial"/>
        </w:rPr>
      </w:pPr>
      <w:r w:rsidRPr="00F31118">
        <w:rPr>
          <w:rFonts w:ascii="Arial" w:eastAsia="宋体" w:hAnsi="Arial" w:cs="Arial"/>
        </w:rPr>
        <w:t>换句话说</w:t>
      </w:r>
      <w:r w:rsidR="00F26A71" w:rsidRPr="00F31118">
        <w:rPr>
          <w:rFonts w:ascii="Arial" w:eastAsia="宋体" w:hAnsi="Arial" w:cs="Arial"/>
        </w:rPr>
        <w:t>，</w:t>
      </w:r>
      <w:r w:rsidR="0090296D" w:rsidRPr="00F31118">
        <w:rPr>
          <w:rFonts w:ascii="Arial" w:eastAsia="宋体" w:hAnsi="Arial" w:cs="Arial"/>
        </w:rPr>
        <w:t>制造商</w:t>
      </w:r>
      <w:r w:rsidR="007F0732" w:rsidRPr="00F31118">
        <w:rPr>
          <w:rStyle w:val="shorttext"/>
          <w:rFonts w:ascii="Arial" w:eastAsia="宋体" w:hAnsi="Arial" w:cs="Arial"/>
        </w:rPr>
        <w:t>必须提供适当的存储和处理</w:t>
      </w:r>
      <w:r w:rsidR="00921E51">
        <w:rPr>
          <w:rFonts w:ascii="Arial" w:eastAsia="宋体" w:hAnsi="Arial" w:cs="Arial"/>
        </w:rPr>
        <w:t>被分析物特效试剂</w:t>
      </w:r>
      <w:r w:rsidR="007F0732" w:rsidRPr="00F31118">
        <w:rPr>
          <w:rStyle w:val="shorttext"/>
          <w:rFonts w:ascii="Arial" w:eastAsia="宋体" w:hAnsi="Arial" w:cs="Arial"/>
        </w:rPr>
        <w:t>的说明。</w:t>
      </w:r>
      <w:r w:rsidR="00F26A71" w:rsidRPr="00F31118">
        <w:rPr>
          <w:rFonts w:ascii="Arial" w:eastAsia="宋体" w:hAnsi="Arial" w:cs="Arial"/>
        </w:rPr>
        <w:t>（</w:t>
      </w:r>
      <w:r w:rsidR="00F26A71" w:rsidRPr="00F31118">
        <w:rPr>
          <w:rFonts w:ascii="Arial" w:eastAsia="宋体" w:hAnsi="Arial" w:cs="Arial"/>
        </w:rPr>
        <w:t>21 CFR 809.10(e)(1)(vi)</w:t>
      </w:r>
      <w:r w:rsidR="00F26A71" w:rsidRPr="00F31118">
        <w:rPr>
          <w:rFonts w:ascii="Arial" w:eastAsia="宋体" w:hAnsi="Arial" w:cs="Arial"/>
        </w:rPr>
        <w:t>）。</w:t>
      </w:r>
      <w:r w:rsidR="0090296D" w:rsidRPr="00F31118">
        <w:rPr>
          <w:rFonts w:ascii="Arial" w:eastAsia="宋体" w:hAnsi="Arial" w:cs="Arial"/>
        </w:rPr>
        <w:t>另外，</w:t>
      </w:r>
      <w:r w:rsidR="00CD3E7D" w:rsidRPr="00F31118">
        <w:rPr>
          <w:rFonts w:ascii="Arial" w:eastAsia="宋体" w:hAnsi="Arial" w:cs="Arial"/>
        </w:rPr>
        <w:t>制造商在操作指南中可能会包含关于化学成分</w:t>
      </w:r>
      <w:r w:rsidR="00CD3E7D" w:rsidRPr="00F31118">
        <w:rPr>
          <w:rFonts w:ascii="Arial" w:eastAsia="宋体" w:hAnsi="Arial" w:cs="Arial"/>
        </w:rPr>
        <w:t>/</w:t>
      </w:r>
      <w:r w:rsidR="00CD3E7D" w:rsidRPr="00F31118">
        <w:rPr>
          <w:rFonts w:ascii="Arial" w:eastAsia="宋体" w:hAnsi="Arial" w:cs="Arial"/>
        </w:rPr>
        <w:t>分子构成、浓度或质量、核酸序列、</w:t>
      </w:r>
      <w:r w:rsidR="00706C13" w:rsidRPr="00F31118">
        <w:rPr>
          <w:rFonts w:ascii="Arial" w:eastAsia="宋体" w:hAnsi="Arial" w:cs="Arial"/>
        </w:rPr>
        <w:t>结</w:t>
      </w:r>
      <w:r w:rsidR="00DB0255" w:rsidRPr="00F31118">
        <w:rPr>
          <w:rFonts w:ascii="Arial" w:eastAsia="宋体" w:hAnsi="Arial" w:cs="Arial"/>
        </w:rPr>
        <w:t>和力、交叉反应性、与该序列有关的已知突变以及与</w:t>
      </w:r>
      <w:r w:rsidR="008039A3" w:rsidRPr="00F31118">
        <w:rPr>
          <w:rFonts w:ascii="Arial" w:eastAsia="宋体" w:hAnsi="Arial" w:cs="Arial"/>
        </w:rPr>
        <w:t>已知</w:t>
      </w:r>
      <w:r w:rsidR="00DB0255" w:rsidRPr="00F31118">
        <w:rPr>
          <w:rFonts w:ascii="Arial" w:eastAsia="宋体" w:hAnsi="Arial" w:cs="Arial"/>
        </w:rPr>
        <w:t>临床意义物质的相互作用</w:t>
      </w:r>
      <w:r w:rsidR="008039A3" w:rsidRPr="00F31118">
        <w:rPr>
          <w:rFonts w:ascii="Arial" w:eastAsia="宋体" w:hAnsi="Arial" w:cs="Arial"/>
        </w:rPr>
        <w:t>方面的科学信息（</w:t>
      </w:r>
      <w:r w:rsidR="008039A3" w:rsidRPr="00F31118">
        <w:rPr>
          <w:rFonts w:ascii="Arial" w:eastAsia="宋体" w:hAnsi="Arial" w:cs="Arial"/>
        </w:rPr>
        <w:t>21 CFR 809.10(e)(1)(iv)</w:t>
      </w:r>
      <w:r w:rsidR="008039A3" w:rsidRPr="00F31118">
        <w:rPr>
          <w:rFonts w:ascii="Arial" w:eastAsia="宋体" w:hAnsi="Arial" w:cs="Arial"/>
        </w:rPr>
        <w:t>）。</w:t>
      </w:r>
    </w:p>
    <w:p w:rsidR="00CD3E7D" w:rsidRPr="00F31118" w:rsidRDefault="00CD3E7D" w:rsidP="003059EA">
      <w:pPr>
        <w:snapToGrid w:val="0"/>
        <w:spacing w:line="300" w:lineRule="auto"/>
        <w:rPr>
          <w:rFonts w:ascii="Arial" w:eastAsia="宋体" w:hAnsi="Arial" w:cs="Arial"/>
        </w:rPr>
      </w:pPr>
    </w:p>
    <w:p w:rsidR="00FC4483" w:rsidRPr="00F31118" w:rsidRDefault="008039A3" w:rsidP="003059EA">
      <w:pPr>
        <w:snapToGrid w:val="0"/>
        <w:spacing w:line="300" w:lineRule="auto"/>
        <w:rPr>
          <w:rFonts w:ascii="Arial" w:eastAsia="宋体" w:hAnsi="Arial" w:cs="Arial"/>
          <w:b/>
        </w:rPr>
      </w:pPr>
      <w:r w:rsidRPr="00F31118">
        <w:rPr>
          <w:rFonts w:ascii="Arial" w:eastAsia="宋体" w:hAnsi="Arial" w:cs="Arial"/>
          <w:b/>
        </w:rPr>
        <w:t xml:space="preserve">13. </w:t>
      </w:r>
      <w:r w:rsidR="005D115E" w:rsidRPr="00F31118">
        <w:rPr>
          <w:rFonts w:ascii="Arial" w:eastAsia="宋体" w:hAnsi="Arial" w:cs="Arial"/>
          <w:b/>
        </w:rPr>
        <w:t>制造商或经销商可以告诉实验室哪些</w:t>
      </w:r>
      <w:r w:rsidR="00921E51">
        <w:rPr>
          <w:rFonts w:ascii="Arial" w:eastAsia="宋体" w:hAnsi="Arial" w:cs="Arial"/>
          <w:b/>
        </w:rPr>
        <w:t>被分析物特效试剂</w:t>
      </w:r>
      <w:r w:rsidR="005D115E" w:rsidRPr="00F31118">
        <w:rPr>
          <w:rFonts w:ascii="Arial" w:eastAsia="宋体" w:hAnsi="Arial" w:cs="Arial"/>
          <w:b/>
        </w:rPr>
        <w:t>对某种特</w:t>
      </w:r>
      <w:r w:rsidR="002256C2" w:rsidRPr="00F31118">
        <w:rPr>
          <w:rFonts w:ascii="Arial" w:eastAsia="宋体" w:hAnsi="Arial" w:cs="Arial"/>
          <w:b/>
        </w:rPr>
        <w:t>定</w:t>
      </w:r>
      <w:r w:rsidR="005D115E" w:rsidRPr="00F31118">
        <w:rPr>
          <w:rFonts w:ascii="Arial" w:eastAsia="宋体" w:hAnsi="Arial" w:cs="Arial"/>
          <w:b/>
        </w:rPr>
        <w:t>用途是有用的吗</w:t>
      </w:r>
      <w:r w:rsidR="00706C13" w:rsidRPr="00F31118">
        <w:rPr>
          <w:rFonts w:ascii="Arial" w:eastAsia="宋体" w:hAnsi="Arial" w:cs="Arial"/>
          <w:b/>
        </w:rPr>
        <w:t>（如哪些单克隆抗体或探针对白血病或淋巴瘤检测是有用的）</w:t>
      </w:r>
      <w:r w:rsidR="005D115E" w:rsidRPr="00F31118">
        <w:rPr>
          <w:rFonts w:ascii="Arial" w:eastAsia="宋体" w:hAnsi="Arial" w:cs="Arial"/>
          <w:b/>
        </w:rPr>
        <w:t>？</w:t>
      </w:r>
    </w:p>
    <w:p w:rsidR="00FC4483" w:rsidRPr="00F31118" w:rsidRDefault="00FC4483" w:rsidP="003059EA">
      <w:pPr>
        <w:snapToGrid w:val="0"/>
        <w:spacing w:line="300" w:lineRule="auto"/>
        <w:rPr>
          <w:rFonts w:ascii="Arial" w:eastAsia="宋体" w:hAnsi="Arial" w:cs="Arial"/>
        </w:rPr>
      </w:pPr>
    </w:p>
    <w:p w:rsidR="00882343" w:rsidRPr="00F31118" w:rsidRDefault="00921E51" w:rsidP="003059EA">
      <w:pPr>
        <w:snapToGrid w:val="0"/>
        <w:spacing w:line="300" w:lineRule="auto"/>
        <w:rPr>
          <w:rFonts w:ascii="Arial" w:eastAsia="宋体" w:hAnsi="Arial" w:cs="Arial"/>
        </w:rPr>
      </w:pPr>
      <w:r>
        <w:rPr>
          <w:rFonts w:ascii="Arial" w:eastAsia="宋体" w:hAnsi="Arial" w:cs="Arial"/>
        </w:rPr>
        <w:t>被分析物特效试剂</w:t>
      </w:r>
      <w:r w:rsidR="00AC73A0" w:rsidRPr="00F31118">
        <w:rPr>
          <w:rFonts w:ascii="Arial" w:eastAsia="宋体" w:hAnsi="Arial" w:cs="Arial"/>
        </w:rPr>
        <w:t>制造商和经销商不应向医生或实验室提出关于</w:t>
      </w:r>
      <w:r>
        <w:rPr>
          <w:rFonts w:ascii="Arial" w:eastAsia="宋体" w:hAnsi="Arial" w:cs="Arial"/>
        </w:rPr>
        <w:t>被分析物特效试剂</w:t>
      </w:r>
      <w:r w:rsidR="00AC73A0" w:rsidRPr="00F31118">
        <w:rPr>
          <w:rFonts w:ascii="Arial" w:eastAsia="宋体" w:hAnsi="Arial" w:cs="Arial"/>
        </w:rPr>
        <w:t>分析或临床性能方面的</w:t>
      </w:r>
      <w:r w:rsidR="00706C13" w:rsidRPr="00F31118">
        <w:rPr>
          <w:rFonts w:ascii="Arial" w:eastAsia="宋体" w:hAnsi="Arial" w:cs="Arial"/>
        </w:rPr>
        <w:t>声明</w:t>
      </w:r>
      <w:r w:rsidR="00AC73A0" w:rsidRPr="00F31118">
        <w:rPr>
          <w:rFonts w:ascii="Arial" w:eastAsia="宋体" w:hAnsi="Arial" w:cs="Arial"/>
        </w:rPr>
        <w:t>。</w:t>
      </w:r>
      <w:r w:rsidR="00137436" w:rsidRPr="00F31118">
        <w:rPr>
          <w:rFonts w:ascii="Arial" w:eastAsia="宋体" w:hAnsi="Arial" w:cs="Arial"/>
        </w:rPr>
        <w:t>由实验室而不是</w:t>
      </w:r>
      <w:r>
        <w:rPr>
          <w:rFonts w:ascii="Arial" w:eastAsia="宋体" w:hAnsi="Arial" w:cs="Arial"/>
        </w:rPr>
        <w:t>被分析物特效试剂</w:t>
      </w:r>
      <w:r w:rsidR="00137436" w:rsidRPr="00F31118">
        <w:rPr>
          <w:rFonts w:ascii="Arial" w:eastAsia="宋体" w:hAnsi="Arial" w:cs="Arial"/>
        </w:rPr>
        <w:t>制造商或经销商对检验</w:t>
      </w:r>
      <w:r w:rsidR="00C81076" w:rsidRPr="00F31118">
        <w:rPr>
          <w:rFonts w:ascii="Arial" w:eastAsia="宋体" w:hAnsi="Arial" w:cs="Arial"/>
        </w:rPr>
        <w:t>产品</w:t>
      </w:r>
      <w:r w:rsidR="00137436" w:rsidRPr="00F31118">
        <w:rPr>
          <w:rFonts w:ascii="Arial" w:eastAsia="宋体" w:hAnsi="Arial" w:cs="Arial"/>
        </w:rPr>
        <w:t>的设计和性能负责（</w:t>
      </w:r>
      <w:r w:rsidR="00137436" w:rsidRPr="00F31118">
        <w:rPr>
          <w:rFonts w:ascii="Arial" w:eastAsia="宋体" w:hAnsi="Arial" w:cs="Arial"/>
        </w:rPr>
        <w:t>21 CFR 809.30(d)(4)</w:t>
      </w:r>
      <w:r w:rsidR="00137436" w:rsidRPr="00F31118">
        <w:rPr>
          <w:rFonts w:ascii="Arial" w:eastAsia="宋体" w:hAnsi="Arial" w:cs="Arial"/>
        </w:rPr>
        <w:t>）。</w:t>
      </w:r>
    </w:p>
    <w:p w:rsidR="00882343" w:rsidRPr="00F31118" w:rsidRDefault="00882343" w:rsidP="003059EA">
      <w:pPr>
        <w:snapToGrid w:val="0"/>
        <w:spacing w:line="300" w:lineRule="auto"/>
        <w:rPr>
          <w:rFonts w:ascii="Arial" w:eastAsia="宋体" w:hAnsi="Arial" w:cs="Arial"/>
        </w:rPr>
      </w:pPr>
    </w:p>
    <w:p w:rsidR="00882343" w:rsidRPr="00F31118" w:rsidRDefault="00882343" w:rsidP="003059EA">
      <w:pPr>
        <w:snapToGrid w:val="0"/>
        <w:spacing w:line="300" w:lineRule="auto"/>
        <w:rPr>
          <w:rFonts w:ascii="Arial" w:eastAsia="宋体" w:hAnsi="Arial" w:cs="Arial"/>
        </w:rPr>
      </w:pPr>
    </w:p>
    <w:p w:rsidR="007244F5" w:rsidRPr="00F31118" w:rsidRDefault="007244F5" w:rsidP="003059EA">
      <w:pPr>
        <w:snapToGrid w:val="0"/>
        <w:spacing w:line="300" w:lineRule="auto"/>
        <w:rPr>
          <w:rFonts w:ascii="Arial" w:eastAsia="宋体" w:hAnsi="Arial" w:cs="Arial"/>
        </w:rPr>
      </w:pPr>
    </w:p>
    <w:p w:rsidR="007244F5" w:rsidRPr="00F31118" w:rsidRDefault="00921E51" w:rsidP="003059EA">
      <w:pPr>
        <w:snapToGrid w:val="0"/>
        <w:spacing w:line="300" w:lineRule="auto"/>
        <w:rPr>
          <w:rFonts w:ascii="Arial" w:eastAsia="宋体" w:hAnsi="Arial" w:cs="Arial"/>
        </w:rPr>
      </w:pPr>
      <w:r>
        <w:rPr>
          <w:rFonts w:ascii="Arial" w:eastAsia="宋体" w:hAnsi="Arial" w:cs="Arial"/>
        </w:rPr>
        <w:lastRenderedPageBreak/>
        <w:t>被分析物特效试剂</w:t>
      </w:r>
      <w:r w:rsidR="000374D2" w:rsidRPr="00F31118">
        <w:rPr>
          <w:rFonts w:ascii="Arial" w:eastAsia="宋体" w:hAnsi="Arial" w:cs="Arial"/>
        </w:rPr>
        <w:t>可在其标签中指出</w:t>
      </w:r>
      <w:r w:rsidR="008078B5" w:rsidRPr="00F31118">
        <w:rPr>
          <w:rFonts w:ascii="Arial" w:eastAsia="宋体" w:hAnsi="Arial" w:cs="Arial"/>
        </w:rPr>
        <w:t>试剂的</w:t>
      </w:r>
      <w:r w:rsidR="00706C13" w:rsidRPr="00F31118">
        <w:rPr>
          <w:rFonts w:ascii="Arial" w:eastAsia="宋体" w:hAnsi="Arial" w:cs="Arial"/>
        </w:rPr>
        <w:t>结</w:t>
      </w:r>
      <w:r w:rsidR="008078B5" w:rsidRPr="00F31118">
        <w:rPr>
          <w:rFonts w:ascii="Arial" w:eastAsia="宋体" w:hAnsi="Arial" w:cs="Arial"/>
        </w:rPr>
        <w:t>和力，如</w:t>
      </w:r>
      <w:r w:rsidR="008078B5" w:rsidRPr="00F31118">
        <w:rPr>
          <w:rFonts w:ascii="Arial" w:eastAsia="宋体" w:hAnsi="Arial" w:cs="Arial"/>
        </w:rPr>
        <w:t>“</w:t>
      </w:r>
      <w:r w:rsidR="008078B5" w:rsidRPr="00F31118">
        <w:rPr>
          <w:rFonts w:ascii="Arial" w:eastAsia="宋体" w:hAnsi="Arial" w:cs="Arial"/>
        </w:rPr>
        <w:t>抗雌激素受体抗体</w:t>
      </w:r>
      <w:r w:rsidR="008078B5" w:rsidRPr="00F31118">
        <w:rPr>
          <w:rFonts w:ascii="Arial" w:eastAsia="宋体" w:hAnsi="Arial" w:cs="Arial"/>
        </w:rPr>
        <w:t>”</w:t>
      </w:r>
      <w:r w:rsidR="008078B5" w:rsidRPr="00F31118">
        <w:rPr>
          <w:rFonts w:ascii="Arial" w:eastAsia="宋体" w:hAnsi="Arial" w:cs="Arial"/>
        </w:rPr>
        <w:t>或</w:t>
      </w:r>
      <w:r w:rsidR="008078B5" w:rsidRPr="00F31118">
        <w:rPr>
          <w:rFonts w:ascii="Arial" w:eastAsia="宋体" w:hAnsi="Arial" w:cs="Arial"/>
        </w:rPr>
        <w:t>“</w:t>
      </w:r>
      <w:r w:rsidR="008078B5" w:rsidRPr="00F31118">
        <w:rPr>
          <w:rFonts w:ascii="Arial" w:eastAsia="宋体" w:hAnsi="Arial" w:cs="Arial"/>
        </w:rPr>
        <w:t>囊性纤维化跨膜转导调节因子</w:t>
      </w:r>
      <w:r w:rsidR="00571E69" w:rsidRPr="00F31118">
        <w:rPr>
          <w:rFonts w:ascii="宋体" w:eastAsia="宋体" w:hAnsi="宋体" w:cs="宋体" w:hint="eastAsia"/>
        </w:rPr>
        <w:t>△</w:t>
      </w:r>
      <w:r w:rsidR="008078B5" w:rsidRPr="00F31118">
        <w:rPr>
          <w:rFonts w:ascii="Arial" w:eastAsia="宋体" w:hAnsi="Arial" w:cs="Arial"/>
        </w:rPr>
        <w:t>F508</w:t>
      </w:r>
      <w:r w:rsidR="008078B5" w:rsidRPr="00F31118">
        <w:rPr>
          <w:rFonts w:ascii="Arial" w:eastAsia="宋体" w:hAnsi="Arial" w:cs="Arial"/>
        </w:rPr>
        <w:t>位点核酸探针</w:t>
      </w:r>
      <w:r w:rsidR="008078B5" w:rsidRPr="00F31118">
        <w:rPr>
          <w:rFonts w:ascii="Arial" w:eastAsia="宋体" w:hAnsi="Arial" w:cs="Arial"/>
        </w:rPr>
        <w:t>”</w:t>
      </w:r>
      <w:r w:rsidR="008078B5" w:rsidRPr="00F31118">
        <w:rPr>
          <w:rFonts w:ascii="Arial" w:eastAsia="宋体" w:hAnsi="Arial" w:cs="Arial"/>
        </w:rPr>
        <w:t>。</w:t>
      </w:r>
      <w:r w:rsidR="004358AE" w:rsidRPr="00F31118">
        <w:rPr>
          <w:rFonts w:ascii="Arial" w:eastAsia="宋体" w:hAnsi="Arial" w:cs="Arial"/>
        </w:rPr>
        <w:t>在标签中还应提供</w:t>
      </w:r>
      <w:r w:rsidR="004358AE" w:rsidRPr="00F31118">
        <w:rPr>
          <w:rFonts w:ascii="Arial" w:eastAsia="宋体" w:hAnsi="Arial" w:cs="Arial"/>
        </w:rPr>
        <w:t>DNA</w:t>
      </w:r>
      <w:r w:rsidR="004358AE" w:rsidRPr="00F31118">
        <w:rPr>
          <w:rFonts w:ascii="Arial" w:eastAsia="宋体" w:hAnsi="Arial" w:cs="Arial"/>
        </w:rPr>
        <w:t>探针</w:t>
      </w:r>
      <w:r w:rsidR="00166C99" w:rsidRPr="00F31118">
        <w:rPr>
          <w:rFonts w:ascii="Arial" w:eastAsia="宋体" w:hAnsi="Arial" w:cs="Arial"/>
        </w:rPr>
        <w:t>或蛋白质</w:t>
      </w:r>
      <w:r w:rsidR="00CF0745" w:rsidRPr="00F31118">
        <w:rPr>
          <w:rFonts w:ascii="Arial" w:eastAsia="宋体" w:hAnsi="Arial" w:cs="Arial"/>
        </w:rPr>
        <w:t>片段</w:t>
      </w:r>
      <w:r w:rsidR="004358AE" w:rsidRPr="00F31118">
        <w:rPr>
          <w:rFonts w:ascii="Arial" w:eastAsia="宋体" w:hAnsi="Arial" w:cs="Arial"/>
        </w:rPr>
        <w:t>的</w:t>
      </w:r>
      <w:r w:rsidR="00706C13" w:rsidRPr="00F31118">
        <w:rPr>
          <w:rFonts w:ascii="Arial" w:eastAsia="宋体" w:hAnsi="Arial" w:cs="Arial"/>
        </w:rPr>
        <w:t>结合</w:t>
      </w:r>
      <w:r w:rsidR="004358AE" w:rsidRPr="00F31118">
        <w:rPr>
          <w:rFonts w:ascii="Arial" w:eastAsia="宋体" w:hAnsi="Arial" w:cs="Arial"/>
        </w:rPr>
        <w:t>和力</w:t>
      </w:r>
      <w:r w:rsidR="00166C99" w:rsidRPr="00F31118">
        <w:rPr>
          <w:rFonts w:ascii="Arial" w:eastAsia="宋体" w:hAnsi="Arial" w:cs="Arial"/>
        </w:rPr>
        <w:t>、靶</w:t>
      </w:r>
      <w:r w:rsidR="00CF0745" w:rsidRPr="00F31118">
        <w:rPr>
          <w:rFonts w:ascii="Arial" w:eastAsia="宋体" w:hAnsi="Arial" w:cs="Arial"/>
        </w:rPr>
        <w:t>分子</w:t>
      </w:r>
      <w:r w:rsidR="00166C99" w:rsidRPr="00F31118">
        <w:rPr>
          <w:rFonts w:ascii="Arial" w:eastAsia="宋体" w:hAnsi="Arial" w:cs="Arial"/>
        </w:rPr>
        <w:t>或序列等方面的其它类似信息。</w:t>
      </w:r>
      <w:r w:rsidR="005A2471" w:rsidRPr="00F31118">
        <w:rPr>
          <w:rFonts w:ascii="Arial" w:eastAsia="宋体" w:hAnsi="Arial" w:cs="Arial"/>
        </w:rPr>
        <w:t>这些信息描述了</w:t>
      </w:r>
      <w:r>
        <w:rPr>
          <w:rFonts w:ascii="Arial" w:eastAsia="宋体" w:hAnsi="Arial" w:cs="Arial"/>
        </w:rPr>
        <w:t>被分析物特效试剂</w:t>
      </w:r>
      <w:r w:rsidR="005A2471" w:rsidRPr="00F31118">
        <w:rPr>
          <w:rFonts w:ascii="Arial" w:eastAsia="宋体" w:hAnsi="Arial" w:cs="Arial"/>
        </w:rPr>
        <w:t>所针对的配体</w:t>
      </w:r>
      <w:r w:rsidR="001A7846" w:rsidRPr="00F31118">
        <w:rPr>
          <w:rFonts w:ascii="Arial" w:eastAsia="宋体" w:hAnsi="Arial" w:cs="Arial"/>
        </w:rPr>
        <w:t>，然而并未提出</w:t>
      </w:r>
      <w:r w:rsidR="005A2471" w:rsidRPr="00F31118">
        <w:rPr>
          <w:rFonts w:ascii="Arial" w:eastAsia="宋体" w:hAnsi="Arial" w:cs="Arial"/>
        </w:rPr>
        <w:t>将会产生某种特</w:t>
      </w:r>
      <w:r w:rsidR="002256C2" w:rsidRPr="00F31118">
        <w:rPr>
          <w:rFonts w:ascii="Arial" w:eastAsia="宋体" w:hAnsi="Arial" w:cs="Arial"/>
        </w:rPr>
        <w:t>定</w:t>
      </w:r>
      <w:r w:rsidR="005A2471" w:rsidRPr="00F31118">
        <w:rPr>
          <w:rFonts w:ascii="Arial" w:eastAsia="宋体" w:hAnsi="Arial" w:cs="Arial"/>
        </w:rPr>
        <w:t>的临床或分析结果。</w:t>
      </w:r>
      <w:r w:rsidR="001A7846" w:rsidRPr="00F31118">
        <w:rPr>
          <w:rFonts w:ascii="Arial" w:eastAsia="宋体" w:hAnsi="Arial" w:cs="Arial"/>
        </w:rPr>
        <w:t>但是，</w:t>
      </w:r>
      <w:r w:rsidR="001A7846" w:rsidRPr="00F31118">
        <w:rPr>
          <w:rFonts w:ascii="Arial" w:eastAsia="宋体" w:hAnsi="Arial" w:cs="Arial"/>
        </w:rPr>
        <w:t>“</w:t>
      </w:r>
      <w:r w:rsidR="001A7846" w:rsidRPr="00F31118">
        <w:rPr>
          <w:rFonts w:ascii="Arial" w:eastAsia="宋体" w:hAnsi="Arial" w:cs="Arial"/>
        </w:rPr>
        <w:t>心脏风险</w:t>
      </w:r>
      <w:r>
        <w:rPr>
          <w:rFonts w:ascii="Arial" w:eastAsia="宋体" w:hAnsi="Arial" w:cs="Arial"/>
        </w:rPr>
        <w:t>被分析物特效试剂</w:t>
      </w:r>
      <w:r w:rsidR="001A7846" w:rsidRPr="00F31118">
        <w:rPr>
          <w:rFonts w:ascii="Arial" w:eastAsia="宋体" w:hAnsi="Arial" w:cs="Arial"/>
        </w:rPr>
        <w:t>”</w:t>
      </w:r>
      <w:r w:rsidR="001A7846" w:rsidRPr="00F31118">
        <w:rPr>
          <w:rFonts w:ascii="Arial" w:eastAsia="宋体" w:hAnsi="Arial" w:cs="Arial"/>
        </w:rPr>
        <w:t>这样的名称描述了产品的某种具体临床用途，因此，食品药品监督管理局不会将这样的产品视为</w:t>
      </w:r>
      <w:r>
        <w:rPr>
          <w:rFonts w:ascii="Arial" w:eastAsia="宋体" w:hAnsi="Arial" w:cs="Arial"/>
        </w:rPr>
        <w:t>被分析物特效试剂</w:t>
      </w:r>
      <w:r w:rsidR="00CA0D36" w:rsidRPr="00F31118">
        <w:rPr>
          <w:rFonts w:ascii="Arial" w:eastAsia="宋体" w:hAnsi="Arial" w:cs="Arial"/>
        </w:rPr>
        <w:t>。</w:t>
      </w:r>
    </w:p>
    <w:p w:rsidR="007244F5" w:rsidRPr="00F31118" w:rsidRDefault="007244F5" w:rsidP="003059EA">
      <w:pPr>
        <w:snapToGrid w:val="0"/>
        <w:spacing w:line="300" w:lineRule="auto"/>
        <w:rPr>
          <w:rFonts w:ascii="Arial" w:eastAsia="宋体" w:hAnsi="Arial" w:cs="Arial"/>
        </w:rPr>
      </w:pPr>
    </w:p>
    <w:p w:rsidR="00CF0745" w:rsidRPr="00F31118" w:rsidRDefault="00B50A21" w:rsidP="003059EA">
      <w:pPr>
        <w:snapToGrid w:val="0"/>
        <w:spacing w:line="300" w:lineRule="auto"/>
        <w:rPr>
          <w:rFonts w:ascii="Arial" w:eastAsia="宋体" w:hAnsi="Arial" w:cs="Arial"/>
          <w:b/>
        </w:rPr>
      </w:pPr>
      <w:r w:rsidRPr="00F31118">
        <w:rPr>
          <w:rFonts w:ascii="Arial" w:eastAsia="宋体" w:hAnsi="Arial" w:cs="Arial"/>
          <w:b/>
        </w:rPr>
        <w:t xml:space="preserve">14. </w:t>
      </w:r>
      <w:r w:rsidR="00921E51">
        <w:rPr>
          <w:rFonts w:ascii="Arial" w:eastAsia="宋体" w:hAnsi="Arial" w:cs="Arial"/>
          <w:b/>
        </w:rPr>
        <w:t>被分析物特效试剂</w:t>
      </w:r>
      <w:r w:rsidR="001B12D2" w:rsidRPr="00F31118">
        <w:rPr>
          <w:rFonts w:ascii="Arial" w:eastAsia="宋体" w:hAnsi="Arial" w:cs="Arial"/>
          <w:b/>
        </w:rPr>
        <w:t>制造商可以提供</w:t>
      </w:r>
      <w:r w:rsidR="004039B5" w:rsidRPr="00F31118">
        <w:rPr>
          <w:rFonts w:ascii="Arial" w:eastAsia="宋体" w:hAnsi="Arial" w:cs="Arial"/>
          <w:b/>
        </w:rPr>
        <w:t>质</w:t>
      </w:r>
      <w:proofErr w:type="gramStart"/>
      <w:r w:rsidR="004039B5" w:rsidRPr="00F31118">
        <w:rPr>
          <w:rFonts w:ascii="Arial" w:eastAsia="宋体" w:hAnsi="Arial" w:cs="Arial"/>
          <w:b/>
        </w:rPr>
        <w:t>控材料</w:t>
      </w:r>
      <w:proofErr w:type="gramEnd"/>
      <w:r w:rsidR="004039B5" w:rsidRPr="00F31118">
        <w:rPr>
          <w:rFonts w:ascii="Arial" w:eastAsia="宋体" w:hAnsi="Arial" w:cs="Arial"/>
          <w:b/>
        </w:rPr>
        <w:t>/</w:t>
      </w:r>
      <w:r w:rsidR="004039B5" w:rsidRPr="00F31118">
        <w:rPr>
          <w:rFonts w:ascii="Arial" w:eastAsia="宋体" w:hAnsi="Arial" w:cs="Arial"/>
          <w:b/>
        </w:rPr>
        <w:t>试剂供与</w:t>
      </w:r>
      <w:r w:rsidR="00921E51">
        <w:rPr>
          <w:rFonts w:ascii="Arial" w:eastAsia="宋体" w:hAnsi="Arial" w:cs="Arial"/>
          <w:b/>
        </w:rPr>
        <w:t>被分析物特效试剂</w:t>
      </w:r>
      <w:r w:rsidR="001B12D2" w:rsidRPr="00F31118">
        <w:rPr>
          <w:rFonts w:ascii="Arial" w:eastAsia="宋体" w:hAnsi="Arial" w:cs="Arial"/>
          <w:b/>
        </w:rPr>
        <w:t>一起使用吗？</w:t>
      </w:r>
    </w:p>
    <w:p w:rsidR="001B12D2" w:rsidRPr="00F31118" w:rsidRDefault="001B12D2" w:rsidP="003059EA">
      <w:pPr>
        <w:snapToGrid w:val="0"/>
        <w:spacing w:line="300" w:lineRule="auto"/>
        <w:rPr>
          <w:rFonts w:ascii="Arial" w:eastAsia="宋体" w:hAnsi="Arial" w:cs="Arial"/>
        </w:rPr>
      </w:pPr>
    </w:p>
    <w:p w:rsidR="001B12D2" w:rsidRPr="00F31118" w:rsidRDefault="001B12D2" w:rsidP="003059EA">
      <w:pPr>
        <w:snapToGrid w:val="0"/>
        <w:spacing w:line="300" w:lineRule="auto"/>
        <w:rPr>
          <w:rFonts w:ascii="Arial" w:eastAsia="宋体" w:hAnsi="Arial" w:cs="Arial"/>
        </w:rPr>
      </w:pPr>
      <w:r w:rsidRPr="00F31118">
        <w:rPr>
          <w:rFonts w:ascii="Arial" w:eastAsia="宋体" w:hAnsi="Arial" w:cs="Arial"/>
        </w:rPr>
        <w:t>可以，但这些材料应与具体的</w:t>
      </w:r>
      <w:r w:rsidR="00921E51">
        <w:rPr>
          <w:rFonts w:ascii="Arial" w:eastAsia="宋体" w:hAnsi="Arial" w:cs="Arial"/>
        </w:rPr>
        <w:t>被分析物特效试剂</w:t>
      </w:r>
      <w:r w:rsidRPr="00F31118">
        <w:rPr>
          <w:rFonts w:ascii="Arial" w:eastAsia="宋体" w:hAnsi="Arial" w:cs="Arial"/>
        </w:rPr>
        <w:t>分开推销。</w:t>
      </w:r>
      <w:r w:rsidR="00A15972" w:rsidRPr="00F31118">
        <w:rPr>
          <w:rFonts w:ascii="Arial" w:eastAsia="宋体" w:hAnsi="Arial" w:cs="Arial"/>
        </w:rPr>
        <w:t>销售此类</w:t>
      </w:r>
      <w:r w:rsidR="004039B5" w:rsidRPr="00F31118">
        <w:rPr>
          <w:rFonts w:ascii="Arial" w:eastAsia="宋体" w:hAnsi="Arial" w:cs="Arial"/>
        </w:rPr>
        <w:t>材料供</w:t>
      </w:r>
      <w:r w:rsidR="00A15972" w:rsidRPr="00F31118">
        <w:rPr>
          <w:rFonts w:ascii="Arial" w:eastAsia="宋体" w:hAnsi="Arial" w:cs="Arial"/>
        </w:rPr>
        <w:t>与</w:t>
      </w:r>
      <w:r w:rsidR="00921E51">
        <w:rPr>
          <w:rFonts w:ascii="Arial" w:eastAsia="宋体" w:hAnsi="Arial" w:cs="Arial"/>
        </w:rPr>
        <w:t>被分析物特效试剂</w:t>
      </w:r>
      <w:r w:rsidR="00A15972" w:rsidRPr="00F31118">
        <w:rPr>
          <w:rFonts w:ascii="Arial" w:eastAsia="宋体" w:hAnsi="Arial" w:cs="Arial"/>
        </w:rPr>
        <w:t>一起使用时应指出，</w:t>
      </w:r>
      <w:r w:rsidR="00921E51">
        <w:rPr>
          <w:rFonts w:ascii="Arial" w:eastAsia="宋体" w:hAnsi="Arial" w:cs="Arial"/>
        </w:rPr>
        <w:t>被分析物特效试剂</w:t>
      </w:r>
      <w:r w:rsidR="00A15972" w:rsidRPr="00F31118">
        <w:rPr>
          <w:rFonts w:ascii="Arial" w:eastAsia="宋体" w:hAnsi="Arial" w:cs="Arial"/>
        </w:rPr>
        <w:t>制造商实际上是在销售一种可触发上市前审查要求的产品。制造商在推销和销售</w:t>
      </w:r>
      <w:r w:rsidR="00FD2805" w:rsidRPr="00F31118">
        <w:rPr>
          <w:rFonts w:ascii="Arial" w:eastAsia="宋体" w:hAnsi="Arial" w:cs="Arial"/>
        </w:rPr>
        <w:t>质</w:t>
      </w:r>
      <w:proofErr w:type="gramStart"/>
      <w:r w:rsidR="00FD2805" w:rsidRPr="00F31118">
        <w:rPr>
          <w:rFonts w:ascii="Arial" w:eastAsia="宋体" w:hAnsi="Arial" w:cs="Arial"/>
        </w:rPr>
        <w:t>控材料</w:t>
      </w:r>
      <w:proofErr w:type="gramEnd"/>
      <w:r w:rsidR="00FD2805" w:rsidRPr="00F31118">
        <w:rPr>
          <w:rFonts w:ascii="Arial" w:eastAsia="宋体" w:hAnsi="Arial" w:cs="Arial"/>
        </w:rPr>
        <w:t>时应使用食品药品监督管理局现行的质</w:t>
      </w:r>
      <w:proofErr w:type="gramStart"/>
      <w:r w:rsidR="00FD2805" w:rsidRPr="00F31118">
        <w:rPr>
          <w:rFonts w:ascii="Arial" w:eastAsia="宋体" w:hAnsi="Arial" w:cs="Arial"/>
        </w:rPr>
        <w:t>控材料</w:t>
      </w:r>
      <w:proofErr w:type="gramEnd"/>
      <w:r w:rsidR="00FD2805" w:rsidRPr="00F31118">
        <w:rPr>
          <w:rFonts w:ascii="Arial" w:eastAsia="宋体" w:hAnsi="Arial" w:cs="Arial"/>
        </w:rPr>
        <w:t>分类（如</w:t>
      </w:r>
      <w:r w:rsidR="00FD2805" w:rsidRPr="00F31118">
        <w:rPr>
          <w:rFonts w:ascii="Arial" w:eastAsia="宋体" w:hAnsi="Arial" w:cs="Arial"/>
        </w:rPr>
        <w:t>21 CFR 862.1660</w:t>
      </w:r>
      <w:r w:rsidR="00FD2805" w:rsidRPr="00F31118">
        <w:rPr>
          <w:rFonts w:ascii="Arial" w:eastAsia="宋体" w:hAnsi="Arial" w:cs="Arial"/>
        </w:rPr>
        <w:t>、</w:t>
      </w:r>
      <w:r w:rsidR="00FD2805" w:rsidRPr="00F31118">
        <w:rPr>
          <w:rFonts w:ascii="Arial" w:eastAsia="宋体" w:hAnsi="Arial" w:cs="Arial"/>
        </w:rPr>
        <w:t>862.3280</w:t>
      </w:r>
      <w:r w:rsidR="00FD2805" w:rsidRPr="00F31118">
        <w:rPr>
          <w:rFonts w:ascii="Arial" w:eastAsia="宋体" w:hAnsi="Arial" w:cs="Arial"/>
        </w:rPr>
        <w:t>、</w:t>
      </w:r>
      <w:r w:rsidR="00FD2805" w:rsidRPr="00F31118">
        <w:rPr>
          <w:rFonts w:ascii="Arial" w:eastAsia="宋体" w:hAnsi="Arial" w:cs="Arial"/>
        </w:rPr>
        <w:t>864.8625</w:t>
      </w:r>
      <w:r w:rsidR="00FD2805" w:rsidRPr="00F31118">
        <w:rPr>
          <w:rFonts w:ascii="Arial" w:eastAsia="宋体" w:hAnsi="Arial" w:cs="Arial"/>
        </w:rPr>
        <w:t>）。</w:t>
      </w:r>
    </w:p>
    <w:p w:rsidR="001B12D2" w:rsidRPr="00F31118" w:rsidRDefault="001B12D2" w:rsidP="003059EA">
      <w:pPr>
        <w:snapToGrid w:val="0"/>
        <w:spacing w:line="300" w:lineRule="auto"/>
        <w:rPr>
          <w:rFonts w:ascii="Arial" w:eastAsia="宋体" w:hAnsi="Arial" w:cs="Arial"/>
        </w:rPr>
      </w:pPr>
    </w:p>
    <w:p w:rsidR="000374D2" w:rsidRPr="00F31118" w:rsidRDefault="00FD2805" w:rsidP="003059EA">
      <w:pPr>
        <w:snapToGrid w:val="0"/>
        <w:spacing w:line="300" w:lineRule="auto"/>
        <w:rPr>
          <w:rFonts w:ascii="Arial" w:eastAsia="宋体" w:hAnsi="Arial" w:cs="Arial"/>
          <w:b/>
        </w:rPr>
      </w:pPr>
      <w:r w:rsidRPr="00F31118">
        <w:rPr>
          <w:rFonts w:ascii="Arial" w:eastAsia="宋体" w:hAnsi="Arial" w:cs="Arial"/>
          <w:b/>
        </w:rPr>
        <w:t xml:space="preserve">15. </w:t>
      </w:r>
      <w:r w:rsidRPr="00F31118">
        <w:rPr>
          <w:rFonts w:ascii="Arial" w:eastAsia="宋体" w:hAnsi="Arial" w:cs="Arial"/>
          <w:b/>
        </w:rPr>
        <w:t>制造商或经销商可以销售</w:t>
      </w:r>
      <w:r w:rsidR="004039B5" w:rsidRPr="00F31118">
        <w:rPr>
          <w:rFonts w:ascii="Arial" w:eastAsia="宋体" w:hAnsi="Arial" w:cs="Arial"/>
          <w:b/>
        </w:rPr>
        <w:t>软件供</w:t>
      </w:r>
      <w:r w:rsidRPr="00F31118">
        <w:rPr>
          <w:rFonts w:ascii="Arial" w:eastAsia="宋体" w:hAnsi="Arial" w:cs="Arial"/>
          <w:b/>
        </w:rPr>
        <w:t>与</w:t>
      </w:r>
      <w:r w:rsidR="00921E51">
        <w:rPr>
          <w:rFonts w:ascii="Arial" w:eastAsia="宋体" w:hAnsi="Arial" w:cs="Arial"/>
          <w:b/>
        </w:rPr>
        <w:t>被分析物特效试剂</w:t>
      </w:r>
      <w:r w:rsidRPr="00F31118">
        <w:rPr>
          <w:rFonts w:ascii="Arial" w:eastAsia="宋体" w:hAnsi="Arial" w:cs="Arial"/>
          <w:b/>
        </w:rPr>
        <w:t>一起使用吗？</w:t>
      </w:r>
    </w:p>
    <w:p w:rsidR="00FD2805" w:rsidRPr="00F31118" w:rsidRDefault="00FD2805" w:rsidP="003059EA">
      <w:pPr>
        <w:snapToGrid w:val="0"/>
        <w:spacing w:line="300" w:lineRule="auto"/>
        <w:rPr>
          <w:rFonts w:ascii="Arial" w:eastAsia="宋体" w:hAnsi="Arial" w:cs="Arial"/>
        </w:rPr>
      </w:pPr>
    </w:p>
    <w:p w:rsidR="000374D2" w:rsidRPr="00F31118" w:rsidRDefault="00054B22" w:rsidP="003059EA">
      <w:pPr>
        <w:snapToGrid w:val="0"/>
        <w:spacing w:line="300" w:lineRule="auto"/>
        <w:rPr>
          <w:rFonts w:ascii="Arial" w:eastAsia="宋体" w:hAnsi="Arial" w:cs="Arial"/>
        </w:rPr>
      </w:pPr>
      <w:r w:rsidRPr="00F31118">
        <w:rPr>
          <w:rFonts w:ascii="Arial" w:eastAsia="宋体" w:hAnsi="Arial" w:cs="Arial"/>
        </w:rPr>
        <w:t>如果</w:t>
      </w:r>
      <w:r w:rsidR="00921E51">
        <w:rPr>
          <w:rFonts w:ascii="Arial" w:eastAsia="宋体" w:hAnsi="Arial" w:cs="Arial"/>
        </w:rPr>
        <w:t>被分析物特效试剂</w:t>
      </w:r>
      <w:r w:rsidRPr="00F31118">
        <w:rPr>
          <w:rFonts w:ascii="Arial" w:eastAsia="宋体" w:hAnsi="Arial" w:cs="Arial"/>
        </w:rPr>
        <w:t>制造商决定销售</w:t>
      </w:r>
      <w:r w:rsidR="00DA353C" w:rsidRPr="00F31118">
        <w:rPr>
          <w:rFonts w:ascii="Arial" w:eastAsia="宋体" w:hAnsi="Arial" w:cs="Arial"/>
        </w:rPr>
        <w:t>软件供</w:t>
      </w:r>
      <w:r w:rsidRPr="00F31118">
        <w:rPr>
          <w:rFonts w:ascii="Arial" w:eastAsia="宋体" w:hAnsi="Arial" w:cs="Arial"/>
        </w:rPr>
        <w:t>与其产品一起使用，那么，这些产品组合将不会被视为</w:t>
      </w:r>
      <w:r w:rsidR="00921E51">
        <w:rPr>
          <w:rFonts w:ascii="Arial" w:eastAsia="宋体" w:hAnsi="Arial" w:cs="Arial"/>
        </w:rPr>
        <w:t>被分析物特效试剂</w:t>
      </w:r>
      <w:r w:rsidRPr="00F31118">
        <w:rPr>
          <w:rFonts w:ascii="Arial" w:eastAsia="宋体" w:hAnsi="Arial" w:cs="Arial"/>
        </w:rPr>
        <w:t>。软件不符合</w:t>
      </w:r>
      <w:r w:rsidR="00921E51">
        <w:rPr>
          <w:rFonts w:ascii="Arial" w:eastAsia="宋体" w:hAnsi="Arial" w:cs="Arial"/>
        </w:rPr>
        <w:t>被分析物特效试剂</w:t>
      </w:r>
      <w:r w:rsidRPr="00F31118">
        <w:rPr>
          <w:rFonts w:ascii="Arial" w:eastAsia="宋体" w:hAnsi="Arial" w:cs="Arial"/>
        </w:rPr>
        <w:t>的定义。</w:t>
      </w:r>
      <w:r w:rsidR="005A7BBE" w:rsidRPr="00F31118">
        <w:rPr>
          <w:rFonts w:ascii="Arial" w:eastAsia="宋体" w:hAnsi="Arial" w:cs="Arial"/>
        </w:rPr>
        <w:t>食品药品监督管理局认为，直接表明或声明实现</w:t>
      </w:r>
      <w:r w:rsidR="00921E51">
        <w:rPr>
          <w:rFonts w:ascii="Arial" w:eastAsia="宋体" w:hAnsi="Arial" w:cs="Arial"/>
        </w:rPr>
        <w:t>被分析物特效试剂</w:t>
      </w:r>
      <w:r w:rsidR="005A7BBE" w:rsidRPr="00F31118">
        <w:rPr>
          <w:rFonts w:ascii="Arial" w:eastAsia="宋体" w:hAnsi="Arial" w:cs="Arial"/>
        </w:rPr>
        <w:t>的功能需要特</w:t>
      </w:r>
      <w:r w:rsidR="002256C2" w:rsidRPr="00F31118">
        <w:rPr>
          <w:rFonts w:ascii="Arial" w:eastAsia="宋体" w:hAnsi="Arial" w:cs="Arial"/>
        </w:rPr>
        <w:t>定</w:t>
      </w:r>
      <w:r w:rsidR="005A7BBE" w:rsidRPr="00F31118">
        <w:rPr>
          <w:rFonts w:ascii="Arial" w:eastAsia="宋体" w:hAnsi="Arial" w:cs="Arial"/>
        </w:rPr>
        <w:t>软件的销售行为将会导致该组合中的</w:t>
      </w:r>
      <w:r w:rsidR="00921E51">
        <w:rPr>
          <w:rFonts w:ascii="Arial" w:eastAsia="宋体" w:hAnsi="Arial" w:cs="Arial"/>
        </w:rPr>
        <w:t>被分析物特效试剂</w:t>
      </w:r>
      <w:r w:rsidR="005A7BBE" w:rsidRPr="00F31118">
        <w:rPr>
          <w:rFonts w:ascii="Arial" w:eastAsia="宋体" w:hAnsi="Arial" w:cs="Arial"/>
        </w:rPr>
        <w:t>部分超出</w:t>
      </w:r>
      <w:r w:rsidR="00921E51">
        <w:rPr>
          <w:rFonts w:ascii="Arial" w:eastAsia="宋体" w:hAnsi="Arial" w:cs="Arial"/>
        </w:rPr>
        <w:t>被分析物特效试剂</w:t>
      </w:r>
      <w:r w:rsidR="005A7BBE" w:rsidRPr="00F31118">
        <w:rPr>
          <w:rFonts w:ascii="Arial" w:eastAsia="宋体" w:hAnsi="Arial" w:cs="Arial"/>
        </w:rPr>
        <w:t>的定义范畴。</w:t>
      </w:r>
      <w:r w:rsidR="000277B4" w:rsidRPr="00F31118">
        <w:rPr>
          <w:rFonts w:ascii="Arial" w:eastAsia="宋体" w:hAnsi="Arial" w:cs="Arial"/>
        </w:rPr>
        <w:t>本局做出这样的判断是因为</w:t>
      </w:r>
      <w:r w:rsidR="00DA353C" w:rsidRPr="00F31118">
        <w:rPr>
          <w:rFonts w:ascii="Arial" w:eastAsia="宋体" w:hAnsi="Arial" w:cs="Arial"/>
        </w:rPr>
        <w:t>目前</w:t>
      </w:r>
      <w:r w:rsidR="00706C13" w:rsidRPr="00F31118">
        <w:rPr>
          <w:rFonts w:ascii="Arial" w:eastAsia="宋体" w:hAnsi="Arial" w:cs="Arial"/>
        </w:rPr>
        <w:t>拟</w:t>
      </w:r>
      <w:r w:rsidR="00DA353C" w:rsidRPr="00F31118">
        <w:rPr>
          <w:rFonts w:ascii="Arial" w:eastAsia="宋体" w:hAnsi="Arial" w:cs="Arial"/>
        </w:rPr>
        <w:t>将</w:t>
      </w:r>
      <w:r w:rsidR="00921E51">
        <w:rPr>
          <w:rFonts w:ascii="Arial" w:eastAsia="宋体" w:hAnsi="Arial" w:cs="Arial"/>
        </w:rPr>
        <w:t>被分析物特效试剂</w:t>
      </w:r>
      <w:r w:rsidR="000277B4" w:rsidRPr="00F31118">
        <w:rPr>
          <w:rFonts w:ascii="Arial" w:eastAsia="宋体" w:hAnsi="Arial" w:cs="Arial"/>
        </w:rPr>
        <w:t>与软件一起使用。因此，食品药品监督管理局的观点是</w:t>
      </w:r>
      <w:r w:rsidR="00921E51">
        <w:rPr>
          <w:rFonts w:ascii="Arial" w:eastAsia="宋体" w:hAnsi="Arial" w:cs="Arial"/>
        </w:rPr>
        <w:t>被分析物特效试剂</w:t>
      </w:r>
      <w:r w:rsidR="000277B4" w:rsidRPr="00F31118">
        <w:rPr>
          <w:rFonts w:ascii="Arial" w:eastAsia="宋体" w:hAnsi="Arial" w:cs="Arial"/>
        </w:rPr>
        <w:t>制造商</w:t>
      </w:r>
      <w:r w:rsidR="004039B5" w:rsidRPr="00F31118">
        <w:rPr>
          <w:rFonts w:ascii="Arial" w:eastAsia="宋体" w:hAnsi="Arial" w:cs="Arial"/>
        </w:rPr>
        <w:t>不应推销、销售或以其它方式分销软件</w:t>
      </w:r>
      <w:r w:rsidR="000D705E" w:rsidRPr="00F31118">
        <w:rPr>
          <w:rFonts w:ascii="Arial" w:eastAsia="宋体" w:hAnsi="Arial" w:cs="Arial"/>
        </w:rPr>
        <w:t>供与某种特</w:t>
      </w:r>
      <w:r w:rsidR="002256C2" w:rsidRPr="00F31118">
        <w:rPr>
          <w:rFonts w:ascii="Arial" w:eastAsia="宋体" w:hAnsi="Arial" w:cs="Arial"/>
        </w:rPr>
        <w:t>定</w:t>
      </w:r>
      <w:r w:rsidR="00921E51">
        <w:rPr>
          <w:rFonts w:ascii="Arial" w:eastAsia="宋体" w:hAnsi="Arial" w:cs="Arial"/>
        </w:rPr>
        <w:t>被分析物特效试剂</w:t>
      </w:r>
      <w:r w:rsidR="000D705E" w:rsidRPr="00F31118">
        <w:rPr>
          <w:rFonts w:ascii="Arial" w:eastAsia="宋体" w:hAnsi="Arial" w:cs="Arial"/>
        </w:rPr>
        <w:t>一起使用。</w:t>
      </w:r>
    </w:p>
    <w:p w:rsidR="00FD2805" w:rsidRPr="00F31118" w:rsidRDefault="00FD2805" w:rsidP="003059EA">
      <w:pPr>
        <w:snapToGrid w:val="0"/>
        <w:spacing w:line="300" w:lineRule="auto"/>
        <w:rPr>
          <w:rFonts w:ascii="Arial" w:eastAsia="宋体" w:hAnsi="Arial" w:cs="Arial"/>
        </w:rPr>
      </w:pPr>
    </w:p>
    <w:p w:rsidR="000D705E" w:rsidRPr="00F31118" w:rsidRDefault="000D705E" w:rsidP="003059EA">
      <w:pPr>
        <w:snapToGrid w:val="0"/>
        <w:spacing w:line="300" w:lineRule="auto"/>
        <w:rPr>
          <w:rFonts w:ascii="Arial" w:eastAsia="宋体" w:hAnsi="Arial" w:cs="Arial"/>
          <w:b/>
        </w:rPr>
      </w:pPr>
      <w:r w:rsidRPr="00F31118">
        <w:rPr>
          <w:rFonts w:ascii="Arial" w:eastAsia="宋体" w:hAnsi="Arial" w:cs="Arial"/>
          <w:b/>
        </w:rPr>
        <w:t xml:space="preserve">16. </w:t>
      </w:r>
      <w:r w:rsidRPr="00F31118">
        <w:rPr>
          <w:rFonts w:ascii="Arial" w:eastAsia="宋体" w:hAnsi="Arial" w:cs="Arial"/>
          <w:b/>
        </w:rPr>
        <w:t>制造商可以推销哪些类型的</w:t>
      </w:r>
      <w:r w:rsidR="000F3824">
        <w:rPr>
          <w:rFonts w:ascii="Arial" w:eastAsia="宋体" w:hAnsi="Arial" w:cs="Arial"/>
          <w:b/>
        </w:rPr>
        <w:t>器械</w:t>
      </w:r>
      <w:r w:rsidRPr="00F31118">
        <w:rPr>
          <w:rFonts w:ascii="Arial" w:eastAsia="宋体" w:hAnsi="Arial" w:cs="Arial"/>
          <w:b/>
        </w:rPr>
        <w:t>配置与</w:t>
      </w:r>
      <w:r w:rsidR="00E55B9B" w:rsidRPr="00F31118">
        <w:rPr>
          <w:rFonts w:ascii="Arial" w:eastAsia="宋体" w:hAnsi="Arial" w:cs="Arial"/>
          <w:b/>
        </w:rPr>
        <w:t>药事未核准检验一起使用？</w:t>
      </w:r>
    </w:p>
    <w:p w:rsidR="00E55B9B" w:rsidRPr="00F31118" w:rsidRDefault="00E55B9B" w:rsidP="003059EA">
      <w:pPr>
        <w:snapToGrid w:val="0"/>
        <w:spacing w:line="300" w:lineRule="auto"/>
        <w:rPr>
          <w:rFonts w:ascii="Arial" w:eastAsia="宋体" w:hAnsi="Arial" w:cs="Arial"/>
        </w:rPr>
      </w:pPr>
    </w:p>
    <w:p w:rsidR="00E55B9B" w:rsidRPr="00F31118" w:rsidRDefault="00003BA6" w:rsidP="003059EA">
      <w:pPr>
        <w:snapToGrid w:val="0"/>
        <w:spacing w:line="300" w:lineRule="auto"/>
        <w:rPr>
          <w:rFonts w:ascii="Arial" w:eastAsia="宋体" w:hAnsi="Arial" w:cs="Arial"/>
        </w:rPr>
      </w:pPr>
      <w:r w:rsidRPr="00F31118">
        <w:rPr>
          <w:rFonts w:ascii="Arial" w:eastAsia="宋体" w:hAnsi="Arial" w:cs="Arial"/>
        </w:rPr>
        <w:t>检验</w:t>
      </w:r>
      <w:r w:rsidR="00721C46" w:rsidRPr="00F31118">
        <w:rPr>
          <w:rFonts w:ascii="Arial" w:eastAsia="宋体" w:hAnsi="Arial" w:cs="Arial"/>
        </w:rPr>
        <w:t>产品</w:t>
      </w:r>
      <w:r w:rsidRPr="00F31118">
        <w:rPr>
          <w:rFonts w:ascii="Arial" w:eastAsia="宋体" w:hAnsi="Arial" w:cs="Arial"/>
        </w:rPr>
        <w:t>开发商在设计诊断检验时拟将</w:t>
      </w:r>
      <w:r w:rsidR="00921E51">
        <w:rPr>
          <w:rFonts w:ascii="Arial" w:eastAsia="宋体" w:hAnsi="Arial" w:cs="Arial"/>
        </w:rPr>
        <w:t>被分析物特效试剂</w:t>
      </w:r>
      <w:r w:rsidRPr="00F31118">
        <w:rPr>
          <w:rFonts w:ascii="Arial" w:eastAsia="宋体" w:hAnsi="Arial" w:cs="Arial"/>
        </w:rPr>
        <w:t>作为</w:t>
      </w:r>
      <w:r w:rsidR="00A82711" w:rsidRPr="00F31118">
        <w:rPr>
          <w:rFonts w:ascii="Arial" w:eastAsia="宋体" w:hAnsi="Arial" w:cs="Arial"/>
        </w:rPr>
        <w:t>构造板块</w:t>
      </w:r>
      <w:r w:rsidRPr="00F31118">
        <w:rPr>
          <w:rFonts w:ascii="Arial" w:eastAsia="宋体" w:hAnsi="Arial" w:cs="Arial"/>
        </w:rPr>
        <w:t>销售使用。</w:t>
      </w:r>
      <w:r w:rsidR="00461A67" w:rsidRPr="00F31118">
        <w:rPr>
          <w:rFonts w:ascii="Arial" w:eastAsia="宋体" w:hAnsi="Arial" w:cs="Arial"/>
        </w:rPr>
        <w:t>如果某种</w:t>
      </w:r>
      <w:r w:rsidR="00921E51">
        <w:rPr>
          <w:rFonts w:ascii="Arial" w:eastAsia="宋体" w:hAnsi="Arial" w:cs="Arial"/>
        </w:rPr>
        <w:t>被分析物特效试剂</w:t>
      </w:r>
      <w:r w:rsidR="00C21F2F" w:rsidRPr="00F31118">
        <w:rPr>
          <w:rFonts w:ascii="Arial" w:eastAsia="宋体" w:hAnsi="Arial" w:cs="Arial"/>
        </w:rPr>
        <w:t>以</w:t>
      </w:r>
      <w:r w:rsidR="00461A67" w:rsidRPr="00F31118">
        <w:rPr>
          <w:rFonts w:ascii="Arial" w:eastAsia="宋体" w:hAnsi="Arial" w:cs="Arial"/>
        </w:rPr>
        <w:t>拟</w:t>
      </w:r>
      <w:r w:rsidR="00C21F2F" w:rsidRPr="00F31118">
        <w:rPr>
          <w:rFonts w:ascii="Arial" w:eastAsia="宋体" w:hAnsi="Arial" w:cs="Arial"/>
        </w:rPr>
        <w:t>与某种</w:t>
      </w:r>
      <w:r w:rsidR="009D2C5C" w:rsidRPr="00F31118">
        <w:rPr>
          <w:rFonts w:ascii="Arial" w:eastAsia="宋体" w:hAnsi="Arial" w:cs="Arial"/>
        </w:rPr>
        <w:t>特定</w:t>
      </w:r>
      <w:r w:rsidR="00C21F2F" w:rsidRPr="00F31118">
        <w:rPr>
          <w:rFonts w:ascii="Arial" w:eastAsia="宋体" w:hAnsi="Arial" w:cs="Arial"/>
        </w:rPr>
        <w:t>仪器一起使用的名义进行推销，食品药品监督管理局将不把该推销产品</w:t>
      </w:r>
      <w:r w:rsidR="009D2C5C" w:rsidRPr="00F31118">
        <w:rPr>
          <w:rFonts w:ascii="Arial" w:eastAsia="宋体" w:hAnsi="Arial" w:cs="Arial"/>
        </w:rPr>
        <w:t>视为</w:t>
      </w:r>
      <w:r w:rsidR="00921E51">
        <w:rPr>
          <w:rFonts w:ascii="Arial" w:eastAsia="宋体" w:hAnsi="Arial" w:cs="Arial"/>
        </w:rPr>
        <w:t>被分析物特效试剂</w:t>
      </w:r>
      <w:r w:rsidR="009D2C5C" w:rsidRPr="00F31118">
        <w:rPr>
          <w:rFonts w:ascii="Arial" w:eastAsia="宋体" w:hAnsi="Arial" w:cs="Arial"/>
        </w:rPr>
        <w:t>。</w:t>
      </w:r>
      <w:r w:rsidR="00921E51">
        <w:rPr>
          <w:rFonts w:ascii="Arial" w:eastAsia="宋体" w:hAnsi="Arial" w:cs="Arial"/>
        </w:rPr>
        <w:t>被分析物特效试剂</w:t>
      </w:r>
      <w:r w:rsidR="009D2C5C" w:rsidRPr="00F31118">
        <w:rPr>
          <w:rFonts w:ascii="Arial" w:eastAsia="宋体" w:hAnsi="Arial" w:cs="Arial"/>
        </w:rPr>
        <w:t>与特定仪器一起使用应是</w:t>
      </w:r>
      <w:r w:rsidR="00921E51">
        <w:rPr>
          <w:rFonts w:ascii="Arial" w:eastAsia="宋体" w:hAnsi="Arial" w:cs="Arial"/>
        </w:rPr>
        <w:t>被分析物特效试剂</w:t>
      </w:r>
      <w:r w:rsidR="009D2C5C" w:rsidRPr="00F31118">
        <w:rPr>
          <w:rFonts w:ascii="Arial" w:eastAsia="宋体" w:hAnsi="Arial" w:cs="Arial"/>
        </w:rPr>
        <w:t>制造商</w:t>
      </w:r>
      <w:r w:rsidR="00536F56" w:rsidRPr="00F31118">
        <w:rPr>
          <w:rFonts w:ascii="Arial" w:eastAsia="宋体" w:hAnsi="Arial" w:cs="Arial"/>
        </w:rPr>
        <w:t>而非检验</w:t>
      </w:r>
      <w:r w:rsidR="00721C46" w:rsidRPr="00F31118">
        <w:rPr>
          <w:rFonts w:ascii="Arial" w:eastAsia="宋体" w:hAnsi="Arial" w:cs="Arial"/>
        </w:rPr>
        <w:t>产品</w:t>
      </w:r>
      <w:r w:rsidR="00536F56" w:rsidRPr="00F31118">
        <w:rPr>
          <w:rFonts w:ascii="Arial" w:eastAsia="宋体" w:hAnsi="Arial" w:cs="Arial"/>
        </w:rPr>
        <w:t>开发商</w:t>
      </w:r>
      <w:r w:rsidR="009D2C5C" w:rsidRPr="00F31118">
        <w:rPr>
          <w:rFonts w:ascii="Arial" w:eastAsia="宋体" w:hAnsi="Arial" w:cs="Arial"/>
        </w:rPr>
        <w:t>的一种设计选择。</w:t>
      </w:r>
      <w:r w:rsidR="00536F56" w:rsidRPr="00F31118">
        <w:rPr>
          <w:rFonts w:ascii="Arial" w:eastAsia="宋体" w:hAnsi="Arial" w:cs="Arial"/>
        </w:rPr>
        <w:t>因此，制造商不应推销具体的实验室仪器与特定</w:t>
      </w:r>
      <w:r w:rsidR="00921E51">
        <w:rPr>
          <w:rFonts w:ascii="Arial" w:eastAsia="宋体" w:hAnsi="Arial" w:cs="Arial"/>
        </w:rPr>
        <w:t>被分析物特效试剂</w:t>
      </w:r>
      <w:r w:rsidR="00536F56" w:rsidRPr="00F31118">
        <w:rPr>
          <w:rFonts w:ascii="Arial" w:eastAsia="宋体" w:hAnsi="Arial" w:cs="Arial"/>
        </w:rPr>
        <w:t>联合使用。</w:t>
      </w:r>
    </w:p>
    <w:p w:rsidR="000374D2" w:rsidRPr="00F31118" w:rsidRDefault="000374D2" w:rsidP="003059EA">
      <w:pPr>
        <w:snapToGrid w:val="0"/>
        <w:spacing w:line="300" w:lineRule="auto"/>
        <w:rPr>
          <w:rFonts w:ascii="Arial" w:eastAsia="宋体" w:hAnsi="Arial" w:cs="Arial"/>
        </w:rPr>
      </w:pPr>
    </w:p>
    <w:p w:rsidR="000374D2" w:rsidRPr="00F31118" w:rsidRDefault="00050D5B" w:rsidP="003059EA">
      <w:pPr>
        <w:snapToGrid w:val="0"/>
        <w:spacing w:line="300" w:lineRule="auto"/>
        <w:rPr>
          <w:rFonts w:ascii="Arial" w:eastAsia="宋体" w:hAnsi="Arial" w:cs="Arial"/>
        </w:rPr>
      </w:pPr>
      <w:r w:rsidRPr="00F31118">
        <w:rPr>
          <w:rFonts w:ascii="Arial" w:eastAsia="宋体" w:hAnsi="Arial" w:cs="Arial"/>
        </w:rPr>
        <w:t>相比之下，拥有用户自定义功能的开放性仪器允许用户独立选择仪器</w:t>
      </w:r>
      <w:r w:rsidR="00B4599B" w:rsidRPr="00F31118">
        <w:rPr>
          <w:rFonts w:ascii="Arial" w:eastAsia="宋体" w:hAnsi="Arial" w:cs="Arial"/>
        </w:rPr>
        <w:t>和</w:t>
      </w:r>
      <w:r w:rsidR="00921E51">
        <w:rPr>
          <w:rFonts w:ascii="Arial" w:eastAsia="宋体" w:hAnsi="Arial" w:cs="Arial"/>
        </w:rPr>
        <w:t>被分析物特效试剂</w:t>
      </w:r>
      <w:r w:rsidR="00B4599B" w:rsidRPr="00F31118">
        <w:rPr>
          <w:rFonts w:ascii="Arial" w:eastAsia="宋体" w:hAnsi="Arial" w:cs="Arial"/>
        </w:rPr>
        <w:t>，允许用户对检验</w:t>
      </w:r>
      <w:r w:rsidR="00C605F4" w:rsidRPr="00F31118">
        <w:rPr>
          <w:rFonts w:ascii="Arial" w:eastAsia="宋体" w:hAnsi="Arial" w:cs="Arial"/>
        </w:rPr>
        <w:t>产品</w:t>
      </w:r>
      <w:r w:rsidR="00B4599B" w:rsidRPr="00F31118">
        <w:rPr>
          <w:rFonts w:ascii="Arial" w:eastAsia="宋体" w:hAnsi="Arial" w:cs="Arial"/>
        </w:rPr>
        <w:t>的</w:t>
      </w:r>
      <w:r w:rsidR="005D3619" w:rsidRPr="00F31118">
        <w:rPr>
          <w:rFonts w:ascii="Arial" w:eastAsia="宋体" w:hAnsi="Arial" w:cs="Arial"/>
        </w:rPr>
        <w:t>性能特征和解释标准进行定义、优化和确认，因此通常可推销这类仪器用于药事未核准检验（如分光光度计、高效液相色谱仪）。如果</w:t>
      </w:r>
      <w:proofErr w:type="gramStart"/>
      <w:r w:rsidR="005D3619" w:rsidRPr="00F31118">
        <w:rPr>
          <w:rFonts w:ascii="Arial" w:eastAsia="宋体" w:hAnsi="Arial" w:cs="Arial"/>
        </w:rPr>
        <w:t>基于</w:t>
      </w:r>
      <w:r w:rsidR="00921E51">
        <w:rPr>
          <w:rFonts w:ascii="Arial" w:eastAsia="宋体" w:hAnsi="Arial" w:cs="Arial"/>
        </w:rPr>
        <w:t>被</w:t>
      </w:r>
      <w:proofErr w:type="gramEnd"/>
      <w:r w:rsidR="00921E51">
        <w:rPr>
          <w:rFonts w:ascii="Arial" w:eastAsia="宋体" w:hAnsi="Arial" w:cs="Arial"/>
        </w:rPr>
        <w:t>分析物特效试剂</w:t>
      </w:r>
      <w:r w:rsidR="005D3619" w:rsidRPr="00F31118">
        <w:rPr>
          <w:rFonts w:ascii="Arial" w:eastAsia="宋体" w:hAnsi="Arial" w:cs="Arial"/>
        </w:rPr>
        <w:t>的检验</w:t>
      </w:r>
      <w:r w:rsidR="00C605F4" w:rsidRPr="00F31118">
        <w:rPr>
          <w:rFonts w:ascii="Arial" w:eastAsia="宋体" w:hAnsi="Arial" w:cs="Arial"/>
        </w:rPr>
        <w:t>产品</w:t>
      </w:r>
      <w:r w:rsidR="007833CF" w:rsidRPr="00F31118">
        <w:rPr>
          <w:rFonts w:ascii="Arial" w:eastAsia="宋体" w:hAnsi="Arial" w:cs="Arial"/>
        </w:rPr>
        <w:t>使用</w:t>
      </w:r>
      <w:r w:rsidR="000F3824">
        <w:rPr>
          <w:rFonts w:ascii="Arial" w:eastAsia="宋体" w:hAnsi="Arial" w:cs="Arial"/>
        </w:rPr>
        <w:t>器械</w:t>
      </w:r>
      <w:r w:rsidR="007833CF" w:rsidRPr="00F31118">
        <w:rPr>
          <w:rFonts w:ascii="Arial" w:eastAsia="宋体" w:hAnsi="Arial" w:cs="Arial"/>
        </w:rPr>
        <w:t>配置</w:t>
      </w:r>
      <w:r w:rsidR="005D3619" w:rsidRPr="00F31118">
        <w:rPr>
          <w:rFonts w:ascii="Arial" w:eastAsia="宋体" w:hAnsi="Arial" w:cs="Arial"/>
        </w:rPr>
        <w:t>，实验室应能选择</w:t>
      </w:r>
      <w:r w:rsidR="007833CF" w:rsidRPr="00F31118">
        <w:rPr>
          <w:rFonts w:ascii="Arial" w:eastAsia="宋体" w:hAnsi="Arial" w:cs="Arial"/>
        </w:rPr>
        <w:t>所需</w:t>
      </w:r>
      <w:r w:rsidR="000F3824">
        <w:rPr>
          <w:rFonts w:ascii="Arial" w:eastAsia="宋体" w:hAnsi="Arial" w:cs="Arial"/>
        </w:rPr>
        <w:t>器械</w:t>
      </w:r>
      <w:r w:rsidR="006E3959" w:rsidRPr="00F31118">
        <w:rPr>
          <w:rFonts w:ascii="Arial" w:eastAsia="宋体" w:hAnsi="Arial" w:cs="Arial"/>
        </w:rPr>
        <w:t>配置并对药事未核准检验在该仪器上的性能予以确认。</w:t>
      </w:r>
    </w:p>
    <w:p w:rsidR="000374D2" w:rsidRPr="00F31118" w:rsidRDefault="000374D2" w:rsidP="003059EA">
      <w:pPr>
        <w:snapToGrid w:val="0"/>
        <w:spacing w:line="300" w:lineRule="auto"/>
        <w:rPr>
          <w:rFonts w:ascii="Arial" w:eastAsia="宋体" w:hAnsi="Arial" w:cs="Arial"/>
        </w:rPr>
      </w:pPr>
    </w:p>
    <w:p w:rsidR="00C4209B" w:rsidRPr="00F31118" w:rsidRDefault="00C4209B" w:rsidP="003059EA">
      <w:pPr>
        <w:snapToGrid w:val="0"/>
        <w:spacing w:line="300" w:lineRule="auto"/>
        <w:rPr>
          <w:rFonts w:ascii="Arial" w:eastAsia="宋体" w:hAnsi="Arial" w:cs="Arial"/>
        </w:rPr>
      </w:pPr>
    </w:p>
    <w:p w:rsidR="000A3D9E" w:rsidRPr="00F31118" w:rsidRDefault="000A3D9E" w:rsidP="003059EA">
      <w:pPr>
        <w:snapToGrid w:val="0"/>
        <w:spacing w:line="300" w:lineRule="auto"/>
        <w:rPr>
          <w:rFonts w:ascii="Arial" w:eastAsia="宋体" w:hAnsi="Arial" w:cs="Arial"/>
        </w:rPr>
      </w:pPr>
    </w:p>
    <w:p w:rsidR="00CD0392" w:rsidRDefault="00CD0392">
      <w:pPr>
        <w:widowControl/>
        <w:jc w:val="left"/>
        <w:rPr>
          <w:rFonts w:ascii="Arial" w:eastAsia="宋体" w:hAnsi="Arial" w:cs="Arial"/>
          <w:b/>
        </w:rPr>
      </w:pPr>
      <w:r>
        <w:rPr>
          <w:rFonts w:ascii="Arial" w:eastAsia="宋体" w:hAnsi="Arial" w:cs="Arial"/>
          <w:b/>
        </w:rPr>
        <w:br w:type="page"/>
      </w:r>
    </w:p>
    <w:p w:rsidR="000A3D9E" w:rsidRPr="00F31118" w:rsidRDefault="00B81A90" w:rsidP="003059EA">
      <w:pPr>
        <w:snapToGrid w:val="0"/>
        <w:spacing w:line="300" w:lineRule="auto"/>
        <w:rPr>
          <w:rFonts w:ascii="Arial" w:eastAsia="宋体" w:hAnsi="Arial" w:cs="Arial"/>
          <w:b/>
        </w:rPr>
      </w:pPr>
      <w:r w:rsidRPr="00F31118">
        <w:rPr>
          <w:rFonts w:ascii="Arial" w:eastAsia="宋体" w:hAnsi="Arial" w:cs="Arial"/>
          <w:b/>
        </w:rPr>
        <w:lastRenderedPageBreak/>
        <w:t xml:space="preserve">17. </w:t>
      </w:r>
      <w:r w:rsidR="00921E51">
        <w:rPr>
          <w:rFonts w:ascii="Arial" w:eastAsia="宋体" w:hAnsi="Arial" w:cs="Arial"/>
          <w:b/>
        </w:rPr>
        <w:t>被分析物特效试剂</w:t>
      </w:r>
      <w:r w:rsidRPr="00F31118">
        <w:rPr>
          <w:rFonts w:ascii="Arial" w:eastAsia="宋体" w:hAnsi="Arial" w:cs="Arial"/>
          <w:b/>
        </w:rPr>
        <w:t>制造商可以帮助利用其</w:t>
      </w:r>
      <w:r w:rsidR="00921E51">
        <w:rPr>
          <w:rFonts w:ascii="Arial" w:eastAsia="宋体" w:hAnsi="Arial" w:cs="Arial"/>
          <w:b/>
        </w:rPr>
        <w:t>被分析物特效试剂</w:t>
      </w:r>
      <w:r w:rsidRPr="00F31118">
        <w:rPr>
          <w:rFonts w:ascii="Arial" w:eastAsia="宋体" w:hAnsi="Arial" w:cs="Arial"/>
          <w:b/>
        </w:rPr>
        <w:t>的检验</w:t>
      </w:r>
      <w:r w:rsidR="00C605F4" w:rsidRPr="00F31118">
        <w:rPr>
          <w:rFonts w:ascii="Arial" w:eastAsia="宋体" w:hAnsi="Arial" w:cs="Arial"/>
          <w:b/>
        </w:rPr>
        <w:t>产品</w:t>
      </w:r>
      <w:r w:rsidR="00C7194B" w:rsidRPr="00F31118">
        <w:rPr>
          <w:rFonts w:ascii="Arial" w:eastAsia="宋体" w:hAnsi="Arial" w:cs="Arial"/>
          <w:b/>
        </w:rPr>
        <w:t>进行性能参数的验证和确认吗？</w:t>
      </w:r>
    </w:p>
    <w:p w:rsidR="00C7194B" w:rsidRPr="00F31118" w:rsidRDefault="00C7194B" w:rsidP="003059EA">
      <w:pPr>
        <w:snapToGrid w:val="0"/>
        <w:spacing w:line="300" w:lineRule="auto"/>
        <w:rPr>
          <w:rFonts w:ascii="Arial" w:eastAsia="宋体" w:hAnsi="Arial" w:cs="Arial"/>
        </w:rPr>
      </w:pPr>
    </w:p>
    <w:p w:rsidR="00C7194B" w:rsidRPr="00F31118" w:rsidRDefault="00C7194B" w:rsidP="003059EA">
      <w:pPr>
        <w:snapToGrid w:val="0"/>
        <w:spacing w:line="300" w:lineRule="auto"/>
        <w:rPr>
          <w:rFonts w:ascii="Arial" w:eastAsia="宋体" w:hAnsi="Arial" w:cs="Arial"/>
        </w:rPr>
      </w:pPr>
      <w:r w:rsidRPr="00F31118">
        <w:rPr>
          <w:rFonts w:ascii="Arial" w:eastAsia="宋体" w:hAnsi="Arial" w:cs="Arial"/>
        </w:rPr>
        <w:t>如果制造商或经销商想以</w:t>
      </w:r>
      <w:r w:rsidR="00921E51">
        <w:rPr>
          <w:rFonts w:ascii="Arial" w:eastAsia="宋体" w:hAnsi="Arial" w:cs="Arial"/>
        </w:rPr>
        <w:t>被分析物特效试剂</w:t>
      </w:r>
      <w:r w:rsidRPr="00F31118">
        <w:rPr>
          <w:rFonts w:ascii="Arial" w:eastAsia="宋体" w:hAnsi="Arial" w:cs="Arial"/>
        </w:rPr>
        <w:t>的名义销售其产品，它就不应帮助</w:t>
      </w:r>
      <w:r w:rsidR="001650D0" w:rsidRPr="00F31118">
        <w:rPr>
          <w:rFonts w:ascii="Arial" w:eastAsia="宋体" w:hAnsi="Arial" w:cs="Arial"/>
        </w:rPr>
        <w:t>使用其具体</w:t>
      </w:r>
      <w:r w:rsidR="00921E51">
        <w:rPr>
          <w:rFonts w:ascii="Arial" w:eastAsia="宋体" w:hAnsi="Arial" w:cs="Arial"/>
        </w:rPr>
        <w:t>被分析物特效试剂</w:t>
      </w:r>
      <w:r w:rsidR="00E52D2F" w:rsidRPr="00F31118">
        <w:rPr>
          <w:rFonts w:ascii="Arial" w:eastAsia="宋体" w:hAnsi="Arial" w:cs="Arial"/>
        </w:rPr>
        <w:t>的药事未核准检验进行开发或确认。</w:t>
      </w:r>
      <w:r w:rsidR="001C6185" w:rsidRPr="00F31118">
        <w:rPr>
          <w:rFonts w:ascii="Arial" w:eastAsia="宋体" w:hAnsi="Arial" w:cs="Arial"/>
        </w:rPr>
        <w:t>根据临床实验室改进法案的规则，实验室必须对检验</w:t>
      </w:r>
      <w:r w:rsidR="00C605F4" w:rsidRPr="00F31118">
        <w:rPr>
          <w:rFonts w:ascii="Arial" w:eastAsia="宋体" w:hAnsi="Arial" w:cs="Arial"/>
        </w:rPr>
        <w:t>产品</w:t>
      </w:r>
      <w:r w:rsidR="001C6185" w:rsidRPr="00F31118">
        <w:rPr>
          <w:rFonts w:ascii="Arial" w:eastAsia="宋体" w:hAnsi="Arial" w:cs="Arial"/>
        </w:rPr>
        <w:t>的性能参数进行验证和确认（</w:t>
      </w:r>
      <w:r w:rsidR="001C6185" w:rsidRPr="00F31118">
        <w:rPr>
          <w:rFonts w:ascii="Arial" w:eastAsia="宋体" w:hAnsi="Arial" w:cs="Arial"/>
        </w:rPr>
        <w:t>42 CFR 493.1213</w:t>
      </w:r>
      <w:r w:rsidR="001C6185" w:rsidRPr="00F31118">
        <w:rPr>
          <w:rFonts w:ascii="Arial" w:eastAsia="宋体" w:hAnsi="Arial" w:cs="Arial"/>
        </w:rPr>
        <w:t>）。</w:t>
      </w:r>
      <w:r w:rsidR="004B2571" w:rsidRPr="00F31118">
        <w:rPr>
          <w:rFonts w:ascii="Arial" w:eastAsia="宋体" w:hAnsi="Arial" w:cs="Arial"/>
        </w:rPr>
        <w:t>由实验室进行的这种确认是临床实验室改进法案对</w:t>
      </w:r>
      <w:r w:rsidR="008724E6" w:rsidRPr="00F31118">
        <w:rPr>
          <w:rFonts w:ascii="Arial" w:eastAsia="宋体" w:hAnsi="Arial" w:cs="Arial"/>
        </w:rPr>
        <w:t>具备</w:t>
      </w:r>
      <w:proofErr w:type="gramStart"/>
      <w:r w:rsidR="008724E6" w:rsidRPr="00F31118">
        <w:rPr>
          <w:rFonts w:ascii="Arial" w:eastAsia="宋体" w:hAnsi="Arial" w:cs="Arial"/>
        </w:rPr>
        <w:t>高复杂</w:t>
      </w:r>
      <w:proofErr w:type="gramEnd"/>
      <w:r w:rsidR="008724E6" w:rsidRPr="00F31118">
        <w:rPr>
          <w:rFonts w:ascii="Arial" w:eastAsia="宋体" w:hAnsi="Arial" w:cs="Arial"/>
        </w:rPr>
        <w:t>度检验资质的</w:t>
      </w:r>
      <w:r w:rsidR="004B2571" w:rsidRPr="00F31118">
        <w:rPr>
          <w:rFonts w:ascii="Arial" w:eastAsia="宋体" w:hAnsi="Arial" w:cs="Arial"/>
        </w:rPr>
        <w:t>实验室生成临床结果的最低要求。</w:t>
      </w:r>
    </w:p>
    <w:p w:rsidR="00BD2BC3" w:rsidRPr="00F31118" w:rsidRDefault="00BD2BC3" w:rsidP="003059EA">
      <w:pPr>
        <w:snapToGrid w:val="0"/>
        <w:spacing w:line="300" w:lineRule="auto"/>
        <w:rPr>
          <w:rFonts w:ascii="Arial" w:eastAsia="宋体" w:hAnsi="Arial" w:cs="Arial"/>
        </w:rPr>
      </w:pPr>
    </w:p>
    <w:p w:rsidR="00BD2BC3" w:rsidRPr="00F31118" w:rsidRDefault="008724E6" w:rsidP="003059EA">
      <w:pPr>
        <w:snapToGrid w:val="0"/>
        <w:spacing w:line="300" w:lineRule="auto"/>
        <w:rPr>
          <w:rFonts w:ascii="Arial" w:eastAsia="宋体" w:hAnsi="Arial" w:cs="Arial"/>
          <w:b/>
        </w:rPr>
      </w:pPr>
      <w:r w:rsidRPr="00F31118">
        <w:rPr>
          <w:rFonts w:ascii="Arial" w:eastAsia="宋体" w:hAnsi="Arial" w:cs="Arial"/>
          <w:b/>
        </w:rPr>
        <w:t xml:space="preserve">18. </w:t>
      </w:r>
      <w:r w:rsidR="00921E51">
        <w:rPr>
          <w:rFonts w:ascii="Arial" w:eastAsia="宋体" w:hAnsi="Arial" w:cs="Arial"/>
          <w:b/>
        </w:rPr>
        <w:t>被分析物特效试剂</w:t>
      </w:r>
      <w:r w:rsidRPr="00F31118">
        <w:rPr>
          <w:rFonts w:ascii="Arial" w:eastAsia="宋体" w:hAnsi="Arial" w:cs="Arial"/>
          <w:b/>
        </w:rPr>
        <w:t>制造商可以向实验室提供哪种类型的特定</w:t>
      </w:r>
      <w:r w:rsidR="00921E51">
        <w:rPr>
          <w:rFonts w:ascii="Arial" w:eastAsia="宋体" w:hAnsi="Arial" w:cs="Arial"/>
          <w:b/>
        </w:rPr>
        <w:t>被分析物特效试剂</w:t>
      </w:r>
      <w:r w:rsidRPr="00F31118">
        <w:rPr>
          <w:rFonts w:ascii="Arial" w:eastAsia="宋体" w:hAnsi="Arial" w:cs="Arial"/>
          <w:b/>
        </w:rPr>
        <w:t>信息？</w:t>
      </w:r>
    </w:p>
    <w:p w:rsidR="008724E6" w:rsidRPr="00F31118" w:rsidRDefault="008724E6" w:rsidP="003059EA">
      <w:pPr>
        <w:snapToGrid w:val="0"/>
        <w:spacing w:line="300" w:lineRule="auto"/>
        <w:rPr>
          <w:rFonts w:ascii="Arial" w:eastAsia="宋体" w:hAnsi="Arial" w:cs="Arial"/>
        </w:rPr>
      </w:pPr>
    </w:p>
    <w:p w:rsidR="00BD2BC3" w:rsidRPr="00F31118" w:rsidRDefault="00921E51" w:rsidP="003059EA">
      <w:pPr>
        <w:snapToGrid w:val="0"/>
        <w:spacing w:line="300" w:lineRule="auto"/>
        <w:rPr>
          <w:rFonts w:ascii="Arial" w:eastAsia="宋体" w:hAnsi="Arial" w:cs="Arial"/>
        </w:rPr>
      </w:pPr>
      <w:r>
        <w:rPr>
          <w:rFonts w:ascii="Arial" w:eastAsia="宋体" w:hAnsi="Arial" w:cs="Arial"/>
        </w:rPr>
        <w:t>被分析物特效试剂</w:t>
      </w:r>
      <w:r w:rsidR="009C2768" w:rsidRPr="00F31118">
        <w:rPr>
          <w:rFonts w:ascii="Arial" w:eastAsia="宋体" w:hAnsi="Arial" w:cs="Arial"/>
        </w:rPr>
        <w:t>制造商可向实验室提供信息，其中包括经同行评议并公开发表</w:t>
      </w:r>
      <w:r w:rsidR="009C2768" w:rsidRPr="00F31118">
        <w:rPr>
          <w:rFonts w:ascii="Arial" w:eastAsia="宋体" w:hAnsi="Arial" w:cs="Arial"/>
        </w:rPr>
        <w:t>/</w:t>
      </w:r>
      <w:r w:rsidR="009C2768" w:rsidRPr="00F31118">
        <w:rPr>
          <w:rFonts w:ascii="Arial" w:eastAsia="宋体" w:hAnsi="Arial" w:cs="Arial"/>
        </w:rPr>
        <w:t>报告的文献。这些文献明确了</w:t>
      </w:r>
      <w:r>
        <w:rPr>
          <w:rFonts w:ascii="Arial" w:eastAsia="宋体" w:hAnsi="Arial" w:cs="Arial"/>
        </w:rPr>
        <w:t>被分析物特效试剂</w:t>
      </w:r>
      <w:r w:rsidR="009C2768" w:rsidRPr="00F31118">
        <w:rPr>
          <w:rFonts w:ascii="Arial" w:eastAsia="宋体" w:hAnsi="Arial" w:cs="Arial"/>
        </w:rPr>
        <w:t>本身的特征，如</w:t>
      </w:r>
      <w:r w:rsidR="009858C5" w:rsidRPr="00F31118">
        <w:rPr>
          <w:rFonts w:ascii="Arial" w:eastAsia="宋体" w:hAnsi="Arial" w:cs="Arial"/>
        </w:rPr>
        <w:t>描述</w:t>
      </w:r>
      <w:r>
        <w:rPr>
          <w:rFonts w:ascii="Arial" w:eastAsia="宋体" w:hAnsi="Arial" w:cs="Arial"/>
        </w:rPr>
        <w:t>被分析物特效试剂</w:t>
      </w:r>
      <w:r w:rsidR="009858C5" w:rsidRPr="00F31118">
        <w:rPr>
          <w:rFonts w:ascii="Arial" w:eastAsia="宋体" w:hAnsi="Arial" w:cs="Arial"/>
        </w:rPr>
        <w:t>要检测的具体</w:t>
      </w:r>
      <w:proofErr w:type="gramStart"/>
      <w:r w:rsidR="009858C5" w:rsidRPr="00F31118">
        <w:rPr>
          <w:rFonts w:ascii="Arial" w:eastAsia="宋体" w:hAnsi="Arial" w:cs="Arial"/>
        </w:rPr>
        <w:t>配体或靶成分</w:t>
      </w:r>
      <w:proofErr w:type="gramEnd"/>
      <w:r w:rsidR="009858C5" w:rsidRPr="00F31118">
        <w:rPr>
          <w:rFonts w:ascii="Arial" w:eastAsia="宋体" w:hAnsi="Arial" w:cs="Arial"/>
        </w:rPr>
        <w:t>的信息。</w:t>
      </w:r>
      <w:r w:rsidR="00C3164D" w:rsidRPr="00F31118">
        <w:rPr>
          <w:rFonts w:ascii="Arial" w:eastAsia="宋体" w:hAnsi="Arial" w:cs="Arial"/>
        </w:rPr>
        <w:t>然而，此类信息不可能描述</w:t>
      </w:r>
      <w:r>
        <w:rPr>
          <w:rFonts w:ascii="Arial" w:eastAsia="宋体" w:hAnsi="Arial" w:cs="Arial"/>
        </w:rPr>
        <w:t>被分析物特效试剂</w:t>
      </w:r>
      <w:r w:rsidR="00C3164D" w:rsidRPr="00F31118">
        <w:rPr>
          <w:rFonts w:ascii="Arial" w:eastAsia="宋体" w:hAnsi="Arial" w:cs="Arial"/>
        </w:rPr>
        <w:t>在某种具体检验</w:t>
      </w:r>
      <w:r w:rsidR="00C605F4" w:rsidRPr="00F31118">
        <w:rPr>
          <w:rFonts w:ascii="Arial" w:eastAsia="宋体" w:hAnsi="Arial" w:cs="Arial"/>
        </w:rPr>
        <w:t>产品</w:t>
      </w:r>
      <w:r w:rsidR="00C3164D" w:rsidRPr="00F31118">
        <w:rPr>
          <w:rFonts w:ascii="Arial" w:eastAsia="宋体" w:hAnsi="Arial" w:cs="Arial"/>
        </w:rPr>
        <w:t>中的应用情况</w:t>
      </w:r>
      <w:r w:rsidR="00F6159B" w:rsidRPr="00F31118">
        <w:rPr>
          <w:rFonts w:ascii="Arial" w:eastAsia="宋体" w:hAnsi="Arial" w:cs="Arial"/>
        </w:rPr>
        <w:t>，</w:t>
      </w:r>
      <w:r w:rsidR="00C3164D" w:rsidRPr="00F31118">
        <w:rPr>
          <w:rFonts w:ascii="Arial" w:eastAsia="宋体" w:hAnsi="Arial" w:cs="Arial"/>
        </w:rPr>
        <w:t>其中包括</w:t>
      </w:r>
      <w:r>
        <w:rPr>
          <w:rFonts w:ascii="Arial" w:eastAsia="宋体" w:hAnsi="Arial" w:cs="Arial"/>
        </w:rPr>
        <w:t>被分析物特效试剂</w:t>
      </w:r>
      <w:r w:rsidR="00C3164D" w:rsidRPr="00F31118">
        <w:rPr>
          <w:rFonts w:ascii="Arial" w:eastAsia="宋体" w:hAnsi="Arial" w:cs="Arial"/>
        </w:rPr>
        <w:t>的临床功</w:t>
      </w:r>
      <w:r w:rsidR="0001225F" w:rsidRPr="00F31118">
        <w:rPr>
          <w:rFonts w:ascii="Arial" w:eastAsia="宋体" w:hAnsi="Arial" w:cs="Arial"/>
        </w:rPr>
        <w:t>用</w:t>
      </w:r>
      <w:r w:rsidR="00F6159B" w:rsidRPr="00F31118">
        <w:rPr>
          <w:rFonts w:ascii="Arial" w:eastAsia="宋体" w:hAnsi="Arial" w:cs="Arial"/>
        </w:rPr>
        <w:t>、临床性能、具体使用说明和确认方案方面的信息（</w:t>
      </w:r>
      <w:r w:rsidR="00F6159B" w:rsidRPr="00F31118">
        <w:rPr>
          <w:rFonts w:ascii="Arial" w:eastAsia="宋体" w:hAnsi="Arial" w:cs="Arial"/>
        </w:rPr>
        <w:t>21 CFR 809.30</w:t>
      </w:r>
      <w:r w:rsidR="00F6159B" w:rsidRPr="00F31118">
        <w:rPr>
          <w:rFonts w:ascii="Arial" w:eastAsia="宋体" w:hAnsi="Arial" w:cs="Arial"/>
        </w:rPr>
        <w:t>，</w:t>
      </w:r>
      <w:r w:rsidR="00F6159B" w:rsidRPr="00F31118">
        <w:rPr>
          <w:rFonts w:ascii="Arial" w:eastAsia="宋体" w:hAnsi="Arial" w:cs="Arial"/>
        </w:rPr>
        <w:t>864.4020</w:t>
      </w:r>
      <w:r w:rsidR="00F6159B" w:rsidRPr="00F31118">
        <w:rPr>
          <w:rFonts w:ascii="Arial" w:eastAsia="宋体" w:hAnsi="Arial" w:cs="Arial"/>
        </w:rPr>
        <w:t>）。伴有此类信息时，</w:t>
      </w:r>
      <w:r w:rsidR="003868BF" w:rsidRPr="00F31118">
        <w:rPr>
          <w:rFonts w:ascii="Arial" w:eastAsia="宋体" w:hAnsi="Arial" w:cs="Arial"/>
        </w:rPr>
        <w:t>产品</w:t>
      </w:r>
      <w:r w:rsidR="00F6159B" w:rsidRPr="00F31118">
        <w:rPr>
          <w:rFonts w:ascii="Arial" w:eastAsia="宋体" w:hAnsi="Arial" w:cs="Arial"/>
        </w:rPr>
        <w:t>就</w:t>
      </w:r>
      <w:r w:rsidR="003868BF" w:rsidRPr="00F31118">
        <w:rPr>
          <w:rFonts w:ascii="Arial" w:eastAsia="宋体" w:hAnsi="Arial" w:cs="Arial"/>
        </w:rPr>
        <w:t>超出了</w:t>
      </w:r>
      <w:r>
        <w:rPr>
          <w:rFonts w:ascii="Arial" w:eastAsia="宋体" w:hAnsi="Arial" w:cs="Arial"/>
        </w:rPr>
        <w:t>被分析物特效试剂</w:t>
      </w:r>
      <w:r w:rsidR="003868BF" w:rsidRPr="00F31118">
        <w:rPr>
          <w:rFonts w:ascii="Arial" w:eastAsia="宋体" w:hAnsi="Arial" w:cs="Arial"/>
        </w:rPr>
        <w:t>的定义。见本文第</w:t>
      </w:r>
      <w:r w:rsidR="003868BF" w:rsidRPr="00F31118">
        <w:rPr>
          <w:rFonts w:ascii="Arial" w:eastAsia="宋体" w:hAnsi="Arial" w:cs="Arial"/>
        </w:rPr>
        <w:t>II</w:t>
      </w:r>
      <w:r w:rsidR="003868BF" w:rsidRPr="00F31118">
        <w:rPr>
          <w:rFonts w:ascii="Arial" w:eastAsia="宋体" w:hAnsi="Arial" w:cs="Arial"/>
        </w:rPr>
        <w:t>节</w:t>
      </w:r>
      <w:r w:rsidR="003868BF" w:rsidRPr="00F31118">
        <w:rPr>
          <w:rFonts w:ascii="Arial" w:eastAsia="宋体" w:hAnsi="Arial" w:cs="Arial"/>
        </w:rPr>
        <w:t xml:space="preserve"> “</w:t>
      </w:r>
      <w:r w:rsidR="003868BF" w:rsidRPr="00F31118">
        <w:rPr>
          <w:rFonts w:ascii="Arial" w:eastAsia="宋体" w:hAnsi="Arial" w:cs="Arial"/>
        </w:rPr>
        <w:t>哪些产品符合</w:t>
      </w:r>
      <w:r>
        <w:rPr>
          <w:rFonts w:ascii="Arial" w:eastAsia="宋体" w:hAnsi="Arial" w:cs="Arial"/>
        </w:rPr>
        <w:t>被分析物特效试剂</w:t>
      </w:r>
      <w:r w:rsidR="003868BF" w:rsidRPr="00F31118">
        <w:rPr>
          <w:rFonts w:ascii="Arial" w:eastAsia="宋体" w:hAnsi="Arial" w:cs="Arial"/>
        </w:rPr>
        <w:t>的定义？</w:t>
      </w:r>
      <w:r w:rsidR="003868BF" w:rsidRPr="00F31118">
        <w:rPr>
          <w:rFonts w:ascii="Arial" w:eastAsia="宋体" w:hAnsi="Arial" w:cs="Arial"/>
        </w:rPr>
        <w:t>”</w:t>
      </w:r>
      <w:r w:rsidR="003868BF" w:rsidRPr="00F31118">
        <w:rPr>
          <w:rFonts w:ascii="Arial" w:eastAsia="宋体" w:hAnsi="Arial" w:cs="Arial"/>
        </w:rPr>
        <w:t>。</w:t>
      </w:r>
    </w:p>
    <w:p w:rsidR="00F6159B" w:rsidRPr="00F31118" w:rsidRDefault="00F6159B" w:rsidP="003059EA">
      <w:pPr>
        <w:snapToGrid w:val="0"/>
        <w:spacing w:line="300" w:lineRule="auto"/>
        <w:rPr>
          <w:rFonts w:ascii="Arial" w:eastAsia="宋体" w:hAnsi="Arial" w:cs="Arial"/>
        </w:rPr>
      </w:pPr>
    </w:p>
    <w:p w:rsidR="003868BF" w:rsidRPr="00F31118" w:rsidRDefault="00B81A90" w:rsidP="003059EA">
      <w:pPr>
        <w:snapToGrid w:val="0"/>
        <w:spacing w:line="300" w:lineRule="auto"/>
        <w:rPr>
          <w:rFonts w:ascii="Arial" w:eastAsia="宋体" w:hAnsi="Arial" w:cs="Arial"/>
          <w:b/>
        </w:rPr>
      </w:pPr>
      <w:r w:rsidRPr="00F31118">
        <w:rPr>
          <w:rFonts w:ascii="Arial" w:eastAsia="宋体" w:hAnsi="Arial" w:cs="Arial"/>
          <w:b/>
        </w:rPr>
        <w:t>IV.</w:t>
      </w:r>
      <w:r w:rsidR="003868BF" w:rsidRPr="00F31118">
        <w:rPr>
          <w:rFonts w:ascii="Arial" w:eastAsia="宋体" w:hAnsi="Arial" w:cs="Arial"/>
          <w:b/>
        </w:rPr>
        <w:t xml:space="preserve"> </w:t>
      </w:r>
      <w:r w:rsidR="00921E51">
        <w:rPr>
          <w:rFonts w:ascii="Arial" w:eastAsia="宋体" w:hAnsi="Arial" w:cs="Arial"/>
          <w:b/>
        </w:rPr>
        <w:t>被分析物特效试剂</w:t>
      </w:r>
      <w:r w:rsidR="003868BF" w:rsidRPr="00F31118">
        <w:rPr>
          <w:rFonts w:ascii="Arial" w:eastAsia="宋体" w:hAnsi="Arial" w:cs="Arial"/>
          <w:b/>
        </w:rPr>
        <w:t>的研究和调查用途</w:t>
      </w:r>
    </w:p>
    <w:p w:rsidR="003868BF" w:rsidRPr="00F31118" w:rsidRDefault="003868BF" w:rsidP="003059EA">
      <w:pPr>
        <w:snapToGrid w:val="0"/>
        <w:spacing w:line="300" w:lineRule="auto"/>
        <w:rPr>
          <w:rFonts w:ascii="Arial" w:eastAsia="宋体" w:hAnsi="Arial" w:cs="Arial"/>
        </w:rPr>
      </w:pPr>
    </w:p>
    <w:p w:rsidR="003868BF" w:rsidRPr="00F31118" w:rsidRDefault="00324768" w:rsidP="003059EA">
      <w:pPr>
        <w:snapToGrid w:val="0"/>
        <w:spacing w:line="300" w:lineRule="auto"/>
        <w:rPr>
          <w:rFonts w:ascii="Arial" w:eastAsia="宋体" w:hAnsi="Arial" w:cs="Arial"/>
          <w:b/>
        </w:rPr>
      </w:pPr>
      <w:r w:rsidRPr="00F31118">
        <w:rPr>
          <w:rFonts w:ascii="Arial" w:eastAsia="宋体" w:hAnsi="Arial" w:cs="Arial"/>
          <w:b/>
        </w:rPr>
        <w:t xml:space="preserve">19. </w:t>
      </w:r>
      <w:r w:rsidR="00921E51">
        <w:rPr>
          <w:rFonts w:ascii="Arial" w:eastAsia="宋体" w:hAnsi="Arial" w:cs="Arial"/>
          <w:b/>
        </w:rPr>
        <w:t>被分析物特效试剂</w:t>
      </w:r>
      <w:r w:rsidRPr="00F31118">
        <w:rPr>
          <w:rFonts w:ascii="Arial" w:eastAsia="宋体" w:hAnsi="Arial" w:cs="Arial"/>
          <w:b/>
        </w:rPr>
        <w:t>可用于研究吗？</w:t>
      </w:r>
    </w:p>
    <w:p w:rsidR="003868BF" w:rsidRPr="00F31118" w:rsidRDefault="003868BF" w:rsidP="003059EA">
      <w:pPr>
        <w:snapToGrid w:val="0"/>
        <w:spacing w:line="300" w:lineRule="auto"/>
        <w:rPr>
          <w:rFonts w:ascii="Arial" w:eastAsia="宋体" w:hAnsi="Arial" w:cs="Arial"/>
        </w:rPr>
      </w:pPr>
    </w:p>
    <w:p w:rsidR="003868BF" w:rsidRPr="00F31118" w:rsidRDefault="00324768" w:rsidP="003059EA">
      <w:pPr>
        <w:snapToGrid w:val="0"/>
        <w:spacing w:line="300" w:lineRule="auto"/>
        <w:rPr>
          <w:rFonts w:ascii="Arial" w:eastAsia="宋体" w:hAnsi="Arial" w:cs="Arial"/>
        </w:rPr>
      </w:pPr>
      <w:r w:rsidRPr="00F31118">
        <w:rPr>
          <w:rFonts w:ascii="Arial" w:eastAsia="宋体" w:hAnsi="Arial" w:cs="Arial"/>
        </w:rPr>
        <w:t>是的，</w:t>
      </w:r>
      <w:r w:rsidR="00921E51">
        <w:rPr>
          <w:rFonts w:ascii="Arial" w:eastAsia="宋体" w:hAnsi="Arial" w:cs="Arial"/>
        </w:rPr>
        <w:t>被分析物特效试剂</w:t>
      </w:r>
      <w:r w:rsidRPr="00F31118">
        <w:rPr>
          <w:rFonts w:ascii="Arial" w:eastAsia="宋体" w:hAnsi="Arial" w:cs="Arial"/>
        </w:rPr>
        <w:t>可用于研究。</w:t>
      </w:r>
      <w:r w:rsidR="00927E7F" w:rsidRPr="00F31118">
        <w:rPr>
          <w:rFonts w:ascii="Arial" w:eastAsia="宋体" w:hAnsi="Arial" w:cs="Arial"/>
        </w:rPr>
        <w:t>对</w:t>
      </w:r>
      <w:r w:rsidR="00921E51">
        <w:rPr>
          <w:rFonts w:ascii="Arial" w:eastAsia="宋体" w:hAnsi="Arial" w:cs="Arial"/>
        </w:rPr>
        <w:t>被分析物特效试剂</w:t>
      </w:r>
      <w:r w:rsidR="00927E7F" w:rsidRPr="00F31118">
        <w:rPr>
          <w:rFonts w:ascii="Arial" w:eastAsia="宋体" w:hAnsi="Arial" w:cs="Arial"/>
        </w:rPr>
        <w:t>的要求（包括对实验室报告免责声明的要求）仅适用于这些产品的临床诊断用途，不适用于研究用途（</w:t>
      </w:r>
      <w:r w:rsidR="00927E7F" w:rsidRPr="00F31118">
        <w:rPr>
          <w:rFonts w:ascii="Arial" w:eastAsia="宋体" w:hAnsi="Arial" w:cs="Arial"/>
        </w:rPr>
        <w:t>21 CFR 864.4020(a)(2)</w:t>
      </w:r>
      <w:r w:rsidR="00927E7F" w:rsidRPr="00F31118">
        <w:rPr>
          <w:rFonts w:ascii="Arial" w:eastAsia="宋体" w:hAnsi="Arial" w:cs="Arial"/>
        </w:rPr>
        <w:t>）。</w:t>
      </w:r>
    </w:p>
    <w:p w:rsidR="00B81A90" w:rsidRPr="00F31118" w:rsidRDefault="00B81A90" w:rsidP="003059EA">
      <w:pPr>
        <w:snapToGrid w:val="0"/>
        <w:spacing w:line="300" w:lineRule="auto"/>
        <w:rPr>
          <w:rFonts w:ascii="Arial" w:eastAsia="宋体" w:hAnsi="Arial" w:cs="Arial"/>
        </w:rPr>
      </w:pPr>
    </w:p>
    <w:p w:rsidR="00BD2BC3" w:rsidRPr="00F31118" w:rsidRDefault="00927E7F" w:rsidP="003059EA">
      <w:pPr>
        <w:snapToGrid w:val="0"/>
        <w:spacing w:line="300" w:lineRule="auto"/>
        <w:rPr>
          <w:rFonts w:ascii="Arial" w:eastAsia="宋体" w:hAnsi="Arial" w:cs="Arial"/>
          <w:b/>
        </w:rPr>
      </w:pPr>
      <w:r w:rsidRPr="00F31118">
        <w:rPr>
          <w:rFonts w:ascii="Arial" w:eastAsia="宋体" w:hAnsi="Arial" w:cs="Arial"/>
          <w:b/>
        </w:rPr>
        <w:t xml:space="preserve">20. </w:t>
      </w:r>
      <w:r w:rsidR="00921E51">
        <w:rPr>
          <w:rFonts w:ascii="Arial" w:eastAsia="宋体" w:hAnsi="Arial" w:cs="Arial"/>
          <w:b/>
        </w:rPr>
        <w:t>被分析物特效试剂</w:t>
      </w:r>
      <w:r w:rsidR="003B3BFB" w:rsidRPr="00F31118">
        <w:rPr>
          <w:rFonts w:ascii="Arial" w:eastAsia="宋体" w:hAnsi="Arial" w:cs="Arial"/>
          <w:b/>
        </w:rPr>
        <w:t>规则与标签上注明用于研究或调查用途的体外诊断产品有什么关系？</w:t>
      </w:r>
    </w:p>
    <w:p w:rsidR="003B3BFB" w:rsidRPr="00F31118" w:rsidRDefault="003B3BFB" w:rsidP="003059EA">
      <w:pPr>
        <w:snapToGrid w:val="0"/>
        <w:spacing w:line="300" w:lineRule="auto"/>
        <w:rPr>
          <w:rFonts w:ascii="Arial" w:eastAsia="宋体" w:hAnsi="Arial" w:cs="Arial"/>
        </w:rPr>
      </w:pPr>
    </w:p>
    <w:p w:rsidR="00927E7F" w:rsidRPr="00F31118" w:rsidRDefault="00255F5A" w:rsidP="003059EA">
      <w:pPr>
        <w:snapToGrid w:val="0"/>
        <w:spacing w:line="300" w:lineRule="auto"/>
        <w:rPr>
          <w:rFonts w:ascii="Arial" w:eastAsia="宋体" w:hAnsi="Arial" w:cs="Arial"/>
        </w:rPr>
      </w:pPr>
      <w:r w:rsidRPr="00F31118">
        <w:rPr>
          <w:rFonts w:ascii="Arial" w:eastAsia="宋体" w:hAnsi="Arial" w:cs="Arial"/>
        </w:rPr>
        <w:t>标签注明</w:t>
      </w:r>
      <w:bookmarkStart w:id="30" w:name="OLE_LINK50"/>
      <w:bookmarkStart w:id="31" w:name="OLE_LINK51"/>
      <w:bookmarkStart w:id="32" w:name="OLE_LINK52"/>
      <w:r w:rsidRPr="00F31118">
        <w:rPr>
          <w:rFonts w:ascii="Arial" w:eastAsia="宋体" w:hAnsi="Arial" w:cs="Arial"/>
        </w:rPr>
        <w:t>仅</w:t>
      </w:r>
      <w:r w:rsidR="00957C1D" w:rsidRPr="00F31118">
        <w:rPr>
          <w:rFonts w:ascii="Arial" w:eastAsia="宋体" w:hAnsi="Arial" w:cs="Arial"/>
        </w:rPr>
        <w:t>供</w:t>
      </w:r>
      <w:r w:rsidRPr="00F31118">
        <w:rPr>
          <w:rFonts w:ascii="Arial" w:eastAsia="宋体" w:hAnsi="Arial" w:cs="Arial"/>
        </w:rPr>
        <w:t>研究</w:t>
      </w:r>
      <w:r w:rsidR="00957C1D" w:rsidRPr="00F31118">
        <w:rPr>
          <w:rFonts w:ascii="Arial" w:eastAsia="宋体" w:hAnsi="Arial" w:cs="Arial"/>
        </w:rPr>
        <w:t>使用</w:t>
      </w:r>
      <w:bookmarkEnd w:id="30"/>
      <w:bookmarkEnd w:id="31"/>
      <w:bookmarkEnd w:id="32"/>
      <w:r w:rsidRPr="00F31118">
        <w:rPr>
          <w:rFonts w:ascii="Arial" w:eastAsia="宋体" w:hAnsi="Arial" w:cs="Arial"/>
        </w:rPr>
        <w:t>（</w:t>
      </w:r>
      <w:r w:rsidRPr="00F31118">
        <w:rPr>
          <w:rFonts w:ascii="Arial" w:eastAsia="宋体" w:hAnsi="Arial" w:cs="Arial"/>
        </w:rPr>
        <w:t>RUO</w:t>
      </w:r>
      <w:r w:rsidRPr="00F31118">
        <w:rPr>
          <w:rFonts w:ascii="Arial" w:eastAsia="宋体" w:hAnsi="Arial" w:cs="Arial"/>
        </w:rPr>
        <w:t>）或仅</w:t>
      </w:r>
      <w:r w:rsidR="00957C1D" w:rsidRPr="00F31118">
        <w:rPr>
          <w:rFonts w:ascii="Arial" w:eastAsia="宋体" w:hAnsi="Arial" w:cs="Arial"/>
        </w:rPr>
        <w:t>供</w:t>
      </w:r>
      <w:r w:rsidRPr="00F31118">
        <w:rPr>
          <w:rFonts w:ascii="Arial" w:eastAsia="宋体" w:hAnsi="Arial" w:cs="Arial"/>
        </w:rPr>
        <w:t>调查</w:t>
      </w:r>
      <w:r w:rsidR="00957C1D" w:rsidRPr="00F31118">
        <w:rPr>
          <w:rFonts w:ascii="Arial" w:eastAsia="宋体" w:hAnsi="Arial" w:cs="Arial"/>
        </w:rPr>
        <w:t>使用</w:t>
      </w:r>
      <w:r w:rsidRPr="00F31118">
        <w:rPr>
          <w:rFonts w:ascii="Arial" w:eastAsia="宋体" w:hAnsi="Arial" w:cs="Arial"/>
        </w:rPr>
        <w:t>（</w:t>
      </w:r>
      <w:r w:rsidRPr="00F31118">
        <w:rPr>
          <w:rFonts w:ascii="Arial" w:eastAsia="宋体" w:hAnsi="Arial" w:cs="Arial"/>
        </w:rPr>
        <w:t>IUO</w:t>
      </w:r>
      <w:r w:rsidRPr="00F31118">
        <w:rPr>
          <w:rFonts w:ascii="Arial" w:eastAsia="宋体" w:hAnsi="Arial" w:cs="Arial"/>
        </w:rPr>
        <w:t>）</w:t>
      </w:r>
      <w:r w:rsidR="00957C1D" w:rsidRPr="00F31118">
        <w:rPr>
          <w:rFonts w:ascii="Arial" w:eastAsia="宋体" w:hAnsi="Arial" w:cs="Arial"/>
        </w:rPr>
        <w:t>的产品是处于不</w:t>
      </w:r>
      <w:r w:rsidR="005D3832" w:rsidRPr="00F31118">
        <w:rPr>
          <w:rFonts w:ascii="Arial" w:eastAsia="宋体" w:hAnsi="Arial" w:cs="Arial"/>
        </w:rPr>
        <w:t>同开发阶段的体外诊断产品。</w:t>
      </w:r>
    </w:p>
    <w:p w:rsidR="00927E7F" w:rsidRPr="00F31118" w:rsidRDefault="00927E7F" w:rsidP="003059EA">
      <w:pPr>
        <w:snapToGrid w:val="0"/>
        <w:spacing w:line="300" w:lineRule="auto"/>
        <w:rPr>
          <w:rFonts w:ascii="Arial" w:eastAsia="宋体" w:hAnsi="Arial" w:cs="Arial"/>
        </w:rPr>
      </w:pPr>
    </w:p>
    <w:p w:rsidR="00927E7F" w:rsidRPr="00CD0392" w:rsidRDefault="00957C1D" w:rsidP="00CD0392">
      <w:pPr>
        <w:pStyle w:val="a8"/>
        <w:numPr>
          <w:ilvl w:val="0"/>
          <w:numId w:val="3"/>
        </w:numPr>
        <w:snapToGrid w:val="0"/>
        <w:spacing w:line="300" w:lineRule="auto"/>
        <w:ind w:left="770" w:firstLineChars="0" w:hanging="364"/>
        <w:rPr>
          <w:rFonts w:ascii="Arial" w:eastAsia="宋体" w:hAnsi="Arial" w:cs="Arial"/>
        </w:rPr>
      </w:pPr>
      <w:r w:rsidRPr="00CD0392">
        <w:rPr>
          <w:rFonts w:ascii="Arial" w:eastAsia="宋体" w:hAnsi="Arial" w:cs="Arial"/>
        </w:rPr>
        <w:t>食品药品监督管理局</w:t>
      </w:r>
      <w:r w:rsidR="0001225F" w:rsidRPr="00CD0392">
        <w:rPr>
          <w:rFonts w:ascii="Arial" w:eastAsia="宋体" w:hAnsi="Arial" w:cs="Arial"/>
        </w:rPr>
        <w:t>将仅供研究使用的产品视为处于开发过程中实验室研究阶段的产品，即正在对其潜在临床功用</w:t>
      </w:r>
      <w:r w:rsidR="005D3832" w:rsidRPr="00CD0392">
        <w:rPr>
          <w:rFonts w:ascii="Arial" w:eastAsia="宋体" w:hAnsi="Arial" w:cs="Arial"/>
        </w:rPr>
        <w:t>进行基础研究或初步探索，尚不宜称为</w:t>
      </w:r>
      <w:r w:rsidR="001C609F" w:rsidRPr="00CD0392">
        <w:rPr>
          <w:rFonts w:ascii="Arial" w:eastAsia="宋体" w:hAnsi="Arial" w:cs="Arial"/>
        </w:rPr>
        <w:t>有效的体外诊断产品。在这个阶段，由制造商发起的研究所关注的焦点通常是对该检验</w:t>
      </w:r>
      <w:r w:rsidR="00B72F24" w:rsidRPr="00CD0392">
        <w:rPr>
          <w:rFonts w:ascii="Arial" w:eastAsia="宋体" w:hAnsi="Arial" w:cs="Arial"/>
        </w:rPr>
        <w:t>产品</w:t>
      </w:r>
      <w:r w:rsidR="008174FB" w:rsidRPr="00CD0392">
        <w:rPr>
          <w:rFonts w:ascii="Arial" w:eastAsia="宋体" w:hAnsi="Arial" w:cs="Arial"/>
        </w:rPr>
        <w:t>有限范围内的</w:t>
      </w:r>
      <w:r w:rsidR="001C609F" w:rsidRPr="00CD0392">
        <w:rPr>
          <w:rFonts w:ascii="Arial" w:eastAsia="宋体" w:hAnsi="Arial" w:cs="Arial"/>
        </w:rPr>
        <w:t>性能和潜在临床或信息用途</w:t>
      </w:r>
      <w:r w:rsidR="008174FB" w:rsidRPr="00CD0392">
        <w:rPr>
          <w:rFonts w:ascii="Arial" w:eastAsia="宋体" w:hAnsi="Arial" w:cs="Arial"/>
        </w:rPr>
        <w:t>进行评价。</w:t>
      </w:r>
      <w:r w:rsidR="00393364" w:rsidRPr="00CD0392">
        <w:rPr>
          <w:rFonts w:ascii="Arial" w:eastAsia="宋体" w:hAnsi="Arial" w:cs="Arial"/>
        </w:rPr>
        <w:t>对这些产品必须根据</w:t>
      </w:r>
      <w:r w:rsidR="00393364" w:rsidRPr="00CD0392">
        <w:rPr>
          <w:rFonts w:ascii="Arial" w:eastAsia="宋体" w:hAnsi="Arial" w:cs="Arial"/>
        </w:rPr>
        <w:t>21 CFR 809.10 (c)(2)(</w:t>
      </w:r>
      <w:proofErr w:type="spellStart"/>
      <w:r w:rsidR="00393364" w:rsidRPr="00CD0392">
        <w:rPr>
          <w:rFonts w:ascii="Arial" w:eastAsia="宋体" w:hAnsi="Arial" w:cs="Arial"/>
        </w:rPr>
        <w:t>i</w:t>
      </w:r>
      <w:proofErr w:type="spellEnd"/>
      <w:r w:rsidR="00393364" w:rsidRPr="00CD0392">
        <w:rPr>
          <w:rFonts w:ascii="Arial" w:eastAsia="宋体" w:hAnsi="Arial" w:cs="Arial"/>
        </w:rPr>
        <w:t>)</w:t>
      </w:r>
      <w:r w:rsidR="00393364" w:rsidRPr="00CD0392">
        <w:rPr>
          <w:rFonts w:ascii="Arial" w:eastAsia="宋体" w:hAnsi="Arial" w:cs="Arial"/>
        </w:rPr>
        <w:t>的规定标注</w:t>
      </w:r>
      <w:r w:rsidR="00393364" w:rsidRPr="00CD0392">
        <w:rPr>
          <w:rFonts w:ascii="Arial" w:eastAsia="宋体" w:hAnsi="Arial" w:cs="Arial"/>
        </w:rPr>
        <w:t>“</w:t>
      </w:r>
      <w:r w:rsidR="00393364" w:rsidRPr="00CD0392">
        <w:rPr>
          <w:rFonts w:ascii="Arial" w:eastAsia="宋体" w:hAnsi="Arial" w:cs="Arial"/>
        </w:rPr>
        <w:t>仅供研究使用，不得用于诊断</w:t>
      </w:r>
      <w:r w:rsidR="00C674B4" w:rsidRPr="00CD0392">
        <w:rPr>
          <w:rFonts w:ascii="Arial" w:eastAsia="宋体" w:hAnsi="Arial" w:cs="Arial"/>
        </w:rPr>
        <w:t>程序</w:t>
      </w:r>
      <w:r w:rsidR="00393364" w:rsidRPr="00CD0392">
        <w:rPr>
          <w:rFonts w:ascii="Arial" w:eastAsia="宋体" w:hAnsi="Arial" w:cs="Arial"/>
        </w:rPr>
        <w:t>”</w:t>
      </w:r>
      <w:r w:rsidR="00393364" w:rsidRPr="00CD0392">
        <w:rPr>
          <w:rFonts w:ascii="Arial" w:eastAsia="宋体" w:hAnsi="Arial" w:cs="Arial"/>
        </w:rPr>
        <w:t>。</w:t>
      </w:r>
    </w:p>
    <w:p w:rsidR="00A1207E" w:rsidRPr="00F31118" w:rsidRDefault="00A1207E" w:rsidP="003059EA">
      <w:pPr>
        <w:snapToGrid w:val="0"/>
        <w:spacing w:line="300" w:lineRule="auto"/>
        <w:rPr>
          <w:rFonts w:ascii="Arial" w:eastAsia="宋体" w:hAnsi="Arial" w:cs="Arial"/>
        </w:rPr>
      </w:pPr>
    </w:p>
    <w:p w:rsidR="00A1207E" w:rsidRPr="00F31118" w:rsidRDefault="00A1207E" w:rsidP="003059EA">
      <w:pPr>
        <w:snapToGrid w:val="0"/>
        <w:spacing w:line="300" w:lineRule="auto"/>
        <w:rPr>
          <w:rFonts w:ascii="Arial" w:eastAsia="宋体" w:hAnsi="Arial" w:cs="Arial"/>
        </w:rPr>
      </w:pPr>
    </w:p>
    <w:p w:rsidR="00A1207E" w:rsidRPr="00F31118" w:rsidRDefault="00A1207E" w:rsidP="003059EA">
      <w:pPr>
        <w:snapToGrid w:val="0"/>
        <w:spacing w:line="300" w:lineRule="auto"/>
        <w:rPr>
          <w:rFonts w:ascii="Arial" w:eastAsia="宋体" w:hAnsi="Arial" w:cs="Arial"/>
        </w:rPr>
      </w:pPr>
    </w:p>
    <w:p w:rsidR="00CD0392" w:rsidRDefault="00CD0392">
      <w:pPr>
        <w:widowControl/>
        <w:jc w:val="left"/>
        <w:rPr>
          <w:rFonts w:ascii="Arial" w:eastAsia="宋体" w:hAnsi="Arial" w:cs="Arial"/>
        </w:rPr>
      </w:pPr>
      <w:r>
        <w:rPr>
          <w:rFonts w:ascii="Arial" w:eastAsia="宋体" w:hAnsi="Arial" w:cs="Arial"/>
        </w:rPr>
        <w:br w:type="page"/>
      </w:r>
    </w:p>
    <w:p w:rsidR="00B81A90" w:rsidRPr="00F31118" w:rsidRDefault="00DB0290" w:rsidP="00CD0392">
      <w:pPr>
        <w:pStyle w:val="a8"/>
        <w:numPr>
          <w:ilvl w:val="0"/>
          <w:numId w:val="3"/>
        </w:numPr>
        <w:snapToGrid w:val="0"/>
        <w:spacing w:line="300" w:lineRule="auto"/>
        <w:ind w:left="770" w:firstLineChars="0" w:hanging="364"/>
        <w:rPr>
          <w:rFonts w:ascii="Arial" w:eastAsia="宋体" w:hAnsi="Arial" w:cs="Arial"/>
        </w:rPr>
      </w:pPr>
      <w:r w:rsidRPr="00F31118">
        <w:rPr>
          <w:rFonts w:ascii="Arial" w:eastAsia="宋体" w:hAnsi="Arial" w:cs="Arial"/>
        </w:rPr>
        <w:lastRenderedPageBreak/>
        <w:t>食品药品监督管理局将仅供调查使用的产品视为处于开发过程中临床研究阶段的产品。</w:t>
      </w:r>
      <w:r w:rsidR="00945448" w:rsidRPr="00F31118">
        <w:rPr>
          <w:rFonts w:ascii="Arial" w:eastAsia="宋体" w:hAnsi="Arial" w:cs="Arial"/>
        </w:rPr>
        <w:t>它们可享受</w:t>
      </w:r>
      <w:r w:rsidR="00945448" w:rsidRPr="00F31118">
        <w:rPr>
          <w:rFonts w:ascii="Arial" w:eastAsia="宋体" w:hAnsi="Arial" w:cs="Arial"/>
        </w:rPr>
        <w:t>21 CFR</w:t>
      </w:r>
      <w:r w:rsidR="00945448" w:rsidRPr="00F31118">
        <w:rPr>
          <w:rFonts w:ascii="Arial" w:eastAsia="宋体" w:hAnsi="Arial" w:cs="Arial"/>
        </w:rPr>
        <w:t>第</w:t>
      </w:r>
      <w:r w:rsidR="00945448" w:rsidRPr="00F31118">
        <w:rPr>
          <w:rFonts w:ascii="Arial" w:eastAsia="宋体" w:hAnsi="Arial" w:cs="Arial"/>
        </w:rPr>
        <w:t>812</w:t>
      </w:r>
      <w:r w:rsidR="00945448" w:rsidRPr="00F31118">
        <w:rPr>
          <w:rFonts w:ascii="Arial" w:eastAsia="宋体" w:hAnsi="Arial" w:cs="Arial"/>
        </w:rPr>
        <w:t>部分（</w:t>
      </w:r>
      <w:r w:rsidR="00945448" w:rsidRPr="00F31118">
        <w:rPr>
          <w:rFonts w:ascii="Arial" w:eastAsia="宋体" w:hAnsi="Arial" w:cs="Arial"/>
        </w:rPr>
        <w:t>21 CFR 812.2(c)</w:t>
      </w:r>
      <w:r w:rsidR="00945448" w:rsidRPr="00F31118">
        <w:rPr>
          <w:rFonts w:ascii="Arial" w:eastAsia="宋体" w:hAnsi="Arial" w:cs="Arial"/>
        </w:rPr>
        <w:t>）研究性</w:t>
      </w:r>
      <w:r w:rsidR="000F3824">
        <w:rPr>
          <w:rFonts w:ascii="Arial" w:eastAsia="宋体" w:hAnsi="Arial" w:cs="Arial"/>
        </w:rPr>
        <w:t>器械</w:t>
      </w:r>
      <w:r w:rsidR="00945448" w:rsidRPr="00F31118">
        <w:rPr>
          <w:rFonts w:ascii="Arial" w:eastAsia="宋体" w:hAnsi="Arial" w:cs="Arial"/>
        </w:rPr>
        <w:t>（</w:t>
      </w:r>
      <w:r w:rsidR="00945448" w:rsidRPr="00F31118">
        <w:rPr>
          <w:rFonts w:ascii="Arial" w:eastAsia="宋体" w:hAnsi="Arial" w:cs="Arial"/>
        </w:rPr>
        <w:t>IDE</w:t>
      </w:r>
      <w:r w:rsidR="00CD0BF9" w:rsidRPr="00F31118">
        <w:rPr>
          <w:rFonts w:ascii="Arial" w:eastAsia="宋体" w:hAnsi="Arial" w:cs="Arial"/>
        </w:rPr>
        <w:t>）要求豁免待遇或以非重大风险</w:t>
      </w:r>
      <w:r w:rsidR="000F3824">
        <w:rPr>
          <w:rFonts w:ascii="Arial" w:eastAsia="宋体" w:hAnsi="Arial" w:cs="Arial"/>
        </w:rPr>
        <w:t>器械</w:t>
      </w:r>
      <w:r w:rsidR="00CD0BF9" w:rsidRPr="00F31118">
        <w:rPr>
          <w:rFonts w:ascii="Arial" w:eastAsia="宋体" w:hAnsi="Arial" w:cs="Arial"/>
        </w:rPr>
        <w:t>或重大风险</w:t>
      </w:r>
      <w:r w:rsidR="000F3824">
        <w:rPr>
          <w:rFonts w:ascii="Arial" w:eastAsia="宋体" w:hAnsi="Arial" w:cs="Arial"/>
        </w:rPr>
        <w:t>器械</w:t>
      </w:r>
      <w:r w:rsidR="00CD0BF9" w:rsidRPr="00F31118">
        <w:rPr>
          <w:rFonts w:ascii="Arial" w:eastAsia="宋体" w:hAnsi="Arial" w:cs="Arial"/>
        </w:rPr>
        <w:t>名义接受</w:t>
      </w:r>
      <w:r w:rsidR="00CD0BF9" w:rsidRPr="00F31118">
        <w:rPr>
          <w:rFonts w:ascii="Arial" w:eastAsia="宋体" w:hAnsi="Arial" w:cs="Arial"/>
        </w:rPr>
        <w:t>21 CFR</w:t>
      </w:r>
      <w:r w:rsidR="00CD0BF9" w:rsidRPr="00F31118">
        <w:rPr>
          <w:rFonts w:ascii="Arial" w:eastAsia="宋体" w:hAnsi="Arial" w:cs="Arial"/>
        </w:rPr>
        <w:t>第</w:t>
      </w:r>
      <w:r w:rsidR="00CD0BF9" w:rsidRPr="00F31118">
        <w:rPr>
          <w:rFonts w:ascii="Arial" w:eastAsia="宋体" w:hAnsi="Arial" w:cs="Arial"/>
        </w:rPr>
        <w:t>812</w:t>
      </w:r>
      <w:r w:rsidR="00CD0BF9" w:rsidRPr="00F31118">
        <w:rPr>
          <w:rFonts w:ascii="Arial" w:eastAsia="宋体" w:hAnsi="Arial" w:cs="Arial"/>
        </w:rPr>
        <w:t>部分的监管。</w:t>
      </w:r>
      <w:r w:rsidR="00371BA1" w:rsidRPr="00F31118">
        <w:rPr>
          <w:rFonts w:ascii="Arial" w:eastAsia="宋体" w:hAnsi="Arial" w:cs="Arial"/>
        </w:rPr>
        <w:t>享受研究性</w:t>
      </w:r>
      <w:r w:rsidR="000F3824">
        <w:rPr>
          <w:rFonts w:ascii="Arial" w:eastAsia="宋体" w:hAnsi="Arial" w:cs="Arial"/>
        </w:rPr>
        <w:t>器械</w:t>
      </w:r>
      <w:r w:rsidR="00371BA1" w:rsidRPr="00F31118">
        <w:rPr>
          <w:rFonts w:ascii="Arial" w:eastAsia="宋体" w:hAnsi="Arial" w:cs="Arial"/>
        </w:rPr>
        <w:t>要求豁免待遇的诊断</w:t>
      </w:r>
      <w:r w:rsidR="000F3824">
        <w:rPr>
          <w:rFonts w:ascii="Arial" w:eastAsia="宋体" w:hAnsi="Arial" w:cs="Arial"/>
        </w:rPr>
        <w:t>器械</w:t>
      </w:r>
      <w:r w:rsidR="00371BA1" w:rsidRPr="00F31118">
        <w:rPr>
          <w:rFonts w:ascii="Arial" w:eastAsia="宋体" w:hAnsi="Arial" w:cs="Arial"/>
        </w:rPr>
        <w:t>不能用于人</w:t>
      </w:r>
      <w:r w:rsidR="00C674B4" w:rsidRPr="00F31118">
        <w:rPr>
          <w:rFonts w:ascii="Arial" w:eastAsia="宋体" w:hAnsi="Arial" w:cs="Arial"/>
        </w:rPr>
        <w:t>体</w:t>
      </w:r>
      <w:r w:rsidR="00371BA1" w:rsidRPr="00F31118">
        <w:rPr>
          <w:rFonts w:ascii="Arial" w:eastAsia="宋体" w:hAnsi="Arial" w:cs="Arial"/>
        </w:rPr>
        <w:t>的临床诊断，除非该诊断同时得到另一个</w:t>
      </w:r>
      <w:r w:rsidR="00B23EF7" w:rsidRPr="00F31118">
        <w:rPr>
          <w:rFonts w:ascii="Arial" w:eastAsia="宋体" w:hAnsi="Arial" w:cs="Arial"/>
        </w:rPr>
        <w:t>医学认可诊断产品或规程的确认（</w:t>
      </w:r>
      <w:r w:rsidR="00B23EF7" w:rsidRPr="00F31118">
        <w:rPr>
          <w:rFonts w:ascii="Arial" w:eastAsia="宋体" w:hAnsi="Arial" w:cs="Arial"/>
        </w:rPr>
        <w:t>21 CFR 812.2(c)(3)(iv)</w:t>
      </w:r>
      <w:r w:rsidR="00B23EF7" w:rsidRPr="00F31118">
        <w:rPr>
          <w:rFonts w:ascii="Arial" w:eastAsia="宋体" w:hAnsi="Arial" w:cs="Arial"/>
        </w:rPr>
        <w:t>）。在这个阶段，</w:t>
      </w:r>
      <w:r w:rsidR="00237223" w:rsidRPr="00F31118">
        <w:rPr>
          <w:rFonts w:ascii="Arial" w:eastAsia="宋体" w:hAnsi="Arial" w:cs="Arial"/>
        </w:rPr>
        <w:t>正在对</w:t>
      </w:r>
      <w:r w:rsidR="00B23EF7" w:rsidRPr="00F31118">
        <w:rPr>
          <w:rFonts w:ascii="Arial" w:eastAsia="宋体" w:hAnsi="Arial" w:cs="Arial"/>
        </w:rPr>
        <w:t>产品的安全性和有效性</w:t>
      </w:r>
      <w:r w:rsidR="00237223" w:rsidRPr="00F31118">
        <w:rPr>
          <w:rFonts w:ascii="Arial" w:eastAsia="宋体" w:hAnsi="Arial" w:cs="Arial"/>
        </w:rPr>
        <w:t>进行</w:t>
      </w:r>
      <w:r w:rsidR="00B23EF7" w:rsidRPr="00F31118">
        <w:rPr>
          <w:rFonts w:ascii="Arial" w:eastAsia="宋体" w:hAnsi="Arial" w:cs="Arial"/>
        </w:rPr>
        <w:t>研究</w:t>
      </w:r>
      <w:r w:rsidR="00237223" w:rsidRPr="00F31118">
        <w:rPr>
          <w:rFonts w:ascii="Arial" w:eastAsia="宋体" w:hAnsi="Arial" w:cs="Arial"/>
        </w:rPr>
        <w:t>，即正在预期患者人群中确定其临床性能特征和期望价值。</w:t>
      </w:r>
      <w:r w:rsidR="00194E32" w:rsidRPr="00F31118">
        <w:rPr>
          <w:rFonts w:ascii="Arial" w:eastAsia="宋体" w:hAnsi="Arial" w:cs="Arial"/>
        </w:rPr>
        <w:t>在这些产品上必须标注</w:t>
      </w:r>
      <w:r w:rsidR="00194E32" w:rsidRPr="00F31118">
        <w:rPr>
          <w:rFonts w:ascii="Arial" w:eastAsia="宋体" w:hAnsi="Arial" w:cs="Arial"/>
        </w:rPr>
        <w:t>“</w:t>
      </w:r>
      <w:r w:rsidR="00194E32" w:rsidRPr="00F31118">
        <w:rPr>
          <w:rFonts w:ascii="Arial" w:eastAsia="宋体" w:hAnsi="Arial" w:cs="Arial"/>
        </w:rPr>
        <w:t>仅供调查使用。尚未确定本产品的性能特征。</w:t>
      </w:r>
      <w:r w:rsidR="00194E32" w:rsidRPr="00F31118">
        <w:rPr>
          <w:rFonts w:ascii="Arial" w:eastAsia="宋体" w:hAnsi="Arial" w:cs="Arial"/>
        </w:rPr>
        <w:t>”</w:t>
      </w:r>
      <w:r w:rsidR="00194E32" w:rsidRPr="00F31118">
        <w:rPr>
          <w:rFonts w:ascii="Arial" w:eastAsia="宋体" w:hAnsi="Arial" w:cs="Arial"/>
        </w:rPr>
        <w:t>（</w:t>
      </w:r>
      <w:r w:rsidR="00194E32" w:rsidRPr="00F31118">
        <w:rPr>
          <w:rFonts w:ascii="Arial" w:eastAsia="宋体" w:hAnsi="Arial" w:cs="Arial"/>
        </w:rPr>
        <w:t>21 CFR 809.10(c)(2)(ii)</w:t>
      </w:r>
      <w:r w:rsidR="00194E32" w:rsidRPr="00F31118">
        <w:rPr>
          <w:rFonts w:ascii="Arial" w:eastAsia="宋体" w:hAnsi="Arial" w:cs="Arial"/>
        </w:rPr>
        <w:t>）。</w:t>
      </w:r>
    </w:p>
    <w:p w:rsidR="00B81A90" w:rsidRPr="00F31118" w:rsidRDefault="00B81A90" w:rsidP="003059EA">
      <w:pPr>
        <w:snapToGrid w:val="0"/>
        <w:spacing w:line="300" w:lineRule="auto"/>
        <w:rPr>
          <w:rFonts w:ascii="Arial" w:eastAsia="宋体" w:hAnsi="Arial" w:cs="Arial"/>
        </w:rPr>
      </w:pPr>
    </w:p>
    <w:p w:rsidR="00393364" w:rsidRPr="00F31118" w:rsidRDefault="00194E32" w:rsidP="003059EA">
      <w:pPr>
        <w:snapToGrid w:val="0"/>
        <w:spacing w:line="300" w:lineRule="auto"/>
        <w:rPr>
          <w:rFonts w:ascii="Arial" w:eastAsia="宋体" w:hAnsi="Arial" w:cs="Arial"/>
          <w:b/>
        </w:rPr>
      </w:pPr>
      <w:r w:rsidRPr="00F31118">
        <w:rPr>
          <w:rFonts w:ascii="Arial" w:eastAsia="宋体" w:hAnsi="Arial" w:cs="Arial"/>
          <w:b/>
        </w:rPr>
        <w:t xml:space="preserve">21. </w:t>
      </w:r>
      <w:r w:rsidR="00B42467" w:rsidRPr="00F31118">
        <w:rPr>
          <w:rFonts w:ascii="Arial" w:eastAsia="宋体" w:hAnsi="Arial" w:cs="Arial"/>
          <w:b/>
        </w:rPr>
        <w:t>良好生产规范</w:t>
      </w:r>
      <w:r w:rsidR="00ED1207" w:rsidRPr="00F31118">
        <w:rPr>
          <w:rFonts w:ascii="Arial" w:eastAsia="宋体" w:hAnsi="Arial" w:cs="Arial"/>
          <w:b/>
        </w:rPr>
        <w:t>对</w:t>
      </w:r>
      <w:r w:rsidR="00921E51">
        <w:rPr>
          <w:rFonts w:ascii="Arial" w:eastAsia="宋体" w:hAnsi="Arial" w:cs="Arial"/>
          <w:b/>
        </w:rPr>
        <w:t>被分析物特效试剂</w:t>
      </w:r>
      <w:r w:rsidR="00ED1207" w:rsidRPr="00F31118">
        <w:rPr>
          <w:rFonts w:ascii="Arial" w:eastAsia="宋体" w:hAnsi="Arial" w:cs="Arial"/>
          <w:b/>
        </w:rPr>
        <w:t>和仅供研究使用试剂制造商的要求有什么区别？</w:t>
      </w:r>
    </w:p>
    <w:p w:rsidR="00ED1207" w:rsidRPr="00F31118" w:rsidRDefault="00ED1207" w:rsidP="003059EA">
      <w:pPr>
        <w:snapToGrid w:val="0"/>
        <w:spacing w:line="300" w:lineRule="auto"/>
        <w:rPr>
          <w:rFonts w:ascii="Arial" w:eastAsia="宋体" w:hAnsi="Arial" w:cs="Arial"/>
        </w:rPr>
      </w:pPr>
    </w:p>
    <w:p w:rsidR="00B81A90" w:rsidRPr="00F31118" w:rsidRDefault="007E312E" w:rsidP="003059EA">
      <w:pPr>
        <w:snapToGrid w:val="0"/>
        <w:spacing w:line="300" w:lineRule="auto"/>
        <w:rPr>
          <w:rFonts w:ascii="Arial" w:eastAsia="宋体" w:hAnsi="Arial" w:cs="Arial"/>
        </w:rPr>
      </w:pPr>
      <w:r w:rsidRPr="00F31118">
        <w:rPr>
          <w:rFonts w:ascii="Arial" w:eastAsia="宋体" w:hAnsi="Arial" w:cs="Arial"/>
        </w:rPr>
        <w:t>制造商确定并遵从在质量体系法规中建立的现行良好生产规范，以帮助确保其产品在</w:t>
      </w:r>
      <w:r w:rsidR="004114AC" w:rsidRPr="00F31118">
        <w:rPr>
          <w:rFonts w:ascii="Arial" w:eastAsia="宋体" w:hAnsi="Arial" w:cs="Arial"/>
        </w:rPr>
        <w:t>保证</w:t>
      </w:r>
      <w:r w:rsidR="000F3824">
        <w:rPr>
          <w:rFonts w:ascii="Arial" w:eastAsia="宋体" w:hAnsi="Arial" w:cs="Arial"/>
        </w:rPr>
        <w:t>器械</w:t>
      </w:r>
      <w:r w:rsidR="004114AC" w:rsidRPr="00F31118">
        <w:rPr>
          <w:rFonts w:ascii="Arial" w:eastAsia="宋体" w:hAnsi="Arial" w:cs="Arial"/>
        </w:rPr>
        <w:t>跨批次和跨时间符合一致规范的受控条件下进行生产。</w:t>
      </w:r>
      <w:r w:rsidR="00921E51">
        <w:rPr>
          <w:rFonts w:ascii="Arial" w:eastAsia="宋体" w:hAnsi="Arial" w:cs="Arial"/>
        </w:rPr>
        <w:t>被分析物特效试剂</w:t>
      </w:r>
      <w:r w:rsidR="00431173" w:rsidRPr="00F31118">
        <w:rPr>
          <w:rFonts w:ascii="Arial" w:eastAsia="宋体" w:hAnsi="Arial" w:cs="Arial"/>
        </w:rPr>
        <w:t>必须在遵从现行良好生产规范的条件下进行生产（</w:t>
      </w:r>
      <w:r w:rsidR="00431173" w:rsidRPr="00F31118">
        <w:rPr>
          <w:rFonts w:ascii="Arial" w:eastAsia="宋体" w:hAnsi="Arial" w:cs="Arial"/>
        </w:rPr>
        <w:t>21 CFR 809.20</w:t>
      </w:r>
      <w:r w:rsidR="00431173" w:rsidRPr="00F31118">
        <w:rPr>
          <w:rFonts w:ascii="Arial" w:eastAsia="宋体" w:hAnsi="Arial" w:cs="Arial"/>
        </w:rPr>
        <w:t>）。</w:t>
      </w:r>
      <w:proofErr w:type="gramStart"/>
      <w:r w:rsidR="00431173" w:rsidRPr="00F31118">
        <w:rPr>
          <w:rFonts w:ascii="Arial" w:eastAsia="宋体" w:hAnsi="Arial" w:cs="Arial"/>
        </w:rPr>
        <w:t>标注仅</w:t>
      </w:r>
      <w:proofErr w:type="gramEnd"/>
      <w:r w:rsidR="00431173" w:rsidRPr="00F31118">
        <w:rPr>
          <w:rFonts w:ascii="Arial" w:eastAsia="宋体" w:hAnsi="Arial" w:cs="Arial"/>
        </w:rPr>
        <w:t>供研究使用试剂的产品</w:t>
      </w:r>
      <w:r w:rsidR="007A09FE" w:rsidRPr="00F31118">
        <w:rPr>
          <w:rFonts w:ascii="Arial" w:eastAsia="宋体" w:hAnsi="Arial" w:cs="Arial"/>
        </w:rPr>
        <w:t>不能用作临床诊断产品，因此食品药品监督管理局不希望按照现行良好生产规范的规定生产仅供研究使用</w:t>
      </w:r>
      <w:r w:rsidR="00362C52" w:rsidRPr="00F31118">
        <w:rPr>
          <w:rFonts w:ascii="Arial" w:eastAsia="宋体" w:hAnsi="Arial" w:cs="Arial"/>
        </w:rPr>
        <w:t>的</w:t>
      </w:r>
      <w:r w:rsidR="007A09FE" w:rsidRPr="00F31118">
        <w:rPr>
          <w:rFonts w:ascii="Arial" w:eastAsia="宋体" w:hAnsi="Arial" w:cs="Arial"/>
        </w:rPr>
        <w:t>试剂（</w:t>
      </w:r>
      <w:r w:rsidR="007A09FE" w:rsidRPr="00F31118">
        <w:rPr>
          <w:rFonts w:ascii="Arial" w:eastAsia="宋体" w:hAnsi="Arial" w:cs="Arial"/>
        </w:rPr>
        <w:t>21 CFR 809.10(c)(2)(</w:t>
      </w:r>
      <w:proofErr w:type="spellStart"/>
      <w:r w:rsidR="007A09FE" w:rsidRPr="00F31118">
        <w:rPr>
          <w:rFonts w:ascii="Arial" w:eastAsia="宋体" w:hAnsi="Arial" w:cs="Arial"/>
        </w:rPr>
        <w:t>i</w:t>
      </w:r>
      <w:proofErr w:type="spellEnd"/>
      <w:r w:rsidR="007A09FE" w:rsidRPr="00F31118">
        <w:rPr>
          <w:rFonts w:ascii="Arial" w:eastAsia="宋体" w:hAnsi="Arial" w:cs="Arial"/>
        </w:rPr>
        <w:t>)</w:t>
      </w:r>
      <w:r w:rsidR="007A09FE" w:rsidRPr="00F31118">
        <w:rPr>
          <w:rFonts w:ascii="Arial" w:eastAsia="宋体" w:hAnsi="Arial" w:cs="Arial"/>
        </w:rPr>
        <w:t>）。</w:t>
      </w:r>
    </w:p>
    <w:p w:rsidR="00B81A90" w:rsidRPr="00F31118" w:rsidRDefault="00B81A90" w:rsidP="003059EA">
      <w:pPr>
        <w:snapToGrid w:val="0"/>
        <w:spacing w:line="300" w:lineRule="auto"/>
        <w:rPr>
          <w:rFonts w:ascii="Arial" w:eastAsia="宋体" w:hAnsi="Arial" w:cs="Arial"/>
        </w:rPr>
      </w:pPr>
    </w:p>
    <w:p w:rsidR="00153CE7" w:rsidRPr="00F31118" w:rsidRDefault="00153CE7" w:rsidP="003059EA">
      <w:pPr>
        <w:snapToGrid w:val="0"/>
        <w:spacing w:line="300" w:lineRule="auto"/>
        <w:rPr>
          <w:rFonts w:ascii="Arial" w:eastAsia="宋体" w:hAnsi="Arial" w:cs="Arial"/>
        </w:rPr>
      </w:pPr>
    </w:p>
    <w:p w:rsidR="002430B4" w:rsidRPr="00F31118" w:rsidRDefault="002430B4" w:rsidP="003059EA">
      <w:pPr>
        <w:snapToGrid w:val="0"/>
        <w:spacing w:line="300" w:lineRule="auto"/>
        <w:rPr>
          <w:rFonts w:ascii="Arial" w:eastAsia="宋体" w:hAnsi="Arial" w:cs="Arial"/>
        </w:rPr>
      </w:pPr>
    </w:p>
    <w:sectPr w:rsidR="002430B4" w:rsidRPr="00F31118" w:rsidSect="004418FA">
      <w:headerReference w:type="default"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5F" w:rsidRDefault="00DA2F5F" w:rsidP="0007394F">
      <w:r>
        <w:separator/>
      </w:r>
    </w:p>
  </w:endnote>
  <w:endnote w:type="continuationSeparator" w:id="0">
    <w:p w:rsidR="00DA2F5F" w:rsidRDefault="00DA2F5F" w:rsidP="0007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42271"/>
      <w:docPartObj>
        <w:docPartGallery w:val="Page Numbers (Bottom of Page)"/>
        <w:docPartUnique/>
      </w:docPartObj>
    </w:sdtPr>
    <w:sdtEndPr>
      <w:rPr>
        <w:rFonts w:ascii="Arial" w:hAnsi="Arial" w:cs="Arial"/>
      </w:rPr>
    </w:sdtEndPr>
    <w:sdtContent>
      <w:p w:rsidR="00DA2F5F" w:rsidRPr="00FE7988" w:rsidRDefault="00DA2F5F">
        <w:pPr>
          <w:pStyle w:val="a7"/>
          <w:jc w:val="right"/>
          <w:rPr>
            <w:rFonts w:ascii="Arial" w:hAnsi="Arial" w:cs="Arial"/>
          </w:rPr>
        </w:pPr>
        <w:r w:rsidRPr="00FE7988">
          <w:rPr>
            <w:rFonts w:ascii="Arial" w:hAnsi="Arial" w:cs="Arial"/>
          </w:rPr>
          <w:fldChar w:fldCharType="begin"/>
        </w:r>
        <w:r w:rsidRPr="00FE7988">
          <w:rPr>
            <w:rFonts w:ascii="Arial" w:hAnsi="Arial" w:cs="Arial"/>
          </w:rPr>
          <w:instrText>PAGE   \* MERGEFORMAT</w:instrText>
        </w:r>
        <w:r w:rsidRPr="00FE7988">
          <w:rPr>
            <w:rFonts w:ascii="Arial" w:hAnsi="Arial" w:cs="Arial"/>
          </w:rPr>
          <w:fldChar w:fldCharType="separate"/>
        </w:r>
        <w:r w:rsidR="00AC6EE7" w:rsidRPr="00AC6EE7">
          <w:rPr>
            <w:rFonts w:ascii="Arial" w:hAnsi="Arial" w:cs="Arial"/>
            <w:noProof/>
            <w:lang w:val="zh-CN"/>
          </w:rPr>
          <w:t>13</w:t>
        </w:r>
        <w:r w:rsidRPr="00FE7988">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F" w:rsidRPr="00FE7988" w:rsidRDefault="00DA2F5F">
    <w:pPr>
      <w:pStyle w:val="a7"/>
      <w:jc w:val="right"/>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5F" w:rsidRDefault="00DA2F5F" w:rsidP="0007394F">
      <w:r>
        <w:separator/>
      </w:r>
    </w:p>
  </w:footnote>
  <w:footnote w:type="continuationSeparator" w:id="0">
    <w:p w:rsidR="00DA2F5F" w:rsidRDefault="00DA2F5F" w:rsidP="0007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F" w:rsidRPr="004418FA" w:rsidRDefault="00DA2F5F" w:rsidP="004418FA">
    <w:pPr>
      <w:snapToGrid w:val="0"/>
      <w:spacing w:line="300" w:lineRule="auto"/>
      <w:jc w:val="center"/>
      <w:rPr>
        <w:rFonts w:ascii="Arial" w:eastAsia="宋体" w:hAnsi="Arial" w:cs="Arial"/>
        <w:i/>
        <w:color w:val="FF0000"/>
      </w:rPr>
    </w:pPr>
    <w:r w:rsidRPr="004418FA">
      <w:rPr>
        <w:rFonts w:ascii="Arial" w:eastAsia="宋体" w:hAnsi="Arial" w:cs="Arial"/>
        <w:i/>
      </w:rPr>
      <w:t>内含无约束力推荐规范</w:t>
    </w:r>
  </w:p>
  <w:p w:rsidR="00DA2F5F" w:rsidRDefault="00DA2F5F" w:rsidP="004418FA">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F" w:rsidRDefault="00DA2F5F" w:rsidP="004418F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50445"/>
    <w:multiLevelType w:val="hybridMultilevel"/>
    <w:tmpl w:val="1066932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4F95042"/>
    <w:multiLevelType w:val="hybridMultilevel"/>
    <w:tmpl w:val="9724D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C646BE7"/>
    <w:multiLevelType w:val="hybridMultilevel"/>
    <w:tmpl w:val="832C9BCC"/>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BD"/>
    <w:rsid w:val="0000265F"/>
    <w:rsid w:val="00003BA6"/>
    <w:rsid w:val="0001225F"/>
    <w:rsid w:val="00012747"/>
    <w:rsid w:val="00023142"/>
    <w:rsid w:val="0002721E"/>
    <w:rsid w:val="000277B4"/>
    <w:rsid w:val="00033B13"/>
    <w:rsid w:val="00034E25"/>
    <w:rsid w:val="000374D2"/>
    <w:rsid w:val="000458D5"/>
    <w:rsid w:val="000462F2"/>
    <w:rsid w:val="00047C7A"/>
    <w:rsid w:val="00050D5B"/>
    <w:rsid w:val="000510FD"/>
    <w:rsid w:val="00054B22"/>
    <w:rsid w:val="000565E9"/>
    <w:rsid w:val="0005791A"/>
    <w:rsid w:val="00060D50"/>
    <w:rsid w:val="0006297D"/>
    <w:rsid w:val="00062CAD"/>
    <w:rsid w:val="000652A3"/>
    <w:rsid w:val="000674D6"/>
    <w:rsid w:val="00070063"/>
    <w:rsid w:val="0007040E"/>
    <w:rsid w:val="000723D8"/>
    <w:rsid w:val="0007394F"/>
    <w:rsid w:val="00077D8E"/>
    <w:rsid w:val="000963AB"/>
    <w:rsid w:val="000A3D9E"/>
    <w:rsid w:val="000A6766"/>
    <w:rsid w:val="000B2A96"/>
    <w:rsid w:val="000B5962"/>
    <w:rsid w:val="000C2E8F"/>
    <w:rsid w:val="000C3383"/>
    <w:rsid w:val="000D705E"/>
    <w:rsid w:val="000E40D6"/>
    <w:rsid w:val="000E68F5"/>
    <w:rsid w:val="000E6989"/>
    <w:rsid w:val="000F37BD"/>
    <w:rsid w:val="000F3824"/>
    <w:rsid w:val="000F7ED8"/>
    <w:rsid w:val="00102F28"/>
    <w:rsid w:val="001069B4"/>
    <w:rsid w:val="00107C51"/>
    <w:rsid w:val="00120A68"/>
    <w:rsid w:val="001308DF"/>
    <w:rsid w:val="001335CA"/>
    <w:rsid w:val="00133E76"/>
    <w:rsid w:val="001348F2"/>
    <w:rsid w:val="00137436"/>
    <w:rsid w:val="00144B6F"/>
    <w:rsid w:val="00153CE7"/>
    <w:rsid w:val="0015475D"/>
    <w:rsid w:val="00154EEA"/>
    <w:rsid w:val="001618FC"/>
    <w:rsid w:val="00162319"/>
    <w:rsid w:val="001650D0"/>
    <w:rsid w:val="00166C99"/>
    <w:rsid w:val="0016754B"/>
    <w:rsid w:val="00170831"/>
    <w:rsid w:val="001758D1"/>
    <w:rsid w:val="00191CA6"/>
    <w:rsid w:val="001924AA"/>
    <w:rsid w:val="00193033"/>
    <w:rsid w:val="00194E32"/>
    <w:rsid w:val="0019611B"/>
    <w:rsid w:val="001A10A2"/>
    <w:rsid w:val="001A26ED"/>
    <w:rsid w:val="001A4D85"/>
    <w:rsid w:val="001A7846"/>
    <w:rsid w:val="001B12D2"/>
    <w:rsid w:val="001C1873"/>
    <w:rsid w:val="001C31B8"/>
    <w:rsid w:val="001C609F"/>
    <w:rsid w:val="001C6185"/>
    <w:rsid w:val="001D0D72"/>
    <w:rsid w:val="001E0D3D"/>
    <w:rsid w:val="001E1AFD"/>
    <w:rsid w:val="001E6E6D"/>
    <w:rsid w:val="001F3D34"/>
    <w:rsid w:val="00200F3D"/>
    <w:rsid w:val="00202E91"/>
    <w:rsid w:val="00203A2A"/>
    <w:rsid w:val="00215CFD"/>
    <w:rsid w:val="00221A6D"/>
    <w:rsid w:val="00222461"/>
    <w:rsid w:val="002256C2"/>
    <w:rsid w:val="00227168"/>
    <w:rsid w:val="00233AB5"/>
    <w:rsid w:val="00237223"/>
    <w:rsid w:val="00237F2B"/>
    <w:rsid w:val="00240845"/>
    <w:rsid w:val="002430B4"/>
    <w:rsid w:val="0025583D"/>
    <w:rsid w:val="00255F5A"/>
    <w:rsid w:val="00272110"/>
    <w:rsid w:val="00272D65"/>
    <w:rsid w:val="00292755"/>
    <w:rsid w:val="002A57C3"/>
    <w:rsid w:val="002B1C89"/>
    <w:rsid w:val="002D23BD"/>
    <w:rsid w:val="002F7AFC"/>
    <w:rsid w:val="003040BD"/>
    <w:rsid w:val="003059EA"/>
    <w:rsid w:val="00307B75"/>
    <w:rsid w:val="00311DF5"/>
    <w:rsid w:val="0032144A"/>
    <w:rsid w:val="0032381D"/>
    <w:rsid w:val="00323AAB"/>
    <w:rsid w:val="00324768"/>
    <w:rsid w:val="00355B39"/>
    <w:rsid w:val="003620CC"/>
    <w:rsid w:val="00362C52"/>
    <w:rsid w:val="0036533A"/>
    <w:rsid w:val="00371A98"/>
    <w:rsid w:val="00371BA1"/>
    <w:rsid w:val="00374A76"/>
    <w:rsid w:val="00375A35"/>
    <w:rsid w:val="00384579"/>
    <w:rsid w:val="003868BF"/>
    <w:rsid w:val="003905FF"/>
    <w:rsid w:val="003907B7"/>
    <w:rsid w:val="00393364"/>
    <w:rsid w:val="00393646"/>
    <w:rsid w:val="00395159"/>
    <w:rsid w:val="003A2978"/>
    <w:rsid w:val="003B3BFB"/>
    <w:rsid w:val="003B62BD"/>
    <w:rsid w:val="003D1398"/>
    <w:rsid w:val="003D4325"/>
    <w:rsid w:val="003E1828"/>
    <w:rsid w:val="003E3EFD"/>
    <w:rsid w:val="004039B5"/>
    <w:rsid w:val="00403BCD"/>
    <w:rsid w:val="004046F8"/>
    <w:rsid w:val="004114AC"/>
    <w:rsid w:val="00413AE3"/>
    <w:rsid w:val="00430D33"/>
    <w:rsid w:val="00431173"/>
    <w:rsid w:val="004358AE"/>
    <w:rsid w:val="004418FA"/>
    <w:rsid w:val="00444C95"/>
    <w:rsid w:val="00461A67"/>
    <w:rsid w:val="004622AC"/>
    <w:rsid w:val="00491056"/>
    <w:rsid w:val="00491E94"/>
    <w:rsid w:val="00491FCB"/>
    <w:rsid w:val="004937A9"/>
    <w:rsid w:val="00497127"/>
    <w:rsid w:val="004B2571"/>
    <w:rsid w:val="004C2FAC"/>
    <w:rsid w:val="004C316C"/>
    <w:rsid w:val="004D3826"/>
    <w:rsid w:val="004D5EE1"/>
    <w:rsid w:val="004E01E8"/>
    <w:rsid w:val="004E6F21"/>
    <w:rsid w:val="004F384A"/>
    <w:rsid w:val="00502B94"/>
    <w:rsid w:val="0050326F"/>
    <w:rsid w:val="005037DB"/>
    <w:rsid w:val="00506787"/>
    <w:rsid w:val="0051135E"/>
    <w:rsid w:val="005278DC"/>
    <w:rsid w:val="00530DD8"/>
    <w:rsid w:val="00532971"/>
    <w:rsid w:val="00536F56"/>
    <w:rsid w:val="005422D1"/>
    <w:rsid w:val="00545308"/>
    <w:rsid w:val="005475C3"/>
    <w:rsid w:val="00561092"/>
    <w:rsid w:val="00571E69"/>
    <w:rsid w:val="0057617F"/>
    <w:rsid w:val="005807A7"/>
    <w:rsid w:val="00591D78"/>
    <w:rsid w:val="005964F0"/>
    <w:rsid w:val="005979F3"/>
    <w:rsid w:val="005A1887"/>
    <w:rsid w:val="005A2471"/>
    <w:rsid w:val="005A2D71"/>
    <w:rsid w:val="005A7BBE"/>
    <w:rsid w:val="005D115E"/>
    <w:rsid w:val="005D3619"/>
    <w:rsid w:val="005D3832"/>
    <w:rsid w:val="005E21A8"/>
    <w:rsid w:val="005E5DAD"/>
    <w:rsid w:val="005E7819"/>
    <w:rsid w:val="006041D4"/>
    <w:rsid w:val="00607A5C"/>
    <w:rsid w:val="006105C0"/>
    <w:rsid w:val="00616872"/>
    <w:rsid w:val="00622EB3"/>
    <w:rsid w:val="006265E4"/>
    <w:rsid w:val="0062722C"/>
    <w:rsid w:val="006339F1"/>
    <w:rsid w:val="006340B7"/>
    <w:rsid w:val="00646232"/>
    <w:rsid w:val="006578B0"/>
    <w:rsid w:val="00666286"/>
    <w:rsid w:val="00671E3F"/>
    <w:rsid w:val="00680E78"/>
    <w:rsid w:val="006A3E73"/>
    <w:rsid w:val="006B0628"/>
    <w:rsid w:val="006B4040"/>
    <w:rsid w:val="006D2FBA"/>
    <w:rsid w:val="006D31E8"/>
    <w:rsid w:val="006D4288"/>
    <w:rsid w:val="006D7739"/>
    <w:rsid w:val="006E0261"/>
    <w:rsid w:val="006E3959"/>
    <w:rsid w:val="006E3A48"/>
    <w:rsid w:val="006E4B2B"/>
    <w:rsid w:val="006F1A01"/>
    <w:rsid w:val="006F52DC"/>
    <w:rsid w:val="00706C13"/>
    <w:rsid w:val="00706E6A"/>
    <w:rsid w:val="00717B8B"/>
    <w:rsid w:val="00721C46"/>
    <w:rsid w:val="007244F5"/>
    <w:rsid w:val="00726FF1"/>
    <w:rsid w:val="00727BE4"/>
    <w:rsid w:val="00752375"/>
    <w:rsid w:val="007573A2"/>
    <w:rsid w:val="00765219"/>
    <w:rsid w:val="007833CF"/>
    <w:rsid w:val="007839C2"/>
    <w:rsid w:val="007A09FE"/>
    <w:rsid w:val="007A1F0F"/>
    <w:rsid w:val="007A7D00"/>
    <w:rsid w:val="007B15CB"/>
    <w:rsid w:val="007B168B"/>
    <w:rsid w:val="007B1B48"/>
    <w:rsid w:val="007B4A61"/>
    <w:rsid w:val="007B7021"/>
    <w:rsid w:val="007B7EFA"/>
    <w:rsid w:val="007C3134"/>
    <w:rsid w:val="007C6898"/>
    <w:rsid w:val="007D219C"/>
    <w:rsid w:val="007E12A1"/>
    <w:rsid w:val="007E312E"/>
    <w:rsid w:val="007F0732"/>
    <w:rsid w:val="007F2CBE"/>
    <w:rsid w:val="007F35A0"/>
    <w:rsid w:val="007F6E8B"/>
    <w:rsid w:val="008039A3"/>
    <w:rsid w:val="00805614"/>
    <w:rsid w:val="008078B5"/>
    <w:rsid w:val="008174FB"/>
    <w:rsid w:val="00820E50"/>
    <w:rsid w:val="00822BBC"/>
    <w:rsid w:val="00834E48"/>
    <w:rsid w:val="0084392B"/>
    <w:rsid w:val="00865214"/>
    <w:rsid w:val="008723B2"/>
    <w:rsid w:val="008724E6"/>
    <w:rsid w:val="00873CC1"/>
    <w:rsid w:val="008771A1"/>
    <w:rsid w:val="00882343"/>
    <w:rsid w:val="008A04AC"/>
    <w:rsid w:val="008A56E7"/>
    <w:rsid w:val="008B067D"/>
    <w:rsid w:val="008B5B99"/>
    <w:rsid w:val="008D22FC"/>
    <w:rsid w:val="008D40D3"/>
    <w:rsid w:val="008D5EAE"/>
    <w:rsid w:val="008D7603"/>
    <w:rsid w:val="008E286E"/>
    <w:rsid w:val="008E4F5F"/>
    <w:rsid w:val="008E69AD"/>
    <w:rsid w:val="009017FE"/>
    <w:rsid w:val="0090296D"/>
    <w:rsid w:val="009115C0"/>
    <w:rsid w:val="0091239B"/>
    <w:rsid w:val="009164BF"/>
    <w:rsid w:val="00916972"/>
    <w:rsid w:val="00921E51"/>
    <w:rsid w:val="00924CBF"/>
    <w:rsid w:val="00927E7F"/>
    <w:rsid w:val="009369F6"/>
    <w:rsid w:val="00945448"/>
    <w:rsid w:val="009558E7"/>
    <w:rsid w:val="00957C1D"/>
    <w:rsid w:val="009744B9"/>
    <w:rsid w:val="00977C49"/>
    <w:rsid w:val="00981738"/>
    <w:rsid w:val="009858C5"/>
    <w:rsid w:val="00990FCE"/>
    <w:rsid w:val="00995D0E"/>
    <w:rsid w:val="009A3607"/>
    <w:rsid w:val="009A68EB"/>
    <w:rsid w:val="009A6AA0"/>
    <w:rsid w:val="009B1ADF"/>
    <w:rsid w:val="009C2768"/>
    <w:rsid w:val="009C40E2"/>
    <w:rsid w:val="009C6240"/>
    <w:rsid w:val="009D1872"/>
    <w:rsid w:val="009D2C5C"/>
    <w:rsid w:val="009D4092"/>
    <w:rsid w:val="009D680F"/>
    <w:rsid w:val="009F2F48"/>
    <w:rsid w:val="009F6782"/>
    <w:rsid w:val="00A03D57"/>
    <w:rsid w:val="00A0488F"/>
    <w:rsid w:val="00A106E3"/>
    <w:rsid w:val="00A1207E"/>
    <w:rsid w:val="00A13956"/>
    <w:rsid w:val="00A15972"/>
    <w:rsid w:val="00A2708D"/>
    <w:rsid w:val="00A27E53"/>
    <w:rsid w:val="00A35979"/>
    <w:rsid w:val="00A40A27"/>
    <w:rsid w:val="00A40D85"/>
    <w:rsid w:val="00A47B46"/>
    <w:rsid w:val="00A51F00"/>
    <w:rsid w:val="00A65A35"/>
    <w:rsid w:val="00A755FA"/>
    <w:rsid w:val="00A77B8E"/>
    <w:rsid w:val="00A82711"/>
    <w:rsid w:val="00A97C94"/>
    <w:rsid w:val="00AB1E3C"/>
    <w:rsid w:val="00AB2CC0"/>
    <w:rsid w:val="00AC6438"/>
    <w:rsid w:val="00AC6EE7"/>
    <w:rsid w:val="00AC73A0"/>
    <w:rsid w:val="00AD1973"/>
    <w:rsid w:val="00AD6F76"/>
    <w:rsid w:val="00AE0C5D"/>
    <w:rsid w:val="00AE0DCB"/>
    <w:rsid w:val="00AE47B8"/>
    <w:rsid w:val="00AE58B7"/>
    <w:rsid w:val="00AF5801"/>
    <w:rsid w:val="00B02A77"/>
    <w:rsid w:val="00B03852"/>
    <w:rsid w:val="00B0437F"/>
    <w:rsid w:val="00B171E3"/>
    <w:rsid w:val="00B23EF7"/>
    <w:rsid w:val="00B27A75"/>
    <w:rsid w:val="00B371D3"/>
    <w:rsid w:val="00B42467"/>
    <w:rsid w:val="00B42E70"/>
    <w:rsid w:val="00B4599B"/>
    <w:rsid w:val="00B50A21"/>
    <w:rsid w:val="00B533D1"/>
    <w:rsid w:val="00B56442"/>
    <w:rsid w:val="00B62883"/>
    <w:rsid w:val="00B65DDB"/>
    <w:rsid w:val="00B6717F"/>
    <w:rsid w:val="00B70B77"/>
    <w:rsid w:val="00B72F24"/>
    <w:rsid w:val="00B77E71"/>
    <w:rsid w:val="00B80EBF"/>
    <w:rsid w:val="00B81A90"/>
    <w:rsid w:val="00B857EF"/>
    <w:rsid w:val="00B948A2"/>
    <w:rsid w:val="00BA57DE"/>
    <w:rsid w:val="00BC1D10"/>
    <w:rsid w:val="00BC2106"/>
    <w:rsid w:val="00BC3354"/>
    <w:rsid w:val="00BC482D"/>
    <w:rsid w:val="00BC507B"/>
    <w:rsid w:val="00BD2BC3"/>
    <w:rsid w:val="00BE228D"/>
    <w:rsid w:val="00BE49B0"/>
    <w:rsid w:val="00BE6F54"/>
    <w:rsid w:val="00BF66D3"/>
    <w:rsid w:val="00C21F2F"/>
    <w:rsid w:val="00C3164D"/>
    <w:rsid w:val="00C347E4"/>
    <w:rsid w:val="00C403A1"/>
    <w:rsid w:val="00C40F9F"/>
    <w:rsid w:val="00C4209B"/>
    <w:rsid w:val="00C452EF"/>
    <w:rsid w:val="00C47E29"/>
    <w:rsid w:val="00C54BE7"/>
    <w:rsid w:val="00C605F4"/>
    <w:rsid w:val="00C6159A"/>
    <w:rsid w:val="00C674B4"/>
    <w:rsid w:val="00C7194B"/>
    <w:rsid w:val="00C80454"/>
    <w:rsid w:val="00C81076"/>
    <w:rsid w:val="00C82270"/>
    <w:rsid w:val="00C83F29"/>
    <w:rsid w:val="00C85C17"/>
    <w:rsid w:val="00C975A0"/>
    <w:rsid w:val="00CA084F"/>
    <w:rsid w:val="00CA0D36"/>
    <w:rsid w:val="00CA4AFF"/>
    <w:rsid w:val="00CA6EE6"/>
    <w:rsid w:val="00CA7218"/>
    <w:rsid w:val="00CA7517"/>
    <w:rsid w:val="00CB3576"/>
    <w:rsid w:val="00CB6424"/>
    <w:rsid w:val="00CB72B8"/>
    <w:rsid w:val="00CC1118"/>
    <w:rsid w:val="00CC49F7"/>
    <w:rsid w:val="00CC5032"/>
    <w:rsid w:val="00CC7280"/>
    <w:rsid w:val="00CD0392"/>
    <w:rsid w:val="00CD0BF9"/>
    <w:rsid w:val="00CD0ECD"/>
    <w:rsid w:val="00CD3E7D"/>
    <w:rsid w:val="00CD49C8"/>
    <w:rsid w:val="00CE37DB"/>
    <w:rsid w:val="00CF0745"/>
    <w:rsid w:val="00CF16EF"/>
    <w:rsid w:val="00CF4F1E"/>
    <w:rsid w:val="00D000AC"/>
    <w:rsid w:val="00D04DA6"/>
    <w:rsid w:val="00D12049"/>
    <w:rsid w:val="00D2076F"/>
    <w:rsid w:val="00D2181D"/>
    <w:rsid w:val="00D23807"/>
    <w:rsid w:val="00D47CC4"/>
    <w:rsid w:val="00D502DD"/>
    <w:rsid w:val="00D53965"/>
    <w:rsid w:val="00D5764A"/>
    <w:rsid w:val="00D617F3"/>
    <w:rsid w:val="00D61877"/>
    <w:rsid w:val="00D67B0E"/>
    <w:rsid w:val="00D77CF6"/>
    <w:rsid w:val="00D80B37"/>
    <w:rsid w:val="00D83CE4"/>
    <w:rsid w:val="00DA2F5F"/>
    <w:rsid w:val="00DA353C"/>
    <w:rsid w:val="00DB0255"/>
    <w:rsid w:val="00DB0290"/>
    <w:rsid w:val="00DC07DE"/>
    <w:rsid w:val="00DD1D47"/>
    <w:rsid w:val="00DD231F"/>
    <w:rsid w:val="00DE6C95"/>
    <w:rsid w:val="00DE7EAB"/>
    <w:rsid w:val="00DF448F"/>
    <w:rsid w:val="00E01FC4"/>
    <w:rsid w:val="00E058B0"/>
    <w:rsid w:val="00E10C72"/>
    <w:rsid w:val="00E11849"/>
    <w:rsid w:val="00E15697"/>
    <w:rsid w:val="00E21DFC"/>
    <w:rsid w:val="00E24C81"/>
    <w:rsid w:val="00E31E7E"/>
    <w:rsid w:val="00E4038A"/>
    <w:rsid w:val="00E47176"/>
    <w:rsid w:val="00E50443"/>
    <w:rsid w:val="00E50D06"/>
    <w:rsid w:val="00E52D2F"/>
    <w:rsid w:val="00E53F95"/>
    <w:rsid w:val="00E55B9B"/>
    <w:rsid w:val="00E62729"/>
    <w:rsid w:val="00E6471A"/>
    <w:rsid w:val="00E650F6"/>
    <w:rsid w:val="00E668C0"/>
    <w:rsid w:val="00E72E1B"/>
    <w:rsid w:val="00E75FC2"/>
    <w:rsid w:val="00E81943"/>
    <w:rsid w:val="00E95BD3"/>
    <w:rsid w:val="00EC34F0"/>
    <w:rsid w:val="00ED1207"/>
    <w:rsid w:val="00EE0BF4"/>
    <w:rsid w:val="00EE2C9A"/>
    <w:rsid w:val="00EE4A9D"/>
    <w:rsid w:val="00EF20FF"/>
    <w:rsid w:val="00F01752"/>
    <w:rsid w:val="00F0386E"/>
    <w:rsid w:val="00F10F45"/>
    <w:rsid w:val="00F1130B"/>
    <w:rsid w:val="00F13C4A"/>
    <w:rsid w:val="00F15FB0"/>
    <w:rsid w:val="00F26A71"/>
    <w:rsid w:val="00F306D2"/>
    <w:rsid w:val="00F31118"/>
    <w:rsid w:val="00F46E5B"/>
    <w:rsid w:val="00F4701D"/>
    <w:rsid w:val="00F53B51"/>
    <w:rsid w:val="00F6159B"/>
    <w:rsid w:val="00F618F1"/>
    <w:rsid w:val="00F65C8B"/>
    <w:rsid w:val="00F66EE8"/>
    <w:rsid w:val="00F73B24"/>
    <w:rsid w:val="00F842A4"/>
    <w:rsid w:val="00F874A1"/>
    <w:rsid w:val="00F91E9D"/>
    <w:rsid w:val="00F93174"/>
    <w:rsid w:val="00FA7CFC"/>
    <w:rsid w:val="00FB0BAB"/>
    <w:rsid w:val="00FB40B1"/>
    <w:rsid w:val="00FC4483"/>
    <w:rsid w:val="00FC5F9C"/>
    <w:rsid w:val="00FC7308"/>
    <w:rsid w:val="00FD2805"/>
    <w:rsid w:val="00FE2158"/>
    <w:rsid w:val="00FE7988"/>
    <w:rsid w:val="00FE7FFA"/>
    <w:rsid w:val="00FF4C14"/>
    <w:rsid w:val="00FF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1A98"/>
    <w:rPr>
      <w:sz w:val="18"/>
      <w:szCs w:val="18"/>
    </w:rPr>
  </w:style>
  <w:style w:type="character" w:customStyle="1" w:styleId="Char">
    <w:name w:val="批注框文本 Char"/>
    <w:basedOn w:val="a0"/>
    <w:link w:val="a3"/>
    <w:uiPriority w:val="99"/>
    <w:semiHidden/>
    <w:rsid w:val="00371A98"/>
    <w:rPr>
      <w:sz w:val="18"/>
      <w:szCs w:val="18"/>
    </w:rPr>
  </w:style>
  <w:style w:type="character" w:styleId="a4">
    <w:name w:val="Hyperlink"/>
    <w:basedOn w:val="a0"/>
    <w:uiPriority w:val="99"/>
    <w:unhideWhenUsed/>
    <w:rsid w:val="007573A2"/>
    <w:rPr>
      <w:color w:val="0000FF" w:themeColor="hyperlink"/>
      <w:u w:val="single"/>
    </w:rPr>
  </w:style>
  <w:style w:type="table" w:styleId="a5">
    <w:name w:val="Table Grid"/>
    <w:basedOn w:val="a1"/>
    <w:uiPriority w:val="59"/>
    <w:rsid w:val="00F15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739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7394F"/>
    <w:rPr>
      <w:sz w:val="18"/>
      <w:szCs w:val="18"/>
    </w:rPr>
  </w:style>
  <w:style w:type="paragraph" w:styleId="a7">
    <w:name w:val="footer"/>
    <w:basedOn w:val="a"/>
    <w:link w:val="Char1"/>
    <w:uiPriority w:val="99"/>
    <w:unhideWhenUsed/>
    <w:rsid w:val="0007394F"/>
    <w:pPr>
      <w:tabs>
        <w:tab w:val="center" w:pos="4153"/>
        <w:tab w:val="right" w:pos="8306"/>
      </w:tabs>
      <w:snapToGrid w:val="0"/>
      <w:jc w:val="left"/>
    </w:pPr>
    <w:rPr>
      <w:sz w:val="18"/>
      <w:szCs w:val="18"/>
    </w:rPr>
  </w:style>
  <w:style w:type="character" w:customStyle="1" w:styleId="Char1">
    <w:name w:val="页脚 Char"/>
    <w:basedOn w:val="a0"/>
    <w:link w:val="a7"/>
    <w:uiPriority w:val="99"/>
    <w:rsid w:val="0007394F"/>
    <w:rPr>
      <w:sz w:val="18"/>
      <w:szCs w:val="18"/>
    </w:rPr>
  </w:style>
  <w:style w:type="character" w:customStyle="1" w:styleId="shorttext">
    <w:name w:val="short_text"/>
    <w:basedOn w:val="a0"/>
    <w:rsid w:val="007F0732"/>
  </w:style>
  <w:style w:type="paragraph" w:styleId="a8">
    <w:name w:val="List Paragraph"/>
    <w:basedOn w:val="a"/>
    <w:uiPriority w:val="34"/>
    <w:qFormat/>
    <w:rsid w:val="004D5E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1A98"/>
    <w:rPr>
      <w:sz w:val="18"/>
      <w:szCs w:val="18"/>
    </w:rPr>
  </w:style>
  <w:style w:type="character" w:customStyle="1" w:styleId="Char">
    <w:name w:val="批注框文本 Char"/>
    <w:basedOn w:val="a0"/>
    <w:link w:val="a3"/>
    <w:uiPriority w:val="99"/>
    <w:semiHidden/>
    <w:rsid w:val="00371A98"/>
    <w:rPr>
      <w:sz w:val="18"/>
      <w:szCs w:val="18"/>
    </w:rPr>
  </w:style>
  <w:style w:type="character" w:styleId="a4">
    <w:name w:val="Hyperlink"/>
    <w:basedOn w:val="a0"/>
    <w:uiPriority w:val="99"/>
    <w:unhideWhenUsed/>
    <w:rsid w:val="007573A2"/>
    <w:rPr>
      <w:color w:val="0000FF" w:themeColor="hyperlink"/>
      <w:u w:val="single"/>
    </w:rPr>
  </w:style>
  <w:style w:type="table" w:styleId="a5">
    <w:name w:val="Table Grid"/>
    <w:basedOn w:val="a1"/>
    <w:uiPriority w:val="59"/>
    <w:rsid w:val="00F15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739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7394F"/>
    <w:rPr>
      <w:sz w:val="18"/>
      <w:szCs w:val="18"/>
    </w:rPr>
  </w:style>
  <w:style w:type="paragraph" w:styleId="a7">
    <w:name w:val="footer"/>
    <w:basedOn w:val="a"/>
    <w:link w:val="Char1"/>
    <w:uiPriority w:val="99"/>
    <w:unhideWhenUsed/>
    <w:rsid w:val="0007394F"/>
    <w:pPr>
      <w:tabs>
        <w:tab w:val="center" w:pos="4153"/>
        <w:tab w:val="right" w:pos="8306"/>
      </w:tabs>
      <w:snapToGrid w:val="0"/>
      <w:jc w:val="left"/>
    </w:pPr>
    <w:rPr>
      <w:sz w:val="18"/>
      <w:szCs w:val="18"/>
    </w:rPr>
  </w:style>
  <w:style w:type="character" w:customStyle="1" w:styleId="Char1">
    <w:name w:val="页脚 Char"/>
    <w:basedOn w:val="a0"/>
    <w:link w:val="a7"/>
    <w:uiPriority w:val="99"/>
    <w:rsid w:val="0007394F"/>
    <w:rPr>
      <w:sz w:val="18"/>
      <w:szCs w:val="18"/>
    </w:rPr>
  </w:style>
  <w:style w:type="character" w:customStyle="1" w:styleId="shorttext">
    <w:name w:val="short_text"/>
    <w:basedOn w:val="a0"/>
    <w:rsid w:val="007F0732"/>
  </w:style>
  <w:style w:type="paragraph" w:styleId="a8">
    <w:name w:val="List Paragraph"/>
    <w:basedOn w:val="a"/>
    <w:uiPriority w:val="34"/>
    <w:qFormat/>
    <w:rsid w:val="004D5E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0164">
      <w:bodyDiv w:val="1"/>
      <w:marLeft w:val="0"/>
      <w:marRight w:val="0"/>
      <w:marTop w:val="0"/>
      <w:marBottom w:val="0"/>
      <w:divBdr>
        <w:top w:val="none" w:sz="0" w:space="0" w:color="auto"/>
        <w:left w:val="none" w:sz="0" w:space="0" w:color="auto"/>
        <w:bottom w:val="none" w:sz="0" w:space="0" w:color="auto"/>
        <w:right w:val="none" w:sz="0" w:space="0" w:color="auto"/>
      </w:divBdr>
      <w:divsChild>
        <w:div w:id="1081102122">
          <w:marLeft w:val="0"/>
          <w:marRight w:val="0"/>
          <w:marTop w:val="0"/>
          <w:marBottom w:val="0"/>
          <w:divBdr>
            <w:top w:val="none" w:sz="0" w:space="0" w:color="auto"/>
            <w:left w:val="none" w:sz="0" w:space="0" w:color="auto"/>
            <w:bottom w:val="none" w:sz="0" w:space="0" w:color="auto"/>
            <w:right w:val="none" w:sz="0" w:space="0" w:color="auto"/>
          </w:divBdr>
          <w:divsChild>
            <w:div w:id="978655205">
              <w:marLeft w:val="0"/>
              <w:marRight w:val="0"/>
              <w:marTop w:val="0"/>
              <w:marBottom w:val="0"/>
              <w:divBdr>
                <w:top w:val="none" w:sz="0" w:space="0" w:color="auto"/>
                <w:left w:val="none" w:sz="0" w:space="0" w:color="auto"/>
                <w:bottom w:val="none" w:sz="0" w:space="0" w:color="auto"/>
                <w:right w:val="none" w:sz="0" w:space="0" w:color="auto"/>
              </w:divBdr>
              <w:divsChild>
                <w:div w:id="1098526618">
                  <w:marLeft w:val="0"/>
                  <w:marRight w:val="0"/>
                  <w:marTop w:val="0"/>
                  <w:marBottom w:val="0"/>
                  <w:divBdr>
                    <w:top w:val="none" w:sz="0" w:space="0" w:color="auto"/>
                    <w:left w:val="none" w:sz="0" w:space="0" w:color="auto"/>
                    <w:bottom w:val="none" w:sz="0" w:space="0" w:color="auto"/>
                    <w:right w:val="none" w:sz="0" w:space="0" w:color="auto"/>
                  </w:divBdr>
                  <w:divsChild>
                    <w:div w:id="648050811">
                      <w:marLeft w:val="0"/>
                      <w:marRight w:val="0"/>
                      <w:marTop w:val="0"/>
                      <w:marBottom w:val="0"/>
                      <w:divBdr>
                        <w:top w:val="none" w:sz="0" w:space="0" w:color="auto"/>
                        <w:left w:val="none" w:sz="0" w:space="0" w:color="auto"/>
                        <w:bottom w:val="none" w:sz="0" w:space="0" w:color="auto"/>
                        <w:right w:val="none" w:sz="0" w:space="0" w:color="auto"/>
                      </w:divBdr>
                      <w:divsChild>
                        <w:div w:id="646325432">
                          <w:marLeft w:val="0"/>
                          <w:marRight w:val="0"/>
                          <w:marTop w:val="0"/>
                          <w:marBottom w:val="210"/>
                          <w:divBdr>
                            <w:top w:val="none" w:sz="0" w:space="0" w:color="auto"/>
                            <w:left w:val="none" w:sz="0" w:space="0" w:color="auto"/>
                            <w:bottom w:val="none" w:sz="0" w:space="0" w:color="auto"/>
                            <w:right w:val="none" w:sz="0" w:space="0" w:color="auto"/>
                          </w:divBdr>
                          <w:divsChild>
                            <w:div w:id="1823350123">
                              <w:marLeft w:val="0"/>
                              <w:marRight w:val="0"/>
                              <w:marTop w:val="0"/>
                              <w:marBottom w:val="0"/>
                              <w:divBdr>
                                <w:top w:val="single" w:sz="6" w:space="7" w:color="E3E3E3"/>
                                <w:left w:val="single" w:sz="6" w:space="7" w:color="E3E3E3"/>
                                <w:bottom w:val="single" w:sz="6" w:space="7" w:color="E0E0E0"/>
                                <w:right w:val="single" w:sz="6" w:space="7" w:color="ECECEC"/>
                              </w:divBdr>
                              <w:divsChild>
                                <w:div w:id="4003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591376">
      <w:bodyDiv w:val="1"/>
      <w:marLeft w:val="0"/>
      <w:marRight w:val="0"/>
      <w:marTop w:val="0"/>
      <w:marBottom w:val="0"/>
      <w:divBdr>
        <w:top w:val="none" w:sz="0" w:space="0" w:color="auto"/>
        <w:left w:val="none" w:sz="0" w:space="0" w:color="auto"/>
        <w:bottom w:val="none" w:sz="0" w:space="0" w:color="auto"/>
        <w:right w:val="none" w:sz="0" w:space="0" w:color="auto"/>
      </w:divBdr>
      <w:divsChild>
        <w:div w:id="1086540555">
          <w:marLeft w:val="0"/>
          <w:marRight w:val="0"/>
          <w:marTop w:val="0"/>
          <w:marBottom w:val="0"/>
          <w:divBdr>
            <w:top w:val="none" w:sz="0" w:space="0" w:color="auto"/>
            <w:left w:val="none" w:sz="0" w:space="0" w:color="auto"/>
            <w:bottom w:val="none" w:sz="0" w:space="0" w:color="auto"/>
            <w:right w:val="none" w:sz="0" w:space="0" w:color="auto"/>
          </w:divBdr>
          <w:divsChild>
            <w:div w:id="1798331797">
              <w:marLeft w:val="0"/>
              <w:marRight w:val="0"/>
              <w:marTop w:val="0"/>
              <w:marBottom w:val="0"/>
              <w:divBdr>
                <w:top w:val="none" w:sz="0" w:space="0" w:color="auto"/>
                <w:left w:val="none" w:sz="0" w:space="0" w:color="auto"/>
                <w:bottom w:val="none" w:sz="0" w:space="0" w:color="auto"/>
                <w:right w:val="none" w:sz="0" w:space="0" w:color="auto"/>
              </w:divBdr>
              <w:divsChild>
                <w:div w:id="1553149958">
                  <w:marLeft w:val="0"/>
                  <w:marRight w:val="0"/>
                  <w:marTop w:val="0"/>
                  <w:marBottom w:val="0"/>
                  <w:divBdr>
                    <w:top w:val="none" w:sz="0" w:space="0" w:color="auto"/>
                    <w:left w:val="none" w:sz="0" w:space="0" w:color="auto"/>
                    <w:bottom w:val="none" w:sz="0" w:space="0" w:color="auto"/>
                    <w:right w:val="none" w:sz="0" w:space="0" w:color="auto"/>
                  </w:divBdr>
                  <w:divsChild>
                    <w:div w:id="1643273889">
                      <w:marLeft w:val="0"/>
                      <w:marRight w:val="0"/>
                      <w:marTop w:val="0"/>
                      <w:marBottom w:val="0"/>
                      <w:divBdr>
                        <w:top w:val="none" w:sz="0" w:space="0" w:color="auto"/>
                        <w:left w:val="none" w:sz="0" w:space="0" w:color="auto"/>
                        <w:bottom w:val="none" w:sz="0" w:space="0" w:color="auto"/>
                        <w:right w:val="none" w:sz="0" w:space="0" w:color="auto"/>
                      </w:divBdr>
                      <w:divsChild>
                        <w:div w:id="345181631">
                          <w:marLeft w:val="0"/>
                          <w:marRight w:val="0"/>
                          <w:marTop w:val="0"/>
                          <w:marBottom w:val="210"/>
                          <w:divBdr>
                            <w:top w:val="none" w:sz="0" w:space="0" w:color="auto"/>
                            <w:left w:val="none" w:sz="0" w:space="0" w:color="auto"/>
                            <w:bottom w:val="none" w:sz="0" w:space="0" w:color="auto"/>
                            <w:right w:val="none" w:sz="0" w:space="0" w:color="auto"/>
                          </w:divBdr>
                          <w:divsChild>
                            <w:div w:id="1150170656">
                              <w:marLeft w:val="0"/>
                              <w:marRight w:val="0"/>
                              <w:marTop w:val="0"/>
                              <w:marBottom w:val="0"/>
                              <w:divBdr>
                                <w:top w:val="single" w:sz="6" w:space="7" w:color="E3E3E3"/>
                                <w:left w:val="single" w:sz="6" w:space="7" w:color="E3E3E3"/>
                                <w:bottom w:val="single" w:sz="6" w:space="7" w:color="E0E0E0"/>
                                <w:right w:val="single" w:sz="6" w:space="7" w:color="ECECEC"/>
                              </w:divBdr>
                              <w:divsChild>
                                <w:div w:id="18133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1722</Words>
  <Characters>9818</Characters>
  <Application>Microsoft Office Word</Application>
  <DocSecurity>0</DocSecurity>
  <Lines>81</Lines>
  <Paragraphs>23</Paragraphs>
  <ScaleCrop>false</ScaleCrop>
  <Company>Hewlett-Packard Company</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lxd</cp:lastModifiedBy>
  <cp:revision>4</cp:revision>
  <dcterms:created xsi:type="dcterms:W3CDTF">2017-04-10T03:09:00Z</dcterms:created>
  <dcterms:modified xsi:type="dcterms:W3CDTF">2017-04-10T11:26:00Z</dcterms:modified>
</cp:coreProperties>
</file>