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83DDB" w14:textId="30243CA1" w:rsidR="00EB45D4" w:rsidRPr="00432957" w:rsidRDefault="00CD4294" w:rsidP="001F3ACF">
      <w:pPr>
        <w:widowControl/>
        <w:snapToGrid w:val="0"/>
        <w:spacing w:line="300" w:lineRule="auto"/>
        <w:outlineLvl w:val="0"/>
        <w:rPr>
          <w:rFonts w:ascii="Arial" w:eastAsia="宋体" w:hAnsi="Arial" w:cs="Arial"/>
          <w:b/>
          <w:bCs/>
          <w:color w:val="484138"/>
          <w:kern w:val="36"/>
          <w:sz w:val="36"/>
          <w:szCs w:val="36"/>
        </w:rPr>
      </w:pPr>
      <w:bookmarkStart w:id="0" w:name="_GoBack"/>
      <w:bookmarkEnd w:id="0"/>
      <w:r w:rsidRPr="00432957">
        <w:rPr>
          <w:rFonts w:ascii="Arial" w:eastAsia="宋体" w:hAnsi="Arial" w:cs="Arial"/>
          <w:b/>
          <w:bCs/>
          <w:color w:val="484138"/>
          <w:kern w:val="36"/>
          <w:sz w:val="36"/>
          <w:szCs w:val="36"/>
        </w:rPr>
        <w:t>评估</w:t>
      </w:r>
      <w:r w:rsidR="00961280">
        <w:rPr>
          <w:rFonts w:ascii="Arial" w:eastAsia="宋体" w:hAnsi="Arial" w:cs="Arial"/>
          <w:b/>
          <w:bCs/>
          <w:color w:val="484138"/>
          <w:kern w:val="36"/>
          <w:sz w:val="36"/>
          <w:szCs w:val="36"/>
        </w:rPr>
        <w:t>专业用</w:t>
      </w:r>
      <w:r w:rsidRPr="00432957">
        <w:rPr>
          <w:rFonts w:ascii="Arial" w:eastAsia="宋体" w:hAnsi="Arial" w:cs="Arial"/>
          <w:b/>
          <w:bCs/>
          <w:color w:val="484138"/>
          <w:kern w:val="36"/>
          <w:sz w:val="36"/>
          <w:szCs w:val="36"/>
        </w:rPr>
        <w:t>人绒毛膜促性腺激素（</w:t>
      </w:r>
      <w:r w:rsidRPr="00432957">
        <w:rPr>
          <w:rFonts w:ascii="Arial" w:eastAsia="宋体" w:hAnsi="Arial" w:cs="Arial"/>
          <w:b/>
          <w:bCs/>
          <w:color w:val="484138"/>
          <w:kern w:val="36"/>
          <w:sz w:val="36"/>
          <w:szCs w:val="36"/>
        </w:rPr>
        <w:t>hCG</w:t>
      </w:r>
      <w:r w:rsidRPr="00432957">
        <w:rPr>
          <w:rFonts w:ascii="Arial" w:eastAsia="宋体" w:hAnsi="Arial" w:cs="Arial"/>
          <w:b/>
          <w:bCs/>
          <w:color w:val="484138"/>
          <w:kern w:val="36"/>
          <w:sz w:val="36"/>
          <w:szCs w:val="36"/>
        </w:rPr>
        <w:t>）体外诊断</w:t>
      </w:r>
      <w:r w:rsidR="0061149A" w:rsidRPr="00432957">
        <w:rPr>
          <w:rFonts w:ascii="Arial" w:eastAsia="宋体" w:hAnsi="Arial" w:cs="Arial"/>
          <w:b/>
          <w:bCs/>
          <w:color w:val="484138"/>
          <w:kern w:val="36"/>
          <w:sz w:val="36"/>
          <w:szCs w:val="36"/>
        </w:rPr>
        <w:t>器械</w:t>
      </w:r>
      <w:r w:rsidRPr="00432957">
        <w:rPr>
          <w:rFonts w:ascii="Arial" w:eastAsia="宋体" w:hAnsi="Arial" w:cs="Arial"/>
          <w:b/>
          <w:bCs/>
          <w:color w:val="484138"/>
          <w:kern w:val="36"/>
          <w:sz w:val="36"/>
          <w:szCs w:val="36"/>
        </w:rPr>
        <w:t>（</w:t>
      </w:r>
      <w:r w:rsidRPr="00432957">
        <w:rPr>
          <w:rFonts w:ascii="Arial" w:eastAsia="宋体" w:hAnsi="Arial" w:cs="Arial"/>
          <w:b/>
          <w:bCs/>
          <w:color w:val="484138"/>
          <w:kern w:val="36"/>
          <w:sz w:val="36"/>
          <w:szCs w:val="36"/>
        </w:rPr>
        <w:t>IVD</w:t>
      </w:r>
      <w:r w:rsidRPr="00432957">
        <w:rPr>
          <w:rFonts w:ascii="Arial" w:eastAsia="宋体" w:hAnsi="Arial" w:cs="Arial"/>
          <w:b/>
          <w:bCs/>
          <w:color w:val="484138"/>
          <w:kern w:val="36"/>
          <w:sz w:val="36"/>
          <w:szCs w:val="36"/>
        </w:rPr>
        <w:t>）</w:t>
      </w:r>
      <w:r w:rsidR="00E52076" w:rsidRPr="00432957">
        <w:rPr>
          <w:rFonts w:ascii="Arial" w:eastAsia="宋体" w:hAnsi="Arial" w:cs="Arial"/>
          <w:b/>
          <w:bCs/>
          <w:color w:val="484138"/>
          <w:kern w:val="36"/>
          <w:sz w:val="36"/>
          <w:szCs w:val="36"/>
        </w:rPr>
        <w:t>的审查标准</w:t>
      </w:r>
    </w:p>
    <w:p w14:paraId="66924D42" w14:textId="6DE3688B" w:rsidR="00961280" w:rsidRDefault="00961280" w:rsidP="00961280">
      <w:pPr>
        <w:spacing w:before="144"/>
        <w:jc w:val="center"/>
      </w:pPr>
      <w:r w:rsidRPr="0096128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本指南编写于</w:t>
      </w:r>
      <w:r w:rsidRPr="00961280">
        <w:rPr>
          <w:rFonts w:ascii="Arial" w:eastAsia="宋体" w:hAnsi="Arial" w:cs="Arial"/>
          <w:color w:val="000000"/>
          <w:kern w:val="0"/>
          <w:sz w:val="18"/>
          <w:szCs w:val="18"/>
        </w:rPr>
        <w:t>1997</w:t>
      </w:r>
      <w:r w:rsidRPr="0096128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年</w:t>
      </w:r>
      <w:r w:rsidRPr="00961280">
        <w:rPr>
          <w:rFonts w:ascii="Arial" w:eastAsia="宋体" w:hAnsi="Arial" w:cs="Arial"/>
          <w:color w:val="000000"/>
          <w:kern w:val="0"/>
          <w:sz w:val="18"/>
          <w:szCs w:val="18"/>
        </w:rPr>
        <w:t>2</w:t>
      </w:r>
      <w:r w:rsidRPr="0096128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月</w:t>
      </w:r>
      <w:r w:rsidRPr="00961280">
        <w:rPr>
          <w:rFonts w:ascii="Arial" w:eastAsia="宋体" w:hAnsi="Arial" w:cs="Arial"/>
          <w:color w:val="000000"/>
          <w:kern w:val="0"/>
          <w:sz w:val="18"/>
          <w:szCs w:val="18"/>
        </w:rPr>
        <w:t>27</w:t>
      </w:r>
      <w:r w:rsidRPr="0096128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日实施</w:t>
      </w:r>
      <w:r w:rsidRPr="00961280">
        <w:rPr>
          <w:rFonts w:ascii="Arial" w:eastAsia="宋体" w:hAnsi="Arial" w:cs="Arial"/>
          <w:color w:val="000000"/>
          <w:kern w:val="0"/>
          <w:sz w:val="18"/>
          <w:szCs w:val="18"/>
        </w:rPr>
        <w:t>FDA</w:t>
      </w:r>
      <w:r w:rsidRPr="0096128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的良好指导规范（</w:t>
      </w:r>
      <w:r w:rsidRPr="00961280">
        <w:rPr>
          <w:rFonts w:ascii="Arial" w:eastAsia="宋体" w:hAnsi="Arial" w:cs="Arial"/>
          <w:color w:val="000000"/>
          <w:kern w:val="0"/>
          <w:sz w:val="18"/>
          <w:szCs w:val="18"/>
        </w:rPr>
        <w:t>GGP</w:t>
      </w:r>
      <w:r w:rsidRPr="0096128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）之前。其不会为任何人创造或赋予任何权利，也不对</w:t>
      </w:r>
      <w:r w:rsidRPr="00961280">
        <w:rPr>
          <w:rFonts w:ascii="Arial" w:eastAsia="宋体" w:hAnsi="Arial" w:cs="Arial"/>
          <w:color w:val="000000"/>
          <w:kern w:val="0"/>
          <w:sz w:val="18"/>
          <w:szCs w:val="18"/>
        </w:rPr>
        <w:t>FDA</w:t>
      </w:r>
      <w:r w:rsidRPr="0096128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或公众具有约束力。如果替代方法满足适用的法律、法规或其两者的要求，可以使用替代方法。本指南将在下一版本中更新，以纳入</w:t>
      </w:r>
      <w:r w:rsidRPr="00961280">
        <w:rPr>
          <w:rFonts w:ascii="Arial" w:eastAsia="宋体" w:hAnsi="Arial" w:cs="Arial"/>
          <w:color w:val="000000"/>
          <w:kern w:val="0"/>
          <w:sz w:val="18"/>
          <w:szCs w:val="18"/>
        </w:rPr>
        <w:t>GGP</w:t>
      </w:r>
      <w:r w:rsidRPr="00961280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的标准部分。</w:t>
      </w:r>
    </w:p>
    <w:p w14:paraId="51CBB68C" w14:textId="4462C083" w:rsidR="00E52076" w:rsidRPr="00961280" w:rsidRDefault="00E52076" w:rsidP="001F3ACF">
      <w:pPr>
        <w:widowControl/>
        <w:snapToGrid w:val="0"/>
        <w:spacing w:before="90" w:after="90" w:line="300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14:paraId="075FF3CD" w14:textId="0DF4B0A9" w:rsidR="00EB45D4" w:rsidRPr="00432957" w:rsidRDefault="00EB45D4" w:rsidP="001F3ACF">
      <w:pPr>
        <w:widowControl/>
        <w:snapToGrid w:val="0"/>
        <w:spacing w:before="90" w:after="90" w:line="300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14:paraId="0718B4AD" w14:textId="77777777" w:rsidR="00EB45D4" w:rsidRPr="00432957" w:rsidRDefault="00EB45D4" w:rsidP="001F3ACF">
      <w:pPr>
        <w:widowControl/>
        <w:snapToGrid w:val="0"/>
        <w:spacing w:before="90" w:after="90" w:line="300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p w14:paraId="1676309B" w14:textId="77777777" w:rsidR="009116BF" w:rsidRDefault="009116BF" w:rsidP="001F3ACF">
      <w:pPr>
        <w:widowControl/>
        <w:jc w:val="left"/>
        <w:rPr>
          <w:rFonts w:ascii="Arial" w:eastAsia="宋体" w:hAnsi="Arial" w:cs="Arial"/>
          <w:b/>
          <w:bCs/>
          <w:color w:val="000000"/>
          <w:kern w:val="0"/>
          <w:sz w:val="23"/>
          <w:szCs w:val="23"/>
        </w:rPr>
      </w:pPr>
      <w:r>
        <w:rPr>
          <w:rFonts w:ascii="Arial" w:eastAsia="宋体" w:hAnsi="Arial" w:cs="Arial"/>
          <w:b/>
          <w:bCs/>
          <w:color w:val="000000"/>
          <w:kern w:val="0"/>
          <w:sz w:val="23"/>
          <w:szCs w:val="23"/>
        </w:rPr>
        <w:br w:type="page"/>
      </w:r>
    </w:p>
    <w:p w14:paraId="35AE300E" w14:textId="12C1235C" w:rsidR="00DF60A5" w:rsidRPr="001E6508" w:rsidRDefault="00DF60A5" w:rsidP="001F3ACF">
      <w:pPr>
        <w:widowControl/>
        <w:snapToGrid w:val="0"/>
        <w:spacing w:line="300" w:lineRule="auto"/>
        <w:jc w:val="left"/>
        <w:outlineLvl w:val="2"/>
        <w:rPr>
          <w:rFonts w:ascii="Arial" w:eastAsia="宋体" w:hAnsi="Arial" w:cs="Arial"/>
          <w:bCs/>
          <w:color w:val="000000"/>
          <w:kern w:val="0"/>
          <w:sz w:val="23"/>
          <w:szCs w:val="23"/>
        </w:rPr>
      </w:pPr>
      <w:r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lastRenderedPageBreak/>
        <w:t>CDRH</w:t>
      </w:r>
      <w:r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最终指导性文件封页</w:t>
      </w:r>
    </w:p>
    <w:p w14:paraId="77565D02" w14:textId="63E32D81" w:rsidR="00DF60A5" w:rsidRDefault="00DF60A5" w:rsidP="001F3ACF">
      <w:pPr>
        <w:widowControl/>
        <w:snapToGrid w:val="0"/>
        <w:spacing w:line="300" w:lineRule="auto"/>
        <w:outlineLvl w:val="2"/>
        <w:rPr>
          <w:rFonts w:ascii="Arial" w:eastAsia="宋体" w:hAnsi="Arial" w:cs="Arial"/>
          <w:bCs/>
          <w:color w:val="000000"/>
          <w:kern w:val="0"/>
          <w:sz w:val="23"/>
          <w:szCs w:val="23"/>
        </w:rPr>
      </w:pPr>
    </w:p>
    <w:p w14:paraId="1C2EFEB9" w14:textId="77777777" w:rsidR="00E22893" w:rsidRPr="001E6508" w:rsidRDefault="00E22893" w:rsidP="001F3ACF">
      <w:pPr>
        <w:widowControl/>
        <w:snapToGrid w:val="0"/>
        <w:spacing w:line="300" w:lineRule="auto"/>
        <w:outlineLvl w:val="2"/>
        <w:rPr>
          <w:rFonts w:ascii="Arial" w:eastAsia="宋体" w:hAnsi="Arial" w:cs="Arial"/>
          <w:bCs/>
          <w:color w:val="000000"/>
          <w:kern w:val="0"/>
          <w:sz w:val="23"/>
          <w:szCs w:val="23"/>
        </w:rPr>
      </w:pPr>
    </w:p>
    <w:p w14:paraId="1D55A2D4" w14:textId="41AEC0DD" w:rsidR="00DF60A5" w:rsidRPr="001E6508" w:rsidRDefault="00DF60A5" w:rsidP="001F3ACF">
      <w:pPr>
        <w:widowControl/>
        <w:snapToGrid w:val="0"/>
        <w:spacing w:line="300" w:lineRule="auto"/>
        <w:jc w:val="center"/>
        <w:outlineLvl w:val="2"/>
        <w:rPr>
          <w:rFonts w:ascii="Arial" w:eastAsia="宋体" w:hAnsi="Arial" w:cs="Arial"/>
          <w:bCs/>
          <w:color w:val="000000"/>
          <w:kern w:val="0"/>
          <w:sz w:val="23"/>
          <w:szCs w:val="23"/>
        </w:rPr>
      </w:pPr>
      <w:r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评估</w:t>
      </w:r>
      <w:r w:rsidR="00961280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专业用</w:t>
      </w:r>
      <w:r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人绒毛膜促性腺激素（</w:t>
      </w:r>
      <w:r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hCG</w:t>
      </w:r>
      <w:r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）体外诊断器械（</w:t>
      </w:r>
      <w:r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IVD</w:t>
      </w:r>
      <w:r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）的审查标准</w:t>
      </w:r>
    </w:p>
    <w:p w14:paraId="2E22EB98" w14:textId="0CB4F01A" w:rsidR="00DF60A5" w:rsidRDefault="00DF60A5" w:rsidP="001F3ACF">
      <w:pPr>
        <w:widowControl/>
        <w:snapToGrid w:val="0"/>
        <w:spacing w:line="300" w:lineRule="auto"/>
        <w:outlineLvl w:val="2"/>
        <w:rPr>
          <w:rFonts w:ascii="Arial" w:eastAsia="宋体" w:hAnsi="Arial" w:cs="Arial"/>
          <w:bCs/>
          <w:color w:val="000000"/>
          <w:kern w:val="0"/>
          <w:sz w:val="23"/>
          <w:szCs w:val="23"/>
        </w:rPr>
      </w:pPr>
    </w:p>
    <w:p w14:paraId="4494D152" w14:textId="77777777" w:rsidR="00E22893" w:rsidRPr="001E6508" w:rsidRDefault="00E22893" w:rsidP="001F3ACF">
      <w:pPr>
        <w:widowControl/>
        <w:snapToGrid w:val="0"/>
        <w:spacing w:line="300" w:lineRule="auto"/>
        <w:outlineLvl w:val="2"/>
        <w:rPr>
          <w:rFonts w:ascii="Arial" w:eastAsia="宋体" w:hAnsi="Arial" w:cs="Arial"/>
          <w:bCs/>
          <w:color w:val="000000"/>
          <w:kern w:val="0"/>
          <w:sz w:val="23"/>
          <w:szCs w:val="23"/>
        </w:rPr>
      </w:pPr>
    </w:p>
    <w:p w14:paraId="146BCCAC" w14:textId="668B85F1" w:rsidR="00DF60A5" w:rsidRDefault="00DF60A5" w:rsidP="001F3ACF">
      <w:pPr>
        <w:widowControl/>
        <w:snapToGrid w:val="0"/>
        <w:spacing w:line="300" w:lineRule="auto"/>
        <w:outlineLvl w:val="2"/>
        <w:rPr>
          <w:rFonts w:ascii="Arial" w:eastAsia="宋体" w:hAnsi="Arial" w:cs="Arial"/>
          <w:b/>
          <w:bCs/>
          <w:color w:val="000000"/>
          <w:kern w:val="0"/>
          <w:sz w:val="23"/>
          <w:szCs w:val="23"/>
        </w:rPr>
      </w:pPr>
      <w:r w:rsidRPr="00E22893">
        <w:rPr>
          <w:rFonts w:ascii="Arial" w:eastAsia="宋体" w:hAnsi="Arial" w:cs="Arial"/>
          <w:b/>
          <w:bCs/>
          <w:color w:val="000000"/>
          <w:kern w:val="0"/>
          <w:sz w:val="23"/>
          <w:szCs w:val="23"/>
        </w:rPr>
        <w:t>本文件旨在提供有关准备法规</w:t>
      </w:r>
      <w:r w:rsidR="00961280">
        <w:rPr>
          <w:rFonts w:ascii="Arial" w:eastAsia="宋体" w:hAnsi="Arial" w:cs="Arial"/>
          <w:b/>
          <w:bCs/>
          <w:color w:val="000000"/>
          <w:kern w:val="0"/>
          <w:sz w:val="23"/>
          <w:szCs w:val="23"/>
        </w:rPr>
        <w:t>提交资料</w:t>
      </w:r>
      <w:r w:rsidRPr="00E22893">
        <w:rPr>
          <w:rFonts w:ascii="Arial" w:eastAsia="宋体" w:hAnsi="Arial" w:cs="Arial"/>
          <w:b/>
          <w:bCs/>
          <w:color w:val="000000"/>
          <w:kern w:val="0"/>
          <w:sz w:val="23"/>
          <w:szCs w:val="23"/>
        </w:rPr>
        <w:t>方面的指南。其不已任何方式约束</w:t>
      </w:r>
      <w:r w:rsidRPr="00E22893">
        <w:rPr>
          <w:rFonts w:ascii="Arial" w:eastAsia="宋体" w:hAnsi="Arial" w:cs="Arial"/>
          <w:b/>
          <w:bCs/>
          <w:color w:val="000000"/>
          <w:kern w:val="0"/>
          <w:sz w:val="23"/>
          <w:szCs w:val="23"/>
        </w:rPr>
        <w:t>FDA</w:t>
      </w:r>
      <w:r w:rsidRPr="00E22893">
        <w:rPr>
          <w:rFonts w:ascii="Arial" w:eastAsia="宋体" w:hAnsi="Arial" w:cs="Arial"/>
          <w:b/>
          <w:bCs/>
          <w:color w:val="000000"/>
          <w:kern w:val="0"/>
          <w:sz w:val="23"/>
          <w:szCs w:val="23"/>
        </w:rPr>
        <w:t>与受管制的行业</w:t>
      </w:r>
    </w:p>
    <w:p w14:paraId="51EEC111" w14:textId="77777777" w:rsidR="00E22893" w:rsidRDefault="00E22893" w:rsidP="001F3ACF">
      <w:pPr>
        <w:widowControl/>
        <w:snapToGrid w:val="0"/>
        <w:spacing w:line="300" w:lineRule="auto"/>
        <w:outlineLvl w:val="2"/>
        <w:rPr>
          <w:rFonts w:ascii="Arial" w:eastAsia="宋体" w:hAnsi="Arial" w:cs="Arial"/>
          <w:b/>
          <w:bCs/>
          <w:color w:val="000000"/>
          <w:kern w:val="0"/>
          <w:sz w:val="23"/>
          <w:szCs w:val="23"/>
        </w:rPr>
      </w:pPr>
    </w:p>
    <w:p w14:paraId="4F719C6A" w14:textId="77777777" w:rsidR="00E22893" w:rsidRDefault="00E22893" w:rsidP="001F3ACF">
      <w:pPr>
        <w:widowControl/>
        <w:snapToGrid w:val="0"/>
        <w:spacing w:line="300" w:lineRule="auto"/>
        <w:outlineLvl w:val="2"/>
        <w:rPr>
          <w:rFonts w:ascii="Arial" w:eastAsia="宋体" w:hAnsi="Arial" w:cs="Arial"/>
          <w:b/>
          <w:bCs/>
          <w:color w:val="000000"/>
          <w:kern w:val="0"/>
          <w:sz w:val="23"/>
          <w:szCs w:val="23"/>
        </w:rPr>
      </w:pPr>
    </w:p>
    <w:p w14:paraId="548A7648" w14:textId="77777777" w:rsidR="00E22893" w:rsidRPr="00E22893" w:rsidRDefault="00E22893" w:rsidP="001F3ACF">
      <w:pPr>
        <w:widowControl/>
        <w:snapToGrid w:val="0"/>
        <w:spacing w:line="300" w:lineRule="auto"/>
        <w:outlineLvl w:val="2"/>
        <w:rPr>
          <w:rFonts w:ascii="Arial" w:eastAsia="宋体" w:hAnsi="Arial" w:cs="Arial"/>
          <w:b/>
          <w:bCs/>
          <w:color w:val="000000"/>
          <w:kern w:val="0"/>
          <w:sz w:val="23"/>
          <w:szCs w:val="23"/>
        </w:rPr>
      </w:pPr>
    </w:p>
    <w:p w14:paraId="70E8523A" w14:textId="1BA77FC5" w:rsidR="00DF60A5" w:rsidRPr="001E6508" w:rsidRDefault="00DF60A5" w:rsidP="001F3ACF">
      <w:pPr>
        <w:widowControl/>
        <w:snapToGrid w:val="0"/>
        <w:spacing w:line="300" w:lineRule="auto"/>
        <w:outlineLvl w:val="2"/>
        <w:rPr>
          <w:rFonts w:ascii="Arial" w:eastAsia="宋体" w:hAnsi="Arial" w:cs="Arial"/>
          <w:bCs/>
          <w:color w:val="000000"/>
          <w:kern w:val="0"/>
          <w:sz w:val="23"/>
          <w:szCs w:val="23"/>
        </w:rPr>
      </w:pPr>
    </w:p>
    <w:p w14:paraId="3D814121" w14:textId="03769D00" w:rsidR="00961280" w:rsidRDefault="00DF60A5" w:rsidP="001F3ACF">
      <w:pPr>
        <w:widowControl/>
        <w:snapToGrid w:val="0"/>
        <w:spacing w:line="300" w:lineRule="auto"/>
        <w:jc w:val="center"/>
        <w:outlineLvl w:val="2"/>
        <w:rPr>
          <w:rFonts w:ascii="Arial" w:eastAsia="宋体" w:hAnsi="Arial" w:cs="Arial"/>
          <w:bCs/>
          <w:color w:val="000000"/>
          <w:kern w:val="0"/>
          <w:sz w:val="23"/>
          <w:szCs w:val="23"/>
        </w:rPr>
      </w:pPr>
      <w:r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临床化学，临床毒理学和血液学部</w:t>
      </w:r>
    </w:p>
    <w:p w14:paraId="4BD3D7F6" w14:textId="7871A8C4" w:rsidR="00961280" w:rsidRDefault="00DF60A5" w:rsidP="001F3ACF">
      <w:pPr>
        <w:widowControl/>
        <w:snapToGrid w:val="0"/>
        <w:spacing w:line="300" w:lineRule="auto"/>
        <w:jc w:val="center"/>
        <w:outlineLvl w:val="2"/>
        <w:rPr>
          <w:rFonts w:ascii="Arial" w:eastAsia="宋体" w:hAnsi="Arial" w:cs="Arial"/>
          <w:bCs/>
          <w:color w:val="000000"/>
          <w:kern w:val="0"/>
          <w:sz w:val="23"/>
          <w:szCs w:val="23"/>
        </w:rPr>
      </w:pPr>
      <w:r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临床实验室器械</w:t>
      </w:r>
      <w:r w:rsidR="00961280">
        <w:rPr>
          <w:rFonts w:ascii="Arial" w:eastAsia="宋体" w:hAnsi="Arial" w:cs="Arial" w:hint="eastAsia"/>
          <w:bCs/>
          <w:color w:val="000000"/>
          <w:kern w:val="0"/>
          <w:sz w:val="23"/>
          <w:szCs w:val="23"/>
        </w:rPr>
        <w:t>部</w:t>
      </w:r>
    </w:p>
    <w:p w14:paraId="03DD766C" w14:textId="3B646801" w:rsidR="00DF60A5" w:rsidRDefault="00DF60A5" w:rsidP="001F3ACF">
      <w:pPr>
        <w:widowControl/>
        <w:snapToGrid w:val="0"/>
        <w:spacing w:line="300" w:lineRule="auto"/>
        <w:jc w:val="center"/>
        <w:outlineLvl w:val="2"/>
        <w:rPr>
          <w:rFonts w:ascii="Arial" w:eastAsia="宋体" w:hAnsi="Arial" w:cs="Arial"/>
          <w:bCs/>
          <w:color w:val="000000"/>
          <w:kern w:val="0"/>
          <w:sz w:val="23"/>
          <w:szCs w:val="23"/>
        </w:rPr>
      </w:pPr>
      <w:r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器械</w:t>
      </w:r>
      <w:r w:rsidR="00961280">
        <w:rPr>
          <w:rFonts w:ascii="Arial" w:eastAsia="宋体" w:hAnsi="Arial" w:cs="Arial" w:hint="eastAsia"/>
          <w:bCs/>
          <w:color w:val="000000"/>
          <w:kern w:val="0"/>
          <w:sz w:val="23"/>
          <w:szCs w:val="23"/>
        </w:rPr>
        <w:t>评估办公室</w:t>
      </w:r>
    </w:p>
    <w:p w14:paraId="5EE897F3" w14:textId="77777777" w:rsidR="00E22893" w:rsidRDefault="00E22893" w:rsidP="001F3ACF">
      <w:pPr>
        <w:widowControl/>
        <w:snapToGrid w:val="0"/>
        <w:spacing w:line="300" w:lineRule="auto"/>
        <w:jc w:val="center"/>
        <w:outlineLvl w:val="2"/>
        <w:rPr>
          <w:rFonts w:ascii="Arial" w:eastAsia="宋体" w:hAnsi="Arial" w:cs="Arial"/>
          <w:bCs/>
          <w:color w:val="000000"/>
          <w:kern w:val="0"/>
          <w:sz w:val="23"/>
          <w:szCs w:val="23"/>
        </w:rPr>
      </w:pPr>
    </w:p>
    <w:p w14:paraId="1C1A1F6B" w14:textId="77777777" w:rsidR="00E22893" w:rsidRPr="001E6508" w:rsidRDefault="00E22893" w:rsidP="001F3ACF">
      <w:pPr>
        <w:widowControl/>
        <w:snapToGrid w:val="0"/>
        <w:spacing w:line="300" w:lineRule="auto"/>
        <w:jc w:val="center"/>
        <w:outlineLvl w:val="2"/>
        <w:rPr>
          <w:rFonts w:ascii="Arial" w:eastAsia="宋体" w:hAnsi="Arial" w:cs="Arial"/>
          <w:bCs/>
          <w:color w:val="000000"/>
          <w:kern w:val="0"/>
          <w:sz w:val="23"/>
          <w:szCs w:val="23"/>
        </w:rPr>
      </w:pPr>
    </w:p>
    <w:p w14:paraId="671FEB69" w14:textId="789A145B" w:rsidR="00DF60A5" w:rsidRDefault="00DF60A5" w:rsidP="001F3ACF">
      <w:pPr>
        <w:widowControl/>
        <w:snapToGrid w:val="0"/>
        <w:spacing w:line="300" w:lineRule="auto"/>
        <w:jc w:val="center"/>
        <w:outlineLvl w:val="2"/>
        <w:rPr>
          <w:rFonts w:ascii="Arial" w:eastAsia="宋体" w:hAnsi="Arial" w:cs="Arial"/>
          <w:bCs/>
          <w:color w:val="000000"/>
          <w:kern w:val="0"/>
          <w:sz w:val="23"/>
          <w:szCs w:val="23"/>
        </w:rPr>
      </w:pPr>
      <w:r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文件发布日期：</w:t>
      </w:r>
      <w:r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1996</w:t>
      </w:r>
      <w:r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年</w:t>
      </w:r>
      <w:r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10</w:t>
      </w:r>
      <w:r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月</w:t>
      </w:r>
      <w:r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6</w:t>
      </w:r>
      <w:r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日</w:t>
      </w:r>
    </w:p>
    <w:p w14:paraId="3134130E" w14:textId="77777777" w:rsidR="00E22893" w:rsidRDefault="00E22893" w:rsidP="001F3ACF">
      <w:pPr>
        <w:widowControl/>
        <w:snapToGrid w:val="0"/>
        <w:spacing w:line="300" w:lineRule="auto"/>
        <w:jc w:val="center"/>
        <w:outlineLvl w:val="2"/>
        <w:rPr>
          <w:rFonts w:ascii="Arial" w:eastAsia="宋体" w:hAnsi="Arial" w:cs="Arial"/>
          <w:bCs/>
          <w:color w:val="000000"/>
          <w:kern w:val="0"/>
          <w:sz w:val="23"/>
          <w:szCs w:val="23"/>
        </w:rPr>
      </w:pPr>
    </w:p>
    <w:p w14:paraId="35CBC8FE" w14:textId="77777777" w:rsidR="00E22893" w:rsidRDefault="00E22893" w:rsidP="001F3ACF">
      <w:pPr>
        <w:widowControl/>
        <w:snapToGrid w:val="0"/>
        <w:spacing w:line="300" w:lineRule="auto"/>
        <w:jc w:val="center"/>
        <w:outlineLvl w:val="2"/>
        <w:rPr>
          <w:rFonts w:ascii="Arial" w:eastAsia="宋体" w:hAnsi="Arial" w:cs="Arial"/>
          <w:bCs/>
          <w:color w:val="000000"/>
          <w:kern w:val="0"/>
          <w:sz w:val="23"/>
          <w:szCs w:val="23"/>
        </w:rPr>
      </w:pPr>
    </w:p>
    <w:p w14:paraId="65EA87FF" w14:textId="77777777" w:rsidR="00E22893" w:rsidRPr="001E6508" w:rsidRDefault="00E22893" w:rsidP="001F3ACF">
      <w:pPr>
        <w:widowControl/>
        <w:snapToGrid w:val="0"/>
        <w:spacing w:line="300" w:lineRule="auto"/>
        <w:jc w:val="center"/>
        <w:outlineLvl w:val="2"/>
        <w:rPr>
          <w:rFonts w:ascii="Arial" w:eastAsia="宋体" w:hAnsi="Arial" w:cs="Arial"/>
          <w:bCs/>
          <w:color w:val="000000"/>
          <w:kern w:val="0"/>
          <w:sz w:val="23"/>
          <w:szCs w:val="23"/>
        </w:rPr>
      </w:pPr>
    </w:p>
    <w:p w14:paraId="4A0BDC8C" w14:textId="4418B981" w:rsidR="00DF60A5" w:rsidRPr="001E6508" w:rsidRDefault="00DF60A5" w:rsidP="001F3ACF">
      <w:pPr>
        <w:widowControl/>
        <w:snapToGrid w:val="0"/>
        <w:spacing w:line="300" w:lineRule="auto"/>
        <w:outlineLvl w:val="2"/>
        <w:rPr>
          <w:rFonts w:ascii="Arial" w:eastAsia="宋体" w:hAnsi="Arial" w:cs="Arial"/>
          <w:bCs/>
          <w:color w:val="000000"/>
          <w:kern w:val="0"/>
          <w:sz w:val="23"/>
          <w:szCs w:val="23"/>
        </w:rPr>
      </w:pPr>
    </w:p>
    <w:p w14:paraId="0391711E" w14:textId="38CFB487" w:rsidR="00DF60A5" w:rsidRPr="001E6508" w:rsidRDefault="00DF60A5" w:rsidP="001F3ACF">
      <w:pPr>
        <w:widowControl/>
        <w:snapToGrid w:val="0"/>
        <w:spacing w:line="300" w:lineRule="auto"/>
        <w:outlineLvl w:val="2"/>
        <w:rPr>
          <w:rFonts w:ascii="Arial" w:eastAsia="宋体" w:hAnsi="Arial" w:cs="Arial"/>
          <w:bCs/>
          <w:color w:val="000000"/>
          <w:kern w:val="0"/>
          <w:sz w:val="23"/>
          <w:szCs w:val="23"/>
        </w:rPr>
      </w:pPr>
      <w:r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尽管本指导性文件代表了最终文件，为便于本审查机构确定其有效性与适用性，贵公司可随时以书面形式提交评论和建议至</w:t>
      </w:r>
      <w:r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cornelia B. rooks</w:t>
      </w:r>
      <w:r w:rsidR="00F06ED3"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，</w:t>
      </w:r>
      <w:r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主任，临床化学，临床毒理学和血液学部，临床实验室</w:t>
      </w:r>
      <w:r w:rsidR="00961280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器械部</w:t>
      </w:r>
      <w:r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，（</w:t>
      </w:r>
      <w:r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HFZ440</w:t>
      </w:r>
      <w:r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），</w:t>
      </w:r>
      <w:r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2098Gaither road</w:t>
      </w:r>
      <w:r w:rsidR="00E22893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，</w:t>
      </w:r>
      <w:r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Rockville</w:t>
      </w:r>
      <w:r w:rsidR="00F06ED3"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，</w:t>
      </w:r>
      <w:r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Maryland 20850</w:t>
      </w:r>
      <w:r w:rsidR="00961280">
        <w:rPr>
          <w:rFonts w:ascii="Arial" w:eastAsia="宋体" w:hAnsi="Arial" w:cs="Arial" w:hint="eastAsia"/>
          <w:bCs/>
          <w:color w:val="000000"/>
          <w:kern w:val="0"/>
          <w:sz w:val="23"/>
          <w:szCs w:val="23"/>
        </w:rPr>
        <w:t>，供部门审议</w:t>
      </w:r>
      <w:r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。有关本指南的使用和解读的问题，请联系</w:t>
      </w:r>
      <w:r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cornelia B. rooks</w:t>
      </w:r>
      <w:r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，电话为：（</w:t>
      </w:r>
      <w:r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301</w:t>
      </w:r>
      <w:r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）</w:t>
      </w:r>
      <w:r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596-1243</w:t>
      </w:r>
      <w:r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。本文件将替代</w:t>
      </w:r>
      <w:r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1995</w:t>
      </w:r>
      <w:r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年</w:t>
      </w:r>
      <w:r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9</w:t>
      </w:r>
      <w:r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月</w:t>
      </w:r>
      <w:r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27</w:t>
      </w:r>
      <w:r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日发布的</w:t>
      </w:r>
      <w:r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“</w:t>
      </w:r>
      <w:r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评估人绒毛膜促性腺激素（</w:t>
      </w:r>
      <w:r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hCG</w:t>
      </w:r>
      <w:r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）体外诊断器械（</w:t>
      </w:r>
      <w:r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IVD</w:t>
      </w:r>
      <w:r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）的审查标准</w:t>
      </w:r>
      <w:r w:rsidR="004D661F"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的</w:t>
      </w:r>
      <w:r w:rsidR="00961280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专业用</w:t>
      </w:r>
      <w:r w:rsidR="004D661F"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组分</w:t>
      </w:r>
      <w:r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”</w:t>
      </w:r>
    </w:p>
    <w:p w14:paraId="4B4BC3D4" w14:textId="34A46872" w:rsidR="004D661F" w:rsidRDefault="004D661F" w:rsidP="001F3ACF">
      <w:pPr>
        <w:widowControl/>
        <w:snapToGrid w:val="0"/>
        <w:spacing w:line="300" w:lineRule="auto"/>
        <w:outlineLvl w:val="2"/>
        <w:rPr>
          <w:rFonts w:ascii="Arial" w:eastAsia="宋体" w:hAnsi="Arial" w:cs="Arial"/>
          <w:bCs/>
          <w:color w:val="000000"/>
          <w:kern w:val="0"/>
          <w:sz w:val="23"/>
          <w:szCs w:val="23"/>
        </w:rPr>
      </w:pPr>
    </w:p>
    <w:p w14:paraId="539E97D8" w14:textId="77777777" w:rsidR="001F3ACF" w:rsidRDefault="001F3ACF" w:rsidP="001F3ACF">
      <w:pPr>
        <w:widowControl/>
        <w:snapToGrid w:val="0"/>
        <w:spacing w:line="300" w:lineRule="auto"/>
        <w:outlineLvl w:val="2"/>
        <w:rPr>
          <w:rFonts w:ascii="Arial" w:eastAsia="宋体" w:hAnsi="Arial" w:cs="Arial"/>
          <w:bCs/>
          <w:color w:val="000000"/>
          <w:kern w:val="0"/>
          <w:sz w:val="23"/>
          <w:szCs w:val="23"/>
        </w:rPr>
      </w:pPr>
    </w:p>
    <w:p w14:paraId="0634231F" w14:textId="77777777" w:rsidR="001F3ACF" w:rsidRDefault="001F3ACF" w:rsidP="001F3ACF">
      <w:pPr>
        <w:widowControl/>
        <w:snapToGrid w:val="0"/>
        <w:spacing w:line="300" w:lineRule="auto"/>
        <w:outlineLvl w:val="2"/>
        <w:rPr>
          <w:rFonts w:ascii="Arial" w:eastAsia="宋体" w:hAnsi="Arial" w:cs="Arial"/>
          <w:bCs/>
          <w:color w:val="000000"/>
          <w:kern w:val="0"/>
          <w:sz w:val="23"/>
          <w:szCs w:val="23"/>
        </w:rPr>
      </w:pPr>
    </w:p>
    <w:p w14:paraId="19341416" w14:textId="77777777" w:rsidR="001F3ACF" w:rsidRDefault="001F3ACF" w:rsidP="001F3ACF">
      <w:pPr>
        <w:widowControl/>
        <w:snapToGrid w:val="0"/>
        <w:spacing w:line="300" w:lineRule="auto"/>
        <w:outlineLvl w:val="2"/>
        <w:rPr>
          <w:rFonts w:ascii="Arial" w:eastAsia="宋体" w:hAnsi="Arial" w:cs="Arial"/>
          <w:bCs/>
          <w:color w:val="000000"/>
          <w:kern w:val="0"/>
          <w:sz w:val="23"/>
          <w:szCs w:val="23"/>
        </w:rPr>
      </w:pPr>
    </w:p>
    <w:p w14:paraId="7DF34FD4" w14:textId="77777777" w:rsidR="001F3ACF" w:rsidRDefault="001F3ACF" w:rsidP="001F3ACF">
      <w:pPr>
        <w:widowControl/>
        <w:snapToGrid w:val="0"/>
        <w:spacing w:line="300" w:lineRule="auto"/>
        <w:outlineLvl w:val="2"/>
        <w:rPr>
          <w:rFonts w:ascii="Arial" w:eastAsia="宋体" w:hAnsi="Arial" w:cs="Arial"/>
          <w:bCs/>
          <w:color w:val="000000"/>
          <w:kern w:val="0"/>
          <w:sz w:val="23"/>
          <w:szCs w:val="23"/>
        </w:rPr>
      </w:pPr>
    </w:p>
    <w:p w14:paraId="7A4A6EEC" w14:textId="77777777" w:rsidR="001F3ACF" w:rsidRPr="001E6508" w:rsidRDefault="001F3ACF" w:rsidP="001F3ACF">
      <w:pPr>
        <w:widowControl/>
        <w:snapToGrid w:val="0"/>
        <w:spacing w:line="300" w:lineRule="auto"/>
        <w:outlineLvl w:val="2"/>
        <w:rPr>
          <w:rFonts w:ascii="Arial" w:eastAsia="宋体" w:hAnsi="Arial" w:cs="Arial"/>
          <w:bCs/>
          <w:color w:val="000000"/>
          <w:kern w:val="0"/>
          <w:sz w:val="23"/>
          <w:szCs w:val="23"/>
        </w:rPr>
      </w:pPr>
    </w:p>
    <w:p w14:paraId="22479B62" w14:textId="1C3A9DC3" w:rsidR="004D661F" w:rsidRPr="003223B3" w:rsidRDefault="004D661F" w:rsidP="003223B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F3ACF">
        <w:rPr>
          <w:rFonts w:ascii="Arial" w:eastAsia="宋体" w:hAnsi="Arial" w:cs="Arial"/>
          <w:bCs/>
          <w:color w:val="000000"/>
          <w:kern w:val="0"/>
          <w:sz w:val="28"/>
          <w:szCs w:val="28"/>
        </w:rPr>
        <w:t>美国</w:t>
      </w:r>
      <w:r w:rsidR="00961280" w:rsidRPr="003223B3">
        <w:rPr>
          <w:rFonts w:ascii="Arial" w:eastAsia="宋体" w:hAnsi="Arial" w:cs="Arial" w:hint="eastAsia"/>
          <w:bCs/>
          <w:color w:val="000000"/>
          <w:kern w:val="0"/>
          <w:sz w:val="28"/>
          <w:szCs w:val="28"/>
        </w:rPr>
        <w:t>卫生与公众服务部</w:t>
      </w:r>
      <w:r w:rsidR="00B26CC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88DE39" wp14:editId="6A2D2CE5">
                <wp:simplePos x="0" y="0"/>
                <wp:positionH relativeFrom="column">
                  <wp:posOffset>3928110</wp:posOffset>
                </wp:positionH>
                <wp:positionV relativeFrom="paragraph">
                  <wp:posOffset>6803390</wp:posOffset>
                </wp:positionV>
                <wp:extent cx="1771650" cy="609600"/>
                <wp:effectExtent l="0" t="0" r="0" b="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9EBBDC5" w14:textId="77777777" w:rsidR="00961280" w:rsidRPr="003223B3" w:rsidRDefault="00961280" w:rsidP="0096128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inorBidi" w:hAnsiTheme="minorBidi"/>
                                <w:sz w:val="18"/>
                                <w:szCs w:val="20"/>
                              </w:rPr>
                            </w:pPr>
                            <w:r w:rsidRPr="003223B3">
                              <w:rPr>
                                <w:rFonts w:asciiTheme="minorBidi" w:hAnsiTheme="minorBidi" w:hint="eastAsia"/>
                                <w:sz w:val="18"/>
                                <w:szCs w:val="20"/>
                              </w:rPr>
                              <w:t>收货</w:t>
                            </w:r>
                          </w:p>
                          <w:p w14:paraId="63DC27CC" w14:textId="76B03D87" w:rsidR="00961280" w:rsidRPr="003223B3" w:rsidRDefault="00961280" w:rsidP="0096128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inorBidi" w:hAnsiTheme="minorBidi"/>
                                <w:sz w:val="18"/>
                                <w:szCs w:val="20"/>
                              </w:rPr>
                            </w:pPr>
                            <w:r w:rsidRPr="003223B3">
                              <w:rPr>
                                <w:rFonts w:asciiTheme="minorBidi" w:hAnsiTheme="minorBidi" w:hint="eastAsia"/>
                                <w:sz w:val="18"/>
                                <w:szCs w:val="20"/>
                              </w:rPr>
                              <w:t>登记日期：</w:t>
                            </w:r>
                            <w:r w:rsidRPr="003223B3">
                              <w:rPr>
                                <w:rFonts w:asciiTheme="minorBidi" w:hAnsiTheme="minorBidi"/>
                                <w:sz w:val="18"/>
                                <w:szCs w:val="20"/>
                              </w:rPr>
                              <w:t>2015</w:t>
                            </w:r>
                            <w:r w:rsidRPr="003223B3">
                              <w:rPr>
                                <w:rFonts w:asciiTheme="minorBidi" w:hAnsiTheme="minorBidi" w:hint="eastAsia"/>
                                <w:sz w:val="18"/>
                                <w:szCs w:val="20"/>
                              </w:rPr>
                              <w:t>年</w:t>
                            </w:r>
                            <w:r w:rsidRPr="003223B3">
                              <w:rPr>
                                <w:rFonts w:asciiTheme="minorBidi" w:hAnsiTheme="minorBidi"/>
                                <w:sz w:val="18"/>
                                <w:szCs w:val="20"/>
                              </w:rPr>
                              <w:t>10</w:t>
                            </w:r>
                            <w:r w:rsidRPr="003223B3">
                              <w:rPr>
                                <w:rFonts w:asciiTheme="minorBidi" w:hAnsiTheme="minorBidi" w:hint="eastAsia"/>
                                <w:sz w:val="18"/>
                                <w:szCs w:val="20"/>
                              </w:rPr>
                              <w:t>月</w:t>
                            </w:r>
                            <w:r w:rsidRPr="003223B3">
                              <w:rPr>
                                <w:rFonts w:asciiTheme="minorBidi" w:hAnsiTheme="minorBidi"/>
                                <w:sz w:val="18"/>
                                <w:szCs w:val="20"/>
                              </w:rPr>
                              <w:t>22</w:t>
                            </w:r>
                            <w:r w:rsidRPr="003223B3">
                              <w:rPr>
                                <w:rFonts w:asciiTheme="minorBidi" w:hAnsiTheme="minorBidi" w:hint="eastAsia"/>
                                <w:sz w:val="18"/>
                                <w:szCs w:val="20"/>
                              </w:rPr>
                              <w:t>日</w:t>
                            </w:r>
                          </w:p>
                          <w:p w14:paraId="0FEFB945" w14:textId="62355482" w:rsidR="00961280" w:rsidRDefault="00961280" w:rsidP="0096128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inorBidi" w:hAnsiTheme="minorBidi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3223B3">
                              <w:rPr>
                                <w:rFonts w:asciiTheme="minorBidi" w:hAnsiTheme="minorBidi" w:hint="eastAsia"/>
                                <w:sz w:val="18"/>
                                <w:szCs w:val="20"/>
                              </w:rPr>
                              <w:t>签字：</w:t>
                            </w:r>
                            <w:r>
                              <w:rPr>
                                <w:rFonts w:asciiTheme="minorBidi" w:hAnsiTheme="minorBidi"/>
                                <w:noProof/>
                                <w:color w:val="FF0000"/>
                                <w:sz w:val="18"/>
                                <w:szCs w:val="20"/>
                              </w:rPr>
                              <w:drawing>
                                <wp:inline distT="0" distB="0" distL="0" distR="0" wp14:anchorId="63A9EA97" wp14:editId="0899834B">
                                  <wp:extent cx="855785" cy="281751"/>
                                  <wp:effectExtent l="0" t="0" r="1905" b="4445"/>
                                  <wp:docPr id="8" name="图片 8" descr="C:\Users\lxd\AppData\Local\Temp\1487559478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lxd\AppData\Local\Temp\1487559478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5987" cy="2818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09.3pt;margin-top:535.7pt;width:139.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" stroked="f">
                <v:textbox inset="0,0,0,0">
                  <w:txbxContent>
                    <w:p w14:paraId="79EBBDC5" w14:textId="77777777" w:rsidR="00961280" w:rsidRPr="003223B3" w:rsidRDefault="00961280" w:rsidP="00961280">
                      <w:pPr>
                        <w:adjustRightInd w:val="0"/>
                        <w:snapToGrid w:val="0"/>
                        <w:jc w:val="center"/>
                        <w:rPr>
                          <w:rFonts w:asciiTheme="minorBidi" w:hAnsiTheme="minorBidi"/>
                          <w:sz w:val="18"/>
                          <w:szCs w:val="20"/>
                        </w:rPr>
                      </w:pPr>
                      <w:r w:rsidRPr="003223B3">
                        <w:rPr>
                          <w:rFonts w:asciiTheme="minorBidi" w:hAnsiTheme="minorBidi" w:hint="eastAsia"/>
                          <w:sz w:val="18"/>
                          <w:szCs w:val="20"/>
                        </w:rPr>
                        <w:t>收货</w:t>
                      </w:r>
                    </w:p>
                    <w:p w14:paraId="63DC27CC" w14:textId="76B03D87" w:rsidR="00961280" w:rsidRPr="003223B3" w:rsidRDefault="00961280" w:rsidP="00961280">
                      <w:pPr>
                        <w:adjustRightInd w:val="0"/>
                        <w:snapToGrid w:val="0"/>
                        <w:jc w:val="center"/>
                        <w:rPr>
                          <w:rFonts w:asciiTheme="minorBidi" w:hAnsiTheme="minorBidi"/>
                          <w:sz w:val="18"/>
                          <w:szCs w:val="20"/>
                        </w:rPr>
                      </w:pPr>
                      <w:r w:rsidRPr="003223B3">
                        <w:rPr>
                          <w:rFonts w:asciiTheme="minorBidi" w:hAnsiTheme="minorBidi" w:hint="eastAsia"/>
                          <w:sz w:val="18"/>
                          <w:szCs w:val="20"/>
                        </w:rPr>
                        <w:t>登记日期：</w:t>
                      </w:r>
                      <w:r w:rsidRPr="003223B3">
                        <w:rPr>
                          <w:rFonts w:asciiTheme="minorBidi" w:hAnsiTheme="minorBidi"/>
                          <w:sz w:val="18"/>
                          <w:szCs w:val="20"/>
                        </w:rPr>
                        <w:t>2015</w:t>
                      </w:r>
                      <w:r w:rsidRPr="003223B3">
                        <w:rPr>
                          <w:rFonts w:asciiTheme="minorBidi" w:hAnsiTheme="minorBidi" w:hint="eastAsia"/>
                          <w:sz w:val="18"/>
                          <w:szCs w:val="20"/>
                        </w:rPr>
                        <w:t>年</w:t>
                      </w:r>
                      <w:r w:rsidRPr="003223B3">
                        <w:rPr>
                          <w:rFonts w:asciiTheme="minorBidi" w:hAnsiTheme="minorBidi"/>
                          <w:sz w:val="18"/>
                          <w:szCs w:val="20"/>
                        </w:rPr>
                        <w:t>10</w:t>
                      </w:r>
                      <w:r w:rsidRPr="003223B3">
                        <w:rPr>
                          <w:rFonts w:asciiTheme="minorBidi" w:hAnsiTheme="minorBidi" w:hint="eastAsia"/>
                          <w:sz w:val="18"/>
                          <w:szCs w:val="20"/>
                        </w:rPr>
                        <w:t>月</w:t>
                      </w:r>
                      <w:r w:rsidRPr="003223B3">
                        <w:rPr>
                          <w:rFonts w:asciiTheme="minorBidi" w:hAnsiTheme="minorBidi"/>
                          <w:sz w:val="18"/>
                          <w:szCs w:val="20"/>
                        </w:rPr>
                        <w:t>22</w:t>
                      </w:r>
                      <w:r w:rsidRPr="003223B3">
                        <w:rPr>
                          <w:rFonts w:asciiTheme="minorBidi" w:hAnsiTheme="minorBidi" w:hint="eastAsia"/>
                          <w:sz w:val="18"/>
                          <w:szCs w:val="20"/>
                        </w:rPr>
                        <w:t>日</w:t>
                      </w:r>
                    </w:p>
                    <w:p w14:paraId="0FEFB945" w14:textId="62355482" w:rsidR="00961280" w:rsidRDefault="00961280" w:rsidP="00961280">
                      <w:pPr>
                        <w:adjustRightInd w:val="0"/>
                        <w:snapToGrid w:val="0"/>
                        <w:jc w:val="center"/>
                        <w:rPr>
                          <w:rFonts w:asciiTheme="minorBidi" w:hAnsiTheme="minorBidi"/>
                          <w:color w:val="FF0000"/>
                          <w:sz w:val="18"/>
                          <w:szCs w:val="20"/>
                        </w:rPr>
                      </w:pPr>
                      <w:r w:rsidRPr="003223B3">
                        <w:rPr>
                          <w:rFonts w:asciiTheme="minorBidi" w:hAnsiTheme="minorBidi" w:hint="eastAsia"/>
                          <w:sz w:val="18"/>
                          <w:szCs w:val="20"/>
                        </w:rPr>
                        <w:t>签字：</w:t>
                      </w:r>
                      <w:r>
                        <w:rPr>
                          <w:rFonts w:asciiTheme="minorBidi" w:hAnsiTheme="minorBidi"/>
                          <w:noProof/>
                          <w:color w:val="FF0000"/>
                          <w:sz w:val="18"/>
                          <w:szCs w:val="20"/>
                        </w:rPr>
                        <w:drawing>
                          <wp:inline distT="0" distB="0" distL="0" distR="0" wp14:anchorId="63A9EA97" wp14:editId="0899834B">
                            <wp:extent cx="855785" cy="281751"/>
                            <wp:effectExtent l="0" t="0" r="1905" b="4445"/>
                            <wp:docPr id="8" name="图片 8" descr="C:\Users\lxd\AppData\Local\Temp\1487559478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lxd\AppData\Local\Temp\1487559478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5987" cy="2818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6CC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22141" wp14:editId="0C909520">
                <wp:simplePos x="0" y="0"/>
                <wp:positionH relativeFrom="column">
                  <wp:posOffset>3928110</wp:posOffset>
                </wp:positionH>
                <wp:positionV relativeFrom="paragraph">
                  <wp:posOffset>6803390</wp:posOffset>
                </wp:positionV>
                <wp:extent cx="1771650" cy="60960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B894CEC" w14:textId="77777777" w:rsidR="00961280" w:rsidRPr="003223B3" w:rsidRDefault="00961280" w:rsidP="0096128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inorBidi" w:hAnsiTheme="minorBidi"/>
                                <w:sz w:val="18"/>
                                <w:szCs w:val="20"/>
                              </w:rPr>
                            </w:pPr>
                            <w:r w:rsidRPr="003223B3">
                              <w:rPr>
                                <w:rFonts w:asciiTheme="minorBidi" w:hAnsiTheme="minorBidi" w:hint="eastAsia"/>
                                <w:sz w:val="18"/>
                                <w:szCs w:val="20"/>
                              </w:rPr>
                              <w:t>收货</w:t>
                            </w:r>
                          </w:p>
                          <w:p w14:paraId="4D58C27D" w14:textId="04460E15" w:rsidR="00961280" w:rsidRPr="003223B3" w:rsidRDefault="00961280" w:rsidP="0096128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inorBidi" w:hAnsiTheme="minorBidi"/>
                                <w:sz w:val="18"/>
                                <w:szCs w:val="20"/>
                              </w:rPr>
                            </w:pPr>
                            <w:r w:rsidRPr="003223B3">
                              <w:rPr>
                                <w:rFonts w:asciiTheme="minorBidi" w:hAnsiTheme="minorBidi" w:hint="eastAsia"/>
                                <w:sz w:val="18"/>
                                <w:szCs w:val="20"/>
                              </w:rPr>
                              <w:t>登记日期：</w:t>
                            </w:r>
                            <w:r w:rsidRPr="003223B3">
                              <w:rPr>
                                <w:rFonts w:asciiTheme="minorBidi" w:hAnsiTheme="minorBidi"/>
                                <w:sz w:val="18"/>
                                <w:szCs w:val="20"/>
                              </w:rPr>
                              <w:t>2015</w:t>
                            </w:r>
                            <w:r w:rsidRPr="003223B3">
                              <w:rPr>
                                <w:rFonts w:asciiTheme="minorBidi" w:hAnsiTheme="minorBidi" w:hint="eastAsia"/>
                                <w:sz w:val="18"/>
                                <w:szCs w:val="20"/>
                              </w:rPr>
                              <w:t>年</w:t>
                            </w:r>
                            <w:r w:rsidRPr="003223B3">
                              <w:rPr>
                                <w:rFonts w:asciiTheme="minorBidi" w:hAnsiTheme="minorBidi"/>
                                <w:sz w:val="18"/>
                                <w:szCs w:val="20"/>
                              </w:rPr>
                              <w:t>10</w:t>
                            </w:r>
                            <w:r w:rsidRPr="003223B3">
                              <w:rPr>
                                <w:rFonts w:asciiTheme="minorBidi" w:hAnsiTheme="minorBidi" w:hint="eastAsia"/>
                                <w:sz w:val="18"/>
                                <w:szCs w:val="20"/>
                              </w:rPr>
                              <w:t>月</w:t>
                            </w:r>
                            <w:r w:rsidRPr="003223B3">
                              <w:rPr>
                                <w:rFonts w:asciiTheme="minorBidi" w:hAnsiTheme="minorBidi"/>
                                <w:sz w:val="18"/>
                                <w:szCs w:val="20"/>
                              </w:rPr>
                              <w:t>22</w:t>
                            </w:r>
                            <w:r w:rsidRPr="003223B3">
                              <w:rPr>
                                <w:rFonts w:asciiTheme="minorBidi" w:hAnsiTheme="minorBidi" w:hint="eastAsia"/>
                                <w:sz w:val="18"/>
                                <w:szCs w:val="20"/>
                              </w:rPr>
                              <w:t>日</w:t>
                            </w:r>
                          </w:p>
                          <w:p w14:paraId="612A1D8F" w14:textId="0E96FACC" w:rsidR="00961280" w:rsidRDefault="00961280" w:rsidP="0096128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inorBidi" w:hAnsiTheme="minorBidi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3223B3">
                              <w:rPr>
                                <w:rFonts w:asciiTheme="minorBidi" w:hAnsiTheme="minorBidi" w:hint="eastAsia"/>
                                <w:sz w:val="18"/>
                                <w:szCs w:val="20"/>
                              </w:rPr>
                              <w:t>签字：</w:t>
                            </w:r>
                            <w:r>
                              <w:rPr>
                                <w:rFonts w:asciiTheme="minorBidi" w:hAnsiTheme="minorBidi"/>
                                <w:noProof/>
                                <w:color w:val="FF0000"/>
                                <w:sz w:val="18"/>
                                <w:szCs w:val="20"/>
                              </w:rPr>
                              <w:drawing>
                                <wp:inline distT="0" distB="0" distL="0" distR="0" wp14:anchorId="1465C73E" wp14:editId="1F995E95">
                                  <wp:extent cx="855785" cy="281751"/>
                                  <wp:effectExtent l="0" t="0" r="1905" b="4445"/>
                                  <wp:docPr id="6" name="图片 6" descr="C:\Users\lxd\AppData\Local\Temp\1487559478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lxd\AppData\Local\Temp\1487559478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5987" cy="2818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9.3pt;margin-top:535.7pt;width:139.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" stroked="f">
                <v:textbox inset="0,0,0,0">
                  <w:txbxContent>
                    <w:p w14:paraId="2B894CEC" w14:textId="77777777" w:rsidR="00961280" w:rsidRPr="003223B3" w:rsidRDefault="00961280" w:rsidP="00961280">
                      <w:pPr>
                        <w:adjustRightInd w:val="0"/>
                        <w:snapToGrid w:val="0"/>
                        <w:jc w:val="center"/>
                        <w:rPr>
                          <w:rFonts w:asciiTheme="minorBidi" w:hAnsiTheme="minorBidi"/>
                          <w:sz w:val="18"/>
                          <w:szCs w:val="20"/>
                        </w:rPr>
                      </w:pPr>
                      <w:r w:rsidRPr="003223B3">
                        <w:rPr>
                          <w:rFonts w:asciiTheme="minorBidi" w:hAnsiTheme="minorBidi" w:hint="eastAsia"/>
                          <w:sz w:val="18"/>
                          <w:szCs w:val="20"/>
                        </w:rPr>
                        <w:t>收货</w:t>
                      </w:r>
                    </w:p>
                    <w:p w14:paraId="4D58C27D" w14:textId="04460E15" w:rsidR="00961280" w:rsidRPr="003223B3" w:rsidRDefault="00961280" w:rsidP="00961280">
                      <w:pPr>
                        <w:adjustRightInd w:val="0"/>
                        <w:snapToGrid w:val="0"/>
                        <w:jc w:val="center"/>
                        <w:rPr>
                          <w:rFonts w:asciiTheme="minorBidi" w:hAnsiTheme="minorBidi"/>
                          <w:sz w:val="18"/>
                          <w:szCs w:val="20"/>
                        </w:rPr>
                      </w:pPr>
                      <w:r w:rsidRPr="003223B3">
                        <w:rPr>
                          <w:rFonts w:asciiTheme="minorBidi" w:hAnsiTheme="minorBidi" w:hint="eastAsia"/>
                          <w:sz w:val="18"/>
                          <w:szCs w:val="20"/>
                        </w:rPr>
                        <w:t>登记日期：</w:t>
                      </w:r>
                      <w:r w:rsidRPr="003223B3">
                        <w:rPr>
                          <w:rFonts w:asciiTheme="minorBidi" w:hAnsiTheme="minorBidi"/>
                          <w:sz w:val="18"/>
                          <w:szCs w:val="20"/>
                        </w:rPr>
                        <w:t>2015</w:t>
                      </w:r>
                      <w:r w:rsidRPr="003223B3">
                        <w:rPr>
                          <w:rFonts w:asciiTheme="minorBidi" w:hAnsiTheme="minorBidi" w:hint="eastAsia"/>
                          <w:sz w:val="18"/>
                          <w:szCs w:val="20"/>
                        </w:rPr>
                        <w:t>年</w:t>
                      </w:r>
                      <w:r w:rsidRPr="003223B3">
                        <w:rPr>
                          <w:rFonts w:asciiTheme="minorBidi" w:hAnsiTheme="minorBidi"/>
                          <w:sz w:val="18"/>
                          <w:szCs w:val="20"/>
                        </w:rPr>
                        <w:t>10</w:t>
                      </w:r>
                      <w:r w:rsidRPr="003223B3">
                        <w:rPr>
                          <w:rFonts w:asciiTheme="minorBidi" w:hAnsiTheme="minorBidi" w:hint="eastAsia"/>
                          <w:sz w:val="18"/>
                          <w:szCs w:val="20"/>
                        </w:rPr>
                        <w:t>月</w:t>
                      </w:r>
                      <w:r w:rsidRPr="003223B3">
                        <w:rPr>
                          <w:rFonts w:asciiTheme="minorBidi" w:hAnsiTheme="minorBidi"/>
                          <w:sz w:val="18"/>
                          <w:szCs w:val="20"/>
                        </w:rPr>
                        <w:t>22</w:t>
                      </w:r>
                      <w:r w:rsidRPr="003223B3">
                        <w:rPr>
                          <w:rFonts w:asciiTheme="minorBidi" w:hAnsiTheme="minorBidi" w:hint="eastAsia"/>
                          <w:sz w:val="18"/>
                          <w:szCs w:val="20"/>
                        </w:rPr>
                        <w:t>日</w:t>
                      </w:r>
                    </w:p>
                    <w:p w14:paraId="612A1D8F" w14:textId="0E96FACC" w:rsidR="00961280" w:rsidRDefault="00961280" w:rsidP="00961280">
                      <w:pPr>
                        <w:adjustRightInd w:val="0"/>
                        <w:snapToGrid w:val="0"/>
                        <w:jc w:val="center"/>
                        <w:rPr>
                          <w:rFonts w:asciiTheme="minorBidi" w:hAnsiTheme="minorBidi"/>
                          <w:color w:val="FF0000"/>
                          <w:sz w:val="18"/>
                          <w:szCs w:val="20"/>
                        </w:rPr>
                      </w:pPr>
                      <w:r w:rsidRPr="003223B3">
                        <w:rPr>
                          <w:rFonts w:asciiTheme="minorBidi" w:hAnsiTheme="minorBidi" w:hint="eastAsia"/>
                          <w:sz w:val="18"/>
                          <w:szCs w:val="20"/>
                        </w:rPr>
                        <w:t>签字：</w:t>
                      </w:r>
                      <w:r>
                        <w:rPr>
                          <w:rFonts w:asciiTheme="minorBidi" w:hAnsiTheme="minorBidi"/>
                          <w:noProof/>
                          <w:color w:val="FF0000"/>
                          <w:sz w:val="18"/>
                          <w:szCs w:val="20"/>
                        </w:rPr>
                        <w:drawing>
                          <wp:inline distT="0" distB="0" distL="0" distR="0" wp14:anchorId="1465C73E" wp14:editId="1F995E95">
                            <wp:extent cx="855785" cy="281751"/>
                            <wp:effectExtent l="0" t="0" r="1905" b="4445"/>
                            <wp:docPr id="6" name="图片 6" descr="C:\Users\lxd\AppData\Local\Temp\1487559478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lxd\AppData\Local\Temp\1487559478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5987" cy="2818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6CC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826759" wp14:editId="09971841">
                <wp:simplePos x="0" y="0"/>
                <wp:positionH relativeFrom="column">
                  <wp:posOffset>3928110</wp:posOffset>
                </wp:positionH>
                <wp:positionV relativeFrom="paragraph">
                  <wp:posOffset>6803390</wp:posOffset>
                </wp:positionV>
                <wp:extent cx="1771650" cy="609600"/>
                <wp:effectExtent l="0" t="0" r="0" b="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60DE300" w14:textId="77777777" w:rsidR="00961280" w:rsidRPr="003223B3" w:rsidRDefault="00961280" w:rsidP="0096128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inorBidi" w:hAnsiTheme="minorBidi"/>
                                <w:sz w:val="18"/>
                                <w:szCs w:val="20"/>
                              </w:rPr>
                            </w:pPr>
                            <w:r w:rsidRPr="003223B3">
                              <w:rPr>
                                <w:rFonts w:asciiTheme="minorBidi" w:hAnsiTheme="minorBidi" w:hint="eastAsia"/>
                                <w:sz w:val="18"/>
                                <w:szCs w:val="20"/>
                              </w:rPr>
                              <w:t>收货</w:t>
                            </w:r>
                          </w:p>
                          <w:p w14:paraId="2DCA31F8" w14:textId="3E287FA0" w:rsidR="00961280" w:rsidRPr="003223B3" w:rsidRDefault="00961280" w:rsidP="0096128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inorBidi" w:hAnsiTheme="minorBidi"/>
                                <w:sz w:val="18"/>
                                <w:szCs w:val="20"/>
                              </w:rPr>
                            </w:pPr>
                            <w:r w:rsidRPr="003223B3">
                              <w:rPr>
                                <w:rFonts w:asciiTheme="minorBidi" w:hAnsiTheme="minorBidi" w:hint="eastAsia"/>
                                <w:sz w:val="18"/>
                                <w:szCs w:val="20"/>
                              </w:rPr>
                              <w:t>登记日期：</w:t>
                            </w:r>
                            <w:r w:rsidRPr="003223B3">
                              <w:rPr>
                                <w:rFonts w:asciiTheme="minorBidi" w:hAnsiTheme="minorBidi"/>
                                <w:sz w:val="18"/>
                                <w:szCs w:val="20"/>
                              </w:rPr>
                              <w:t>2015</w:t>
                            </w:r>
                            <w:r w:rsidRPr="003223B3">
                              <w:rPr>
                                <w:rFonts w:asciiTheme="minorBidi" w:hAnsiTheme="minorBidi" w:hint="eastAsia"/>
                                <w:sz w:val="18"/>
                                <w:szCs w:val="20"/>
                              </w:rPr>
                              <w:t>年</w:t>
                            </w:r>
                            <w:r w:rsidRPr="003223B3">
                              <w:rPr>
                                <w:rFonts w:asciiTheme="minorBidi" w:hAnsiTheme="minorBidi"/>
                                <w:sz w:val="18"/>
                                <w:szCs w:val="20"/>
                              </w:rPr>
                              <w:t>10</w:t>
                            </w:r>
                            <w:r w:rsidRPr="003223B3">
                              <w:rPr>
                                <w:rFonts w:asciiTheme="minorBidi" w:hAnsiTheme="minorBidi" w:hint="eastAsia"/>
                                <w:sz w:val="18"/>
                                <w:szCs w:val="20"/>
                              </w:rPr>
                              <w:t>月</w:t>
                            </w:r>
                            <w:r w:rsidRPr="003223B3">
                              <w:rPr>
                                <w:rFonts w:asciiTheme="minorBidi" w:hAnsiTheme="minorBidi"/>
                                <w:sz w:val="18"/>
                                <w:szCs w:val="20"/>
                              </w:rPr>
                              <w:t>22</w:t>
                            </w:r>
                            <w:r w:rsidRPr="003223B3">
                              <w:rPr>
                                <w:rFonts w:asciiTheme="minorBidi" w:hAnsiTheme="minorBidi" w:hint="eastAsia"/>
                                <w:sz w:val="18"/>
                                <w:szCs w:val="20"/>
                              </w:rPr>
                              <w:t>日</w:t>
                            </w:r>
                          </w:p>
                          <w:p w14:paraId="40EBCF0F" w14:textId="32B4F4DE" w:rsidR="00961280" w:rsidRDefault="00961280" w:rsidP="0096128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inorBidi" w:hAnsiTheme="minorBidi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3223B3">
                              <w:rPr>
                                <w:rFonts w:asciiTheme="minorBidi" w:hAnsiTheme="minorBidi" w:hint="eastAsia"/>
                                <w:sz w:val="18"/>
                                <w:szCs w:val="20"/>
                              </w:rPr>
                              <w:t>签字：</w:t>
                            </w:r>
                            <w:r>
                              <w:rPr>
                                <w:rFonts w:asciiTheme="minorBidi" w:hAnsiTheme="minorBidi"/>
                                <w:noProof/>
                                <w:color w:val="FF0000"/>
                                <w:sz w:val="18"/>
                                <w:szCs w:val="20"/>
                              </w:rPr>
                              <w:drawing>
                                <wp:inline distT="0" distB="0" distL="0" distR="0" wp14:anchorId="30ACB443" wp14:editId="6C8C3332">
                                  <wp:extent cx="855785" cy="281751"/>
                                  <wp:effectExtent l="0" t="0" r="1905" b="4445"/>
                                  <wp:docPr id="310" name="图片 310" descr="C:\Users\lxd\AppData\Local\Temp\1487559478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lxd\AppData\Local\Temp\1487559478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5987" cy="2818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09.3pt;margin-top:535.7pt;width:139.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" stroked="f">
                <v:textbox inset="0,0,0,0">
                  <w:txbxContent>
                    <w:p w14:paraId="160DE300" w14:textId="77777777" w:rsidR="00961280" w:rsidRPr="003223B3" w:rsidRDefault="00961280" w:rsidP="00961280">
                      <w:pPr>
                        <w:adjustRightInd w:val="0"/>
                        <w:snapToGrid w:val="0"/>
                        <w:jc w:val="center"/>
                        <w:rPr>
                          <w:rFonts w:asciiTheme="minorBidi" w:hAnsiTheme="minorBidi"/>
                          <w:sz w:val="18"/>
                          <w:szCs w:val="20"/>
                        </w:rPr>
                      </w:pPr>
                      <w:r w:rsidRPr="003223B3">
                        <w:rPr>
                          <w:rFonts w:asciiTheme="minorBidi" w:hAnsiTheme="minorBidi" w:hint="eastAsia"/>
                          <w:sz w:val="18"/>
                          <w:szCs w:val="20"/>
                        </w:rPr>
                        <w:t>收货</w:t>
                      </w:r>
                    </w:p>
                    <w:p w14:paraId="2DCA31F8" w14:textId="3E287FA0" w:rsidR="00961280" w:rsidRPr="003223B3" w:rsidRDefault="00961280" w:rsidP="00961280">
                      <w:pPr>
                        <w:adjustRightInd w:val="0"/>
                        <w:snapToGrid w:val="0"/>
                        <w:jc w:val="center"/>
                        <w:rPr>
                          <w:rFonts w:asciiTheme="minorBidi" w:hAnsiTheme="minorBidi"/>
                          <w:sz w:val="18"/>
                          <w:szCs w:val="20"/>
                        </w:rPr>
                      </w:pPr>
                      <w:r w:rsidRPr="003223B3">
                        <w:rPr>
                          <w:rFonts w:asciiTheme="minorBidi" w:hAnsiTheme="minorBidi" w:hint="eastAsia"/>
                          <w:sz w:val="18"/>
                          <w:szCs w:val="20"/>
                        </w:rPr>
                        <w:t>登记日期：</w:t>
                      </w:r>
                      <w:r w:rsidRPr="003223B3">
                        <w:rPr>
                          <w:rFonts w:asciiTheme="minorBidi" w:hAnsiTheme="minorBidi"/>
                          <w:sz w:val="18"/>
                          <w:szCs w:val="20"/>
                        </w:rPr>
                        <w:t>2015</w:t>
                      </w:r>
                      <w:r w:rsidRPr="003223B3">
                        <w:rPr>
                          <w:rFonts w:asciiTheme="minorBidi" w:hAnsiTheme="minorBidi" w:hint="eastAsia"/>
                          <w:sz w:val="18"/>
                          <w:szCs w:val="20"/>
                        </w:rPr>
                        <w:t>年</w:t>
                      </w:r>
                      <w:r w:rsidRPr="003223B3">
                        <w:rPr>
                          <w:rFonts w:asciiTheme="minorBidi" w:hAnsiTheme="minorBidi"/>
                          <w:sz w:val="18"/>
                          <w:szCs w:val="20"/>
                        </w:rPr>
                        <w:t>10</w:t>
                      </w:r>
                      <w:r w:rsidRPr="003223B3">
                        <w:rPr>
                          <w:rFonts w:asciiTheme="minorBidi" w:hAnsiTheme="minorBidi" w:hint="eastAsia"/>
                          <w:sz w:val="18"/>
                          <w:szCs w:val="20"/>
                        </w:rPr>
                        <w:t>月</w:t>
                      </w:r>
                      <w:r w:rsidRPr="003223B3">
                        <w:rPr>
                          <w:rFonts w:asciiTheme="minorBidi" w:hAnsiTheme="minorBidi"/>
                          <w:sz w:val="18"/>
                          <w:szCs w:val="20"/>
                        </w:rPr>
                        <w:t>22</w:t>
                      </w:r>
                      <w:r w:rsidRPr="003223B3">
                        <w:rPr>
                          <w:rFonts w:asciiTheme="minorBidi" w:hAnsiTheme="minorBidi" w:hint="eastAsia"/>
                          <w:sz w:val="18"/>
                          <w:szCs w:val="20"/>
                        </w:rPr>
                        <w:t>日</w:t>
                      </w:r>
                    </w:p>
                    <w:p w14:paraId="40EBCF0F" w14:textId="32B4F4DE" w:rsidR="00961280" w:rsidRDefault="00961280" w:rsidP="00961280">
                      <w:pPr>
                        <w:adjustRightInd w:val="0"/>
                        <w:snapToGrid w:val="0"/>
                        <w:jc w:val="center"/>
                        <w:rPr>
                          <w:rFonts w:asciiTheme="minorBidi" w:hAnsiTheme="minorBidi"/>
                          <w:color w:val="FF0000"/>
                          <w:sz w:val="18"/>
                          <w:szCs w:val="20"/>
                        </w:rPr>
                      </w:pPr>
                      <w:r w:rsidRPr="003223B3">
                        <w:rPr>
                          <w:rFonts w:asciiTheme="minorBidi" w:hAnsiTheme="minorBidi" w:hint="eastAsia"/>
                          <w:sz w:val="18"/>
                          <w:szCs w:val="20"/>
                        </w:rPr>
                        <w:t>签字：</w:t>
                      </w:r>
                      <w:r>
                        <w:rPr>
                          <w:rFonts w:asciiTheme="minorBidi" w:hAnsiTheme="minorBidi"/>
                          <w:noProof/>
                          <w:color w:val="FF0000"/>
                          <w:sz w:val="18"/>
                          <w:szCs w:val="20"/>
                        </w:rPr>
                        <w:drawing>
                          <wp:inline distT="0" distB="0" distL="0" distR="0" wp14:anchorId="30ACB443" wp14:editId="6C8C3332">
                            <wp:extent cx="855785" cy="281751"/>
                            <wp:effectExtent l="0" t="0" r="1905" b="4445"/>
                            <wp:docPr id="310" name="图片 310" descr="C:\Users\lxd\AppData\Local\Temp\1487559478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lxd\AppData\Local\Temp\1487559478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5987" cy="2818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6CC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385AB" wp14:editId="5A76F713">
                <wp:simplePos x="0" y="0"/>
                <wp:positionH relativeFrom="column">
                  <wp:posOffset>3928110</wp:posOffset>
                </wp:positionH>
                <wp:positionV relativeFrom="paragraph">
                  <wp:posOffset>6803390</wp:posOffset>
                </wp:positionV>
                <wp:extent cx="1771650" cy="609600"/>
                <wp:effectExtent l="0" t="0" r="0" b="0"/>
                <wp:wrapNone/>
                <wp:docPr id="2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7C0DBBA" w14:textId="77777777" w:rsidR="00961280" w:rsidRPr="003223B3" w:rsidRDefault="00961280" w:rsidP="0096128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inorBidi" w:hAnsiTheme="minorBidi"/>
                                <w:sz w:val="18"/>
                                <w:szCs w:val="20"/>
                              </w:rPr>
                            </w:pPr>
                            <w:r w:rsidRPr="003223B3">
                              <w:rPr>
                                <w:rFonts w:asciiTheme="minorBidi" w:hAnsiTheme="minorBidi" w:hint="eastAsia"/>
                                <w:sz w:val="18"/>
                                <w:szCs w:val="20"/>
                              </w:rPr>
                              <w:t>收货</w:t>
                            </w:r>
                          </w:p>
                          <w:p w14:paraId="5CBA2EEF" w14:textId="1E0E28B7" w:rsidR="00961280" w:rsidRPr="003223B3" w:rsidRDefault="00961280" w:rsidP="0096128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inorBidi" w:hAnsiTheme="minorBidi"/>
                                <w:sz w:val="18"/>
                                <w:szCs w:val="20"/>
                              </w:rPr>
                            </w:pPr>
                            <w:r w:rsidRPr="003223B3">
                              <w:rPr>
                                <w:rFonts w:asciiTheme="minorBidi" w:hAnsiTheme="minorBidi" w:hint="eastAsia"/>
                                <w:sz w:val="18"/>
                                <w:szCs w:val="20"/>
                              </w:rPr>
                              <w:t>登记日期：</w:t>
                            </w:r>
                            <w:r w:rsidRPr="003223B3">
                              <w:rPr>
                                <w:rFonts w:asciiTheme="minorBidi" w:hAnsiTheme="minorBidi"/>
                                <w:sz w:val="18"/>
                                <w:szCs w:val="20"/>
                              </w:rPr>
                              <w:t>2015</w:t>
                            </w:r>
                            <w:r w:rsidRPr="003223B3">
                              <w:rPr>
                                <w:rFonts w:asciiTheme="minorBidi" w:hAnsiTheme="minorBidi" w:hint="eastAsia"/>
                                <w:sz w:val="18"/>
                                <w:szCs w:val="20"/>
                              </w:rPr>
                              <w:t>年</w:t>
                            </w:r>
                            <w:r w:rsidRPr="003223B3">
                              <w:rPr>
                                <w:rFonts w:asciiTheme="minorBidi" w:hAnsiTheme="minorBidi"/>
                                <w:sz w:val="18"/>
                                <w:szCs w:val="20"/>
                              </w:rPr>
                              <w:t>10</w:t>
                            </w:r>
                            <w:r w:rsidRPr="003223B3">
                              <w:rPr>
                                <w:rFonts w:asciiTheme="minorBidi" w:hAnsiTheme="minorBidi" w:hint="eastAsia"/>
                                <w:sz w:val="18"/>
                                <w:szCs w:val="20"/>
                              </w:rPr>
                              <w:t>月</w:t>
                            </w:r>
                            <w:r w:rsidRPr="003223B3">
                              <w:rPr>
                                <w:rFonts w:asciiTheme="minorBidi" w:hAnsiTheme="minorBidi"/>
                                <w:sz w:val="18"/>
                                <w:szCs w:val="20"/>
                              </w:rPr>
                              <w:t>22</w:t>
                            </w:r>
                            <w:r w:rsidRPr="003223B3">
                              <w:rPr>
                                <w:rFonts w:asciiTheme="minorBidi" w:hAnsiTheme="minorBidi" w:hint="eastAsia"/>
                                <w:sz w:val="18"/>
                                <w:szCs w:val="20"/>
                              </w:rPr>
                              <w:t>日</w:t>
                            </w:r>
                          </w:p>
                          <w:p w14:paraId="6DA761C9" w14:textId="203CABA1" w:rsidR="00961280" w:rsidRDefault="00961280" w:rsidP="0096128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inorBidi" w:hAnsiTheme="minorBidi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3223B3">
                              <w:rPr>
                                <w:rFonts w:asciiTheme="minorBidi" w:hAnsiTheme="minorBidi" w:hint="eastAsia"/>
                                <w:sz w:val="18"/>
                                <w:szCs w:val="20"/>
                              </w:rPr>
                              <w:t>签字：</w:t>
                            </w:r>
                            <w:r>
                              <w:rPr>
                                <w:rFonts w:asciiTheme="minorBidi" w:hAnsiTheme="minorBidi"/>
                                <w:noProof/>
                                <w:color w:val="FF0000"/>
                                <w:sz w:val="18"/>
                                <w:szCs w:val="20"/>
                              </w:rPr>
                              <w:drawing>
                                <wp:inline distT="0" distB="0" distL="0" distR="0" wp14:anchorId="679328C8" wp14:editId="139081D6">
                                  <wp:extent cx="855785" cy="281751"/>
                                  <wp:effectExtent l="0" t="0" r="1905" b="4445"/>
                                  <wp:docPr id="4" name="图片 4" descr="C:\Users\lxd\AppData\Local\Temp\1487559478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lxd\AppData\Local\Temp\1487559478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5987" cy="2818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09.3pt;margin-top:535.7pt;width:139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" stroked="f">
                <v:textbox inset="0,0,0,0">
                  <w:txbxContent>
                    <w:p w14:paraId="17C0DBBA" w14:textId="77777777" w:rsidR="00961280" w:rsidRPr="003223B3" w:rsidRDefault="00961280" w:rsidP="00961280">
                      <w:pPr>
                        <w:adjustRightInd w:val="0"/>
                        <w:snapToGrid w:val="0"/>
                        <w:jc w:val="center"/>
                        <w:rPr>
                          <w:rFonts w:asciiTheme="minorBidi" w:hAnsiTheme="minorBidi"/>
                          <w:sz w:val="18"/>
                          <w:szCs w:val="20"/>
                        </w:rPr>
                      </w:pPr>
                      <w:r w:rsidRPr="003223B3">
                        <w:rPr>
                          <w:rFonts w:asciiTheme="minorBidi" w:hAnsiTheme="minorBidi" w:hint="eastAsia"/>
                          <w:sz w:val="18"/>
                          <w:szCs w:val="20"/>
                        </w:rPr>
                        <w:t>收货</w:t>
                      </w:r>
                    </w:p>
                    <w:p w14:paraId="5CBA2EEF" w14:textId="1E0E28B7" w:rsidR="00961280" w:rsidRPr="003223B3" w:rsidRDefault="00961280" w:rsidP="00961280">
                      <w:pPr>
                        <w:adjustRightInd w:val="0"/>
                        <w:snapToGrid w:val="0"/>
                        <w:jc w:val="center"/>
                        <w:rPr>
                          <w:rFonts w:asciiTheme="minorBidi" w:hAnsiTheme="minorBidi"/>
                          <w:sz w:val="18"/>
                          <w:szCs w:val="20"/>
                        </w:rPr>
                      </w:pPr>
                      <w:r w:rsidRPr="003223B3">
                        <w:rPr>
                          <w:rFonts w:asciiTheme="minorBidi" w:hAnsiTheme="minorBidi" w:hint="eastAsia"/>
                          <w:sz w:val="18"/>
                          <w:szCs w:val="20"/>
                        </w:rPr>
                        <w:t>登记日期：</w:t>
                      </w:r>
                      <w:r w:rsidRPr="003223B3">
                        <w:rPr>
                          <w:rFonts w:asciiTheme="minorBidi" w:hAnsiTheme="minorBidi"/>
                          <w:sz w:val="18"/>
                          <w:szCs w:val="20"/>
                        </w:rPr>
                        <w:t>2015</w:t>
                      </w:r>
                      <w:r w:rsidRPr="003223B3">
                        <w:rPr>
                          <w:rFonts w:asciiTheme="minorBidi" w:hAnsiTheme="minorBidi" w:hint="eastAsia"/>
                          <w:sz w:val="18"/>
                          <w:szCs w:val="20"/>
                        </w:rPr>
                        <w:t>年</w:t>
                      </w:r>
                      <w:r w:rsidRPr="003223B3">
                        <w:rPr>
                          <w:rFonts w:asciiTheme="minorBidi" w:hAnsiTheme="minorBidi"/>
                          <w:sz w:val="18"/>
                          <w:szCs w:val="20"/>
                        </w:rPr>
                        <w:t>10</w:t>
                      </w:r>
                      <w:r w:rsidRPr="003223B3">
                        <w:rPr>
                          <w:rFonts w:asciiTheme="minorBidi" w:hAnsiTheme="minorBidi" w:hint="eastAsia"/>
                          <w:sz w:val="18"/>
                          <w:szCs w:val="20"/>
                        </w:rPr>
                        <w:t>月</w:t>
                      </w:r>
                      <w:r w:rsidRPr="003223B3">
                        <w:rPr>
                          <w:rFonts w:asciiTheme="minorBidi" w:hAnsiTheme="minorBidi"/>
                          <w:sz w:val="18"/>
                          <w:szCs w:val="20"/>
                        </w:rPr>
                        <w:t>22</w:t>
                      </w:r>
                      <w:r w:rsidRPr="003223B3">
                        <w:rPr>
                          <w:rFonts w:asciiTheme="minorBidi" w:hAnsiTheme="minorBidi" w:hint="eastAsia"/>
                          <w:sz w:val="18"/>
                          <w:szCs w:val="20"/>
                        </w:rPr>
                        <w:t>日</w:t>
                      </w:r>
                    </w:p>
                    <w:p w14:paraId="6DA761C9" w14:textId="203CABA1" w:rsidR="00961280" w:rsidRDefault="00961280" w:rsidP="00961280">
                      <w:pPr>
                        <w:adjustRightInd w:val="0"/>
                        <w:snapToGrid w:val="0"/>
                        <w:jc w:val="center"/>
                        <w:rPr>
                          <w:rFonts w:asciiTheme="minorBidi" w:hAnsiTheme="minorBidi"/>
                          <w:color w:val="FF0000"/>
                          <w:sz w:val="18"/>
                          <w:szCs w:val="20"/>
                        </w:rPr>
                      </w:pPr>
                      <w:r w:rsidRPr="003223B3">
                        <w:rPr>
                          <w:rFonts w:asciiTheme="minorBidi" w:hAnsiTheme="minorBidi" w:hint="eastAsia"/>
                          <w:sz w:val="18"/>
                          <w:szCs w:val="20"/>
                        </w:rPr>
                        <w:t>签字：</w:t>
                      </w:r>
                      <w:r>
                        <w:rPr>
                          <w:rFonts w:asciiTheme="minorBidi" w:hAnsiTheme="minorBidi"/>
                          <w:noProof/>
                          <w:color w:val="FF0000"/>
                          <w:sz w:val="18"/>
                          <w:szCs w:val="20"/>
                        </w:rPr>
                        <w:drawing>
                          <wp:inline distT="0" distB="0" distL="0" distR="0" wp14:anchorId="679328C8" wp14:editId="139081D6">
                            <wp:extent cx="855785" cy="281751"/>
                            <wp:effectExtent l="0" t="0" r="1905" b="4445"/>
                            <wp:docPr id="4" name="图片 4" descr="C:\Users\lxd\AppData\Local\Temp\1487559478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lxd\AppData\Local\Temp\1487559478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5987" cy="2818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83E3391" w14:textId="0EAA7645" w:rsidR="004D661F" w:rsidRPr="001E6508" w:rsidRDefault="004D661F" w:rsidP="001F3ACF">
      <w:pPr>
        <w:widowControl/>
        <w:snapToGrid w:val="0"/>
        <w:spacing w:line="300" w:lineRule="auto"/>
        <w:jc w:val="center"/>
        <w:outlineLvl w:val="2"/>
        <w:rPr>
          <w:rFonts w:ascii="Arial" w:eastAsia="宋体" w:hAnsi="Arial" w:cs="Arial"/>
          <w:bCs/>
          <w:color w:val="000000"/>
          <w:kern w:val="0"/>
          <w:sz w:val="23"/>
          <w:szCs w:val="23"/>
        </w:rPr>
      </w:pPr>
      <w:r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食品药品监督管理局</w:t>
      </w:r>
    </w:p>
    <w:p w14:paraId="3C87EEE9" w14:textId="0FC2FEE9" w:rsidR="004D661F" w:rsidRPr="001E6508" w:rsidRDefault="004D661F" w:rsidP="001F3ACF">
      <w:pPr>
        <w:widowControl/>
        <w:snapToGrid w:val="0"/>
        <w:spacing w:line="300" w:lineRule="auto"/>
        <w:jc w:val="center"/>
        <w:outlineLvl w:val="2"/>
        <w:rPr>
          <w:rFonts w:ascii="Arial" w:eastAsia="宋体" w:hAnsi="Arial" w:cs="Arial"/>
          <w:bCs/>
          <w:color w:val="000000"/>
          <w:kern w:val="0"/>
          <w:sz w:val="23"/>
          <w:szCs w:val="23"/>
        </w:rPr>
      </w:pPr>
      <w:r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器械与放射</w:t>
      </w:r>
      <w:r w:rsidR="00961280">
        <w:rPr>
          <w:rFonts w:ascii="Arial" w:eastAsia="宋体" w:hAnsi="Arial" w:cs="Arial" w:hint="eastAsia"/>
          <w:bCs/>
          <w:color w:val="000000"/>
          <w:kern w:val="0"/>
          <w:sz w:val="23"/>
          <w:szCs w:val="23"/>
        </w:rPr>
        <w:t>健康</w:t>
      </w:r>
      <w:r w:rsidRPr="001E6508">
        <w:rPr>
          <w:rFonts w:ascii="Arial" w:eastAsia="宋体" w:hAnsi="Arial" w:cs="Arial"/>
          <w:bCs/>
          <w:color w:val="000000"/>
          <w:kern w:val="0"/>
          <w:sz w:val="23"/>
          <w:szCs w:val="23"/>
        </w:rPr>
        <w:t>中心</w:t>
      </w:r>
    </w:p>
    <w:p w14:paraId="34AFE770" w14:textId="77777777" w:rsidR="00DF60A5" w:rsidRPr="00432957" w:rsidRDefault="00DF60A5" w:rsidP="001F3ACF">
      <w:pPr>
        <w:widowControl/>
        <w:snapToGrid w:val="0"/>
        <w:spacing w:line="300" w:lineRule="auto"/>
        <w:rPr>
          <w:rFonts w:ascii="Arial" w:eastAsia="宋体" w:hAnsi="Arial" w:cs="Arial"/>
          <w:b/>
          <w:bCs/>
          <w:color w:val="000000"/>
          <w:kern w:val="0"/>
          <w:sz w:val="23"/>
          <w:szCs w:val="23"/>
        </w:rPr>
      </w:pPr>
      <w:r w:rsidRPr="00432957">
        <w:rPr>
          <w:rFonts w:ascii="Arial" w:eastAsia="宋体" w:hAnsi="Arial" w:cs="Arial"/>
          <w:b/>
          <w:bCs/>
          <w:color w:val="000000"/>
          <w:kern w:val="0"/>
          <w:sz w:val="23"/>
          <w:szCs w:val="23"/>
        </w:rPr>
        <w:br w:type="page"/>
      </w:r>
    </w:p>
    <w:p w14:paraId="453FD75E" w14:textId="1BFD01A6" w:rsidR="00E52076" w:rsidRPr="00432957" w:rsidRDefault="00E52076" w:rsidP="00D9264B">
      <w:pPr>
        <w:widowControl/>
        <w:snapToGrid w:val="0"/>
        <w:spacing w:line="300" w:lineRule="auto"/>
        <w:jc w:val="center"/>
        <w:outlineLvl w:val="2"/>
        <w:rPr>
          <w:rFonts w:ascii="Arial" w:eastAsia="宋体" w:hAnsi="Arial" w:cs="Arial"/>
          <w:b/>
          <w:bCs/>
          <w:color w:val="000000"/>
          <w:kern w:val="0"/>
          <w:sz w:val="23"/>
          <w:szCs w:val="23"/>
        </w:rPr>
      </w:pPr>
      <w:r w:rsidRPr="00432957">
        <w:rPr>
          <w:rFonts w:ascii="Arial" w:eastAsia="宋体" w:hAnsi="Arial" w:cs="Arial"/>
          <w:b/>
          <w:bCs/>
          <w:color w:val="000000"/>
          <w:kern w:val="0"/>
          <w:sz w:val="23"/>
          <w:szCs w:val="23"/>
        </w:rPr>
        <w:lastRenderedPageBreak/>
        <w:t>评估</w:t>
      </w:r>
      <w:r w:rsidR="00961280">
        <w:rPr>
          <w:rFonts w:ascii="Arial" w:eastAsia="宋体" w:hAnsi="Arial" w:cs="Arial"/>
          <w:b/>
          <w:bCs/>
          <w:color w:val="000000"/>
          <w:kern w:val="0"/>
          <w:sz w:val="23"/>
          <w:szCs w:val="23"/>
        </w:rPr>
        <w:t>专业用</w:t>
      </w:r>
      <w:r w:rsidRPr="00432957">
        <w:rPr>
          <w:rFonts w:ascii="Arial" w:eastAsia="宋体" w:hAnsi="Arial" w:cs="Arial"/>
          <w:b/>
          <w:bCs/>
          <w:color w:val="000000"/>
          <w:kern w:val="0"/>
          <w:sz w:val="23"/>
          <w:szCs w:val="23"/>
        </w:rPr>
        <w:t>人绒毛膜促性腺激素（</w:t>
      </w:r>
      <w:r w:rsidRPr="00432957">
        <w:rPr>
          <w:rFonts w:ascii="Arial" w:eastAsia="宋体" w:hAnsi="Arial" w:cs="Arial"/>
          <w:b/>
          <w:bCs/>
          <w:color w:val="000000"/>
          <w:kern w:val="0"/>
          <w:sz w:val="23"/>
          <w:szCs w:val="23"/>
        </w:rPr>
        <w:t>hCG</w:t>
      </w:r>
      <w:r w:rsidRPr="00432957">
        <w:rPr>
          <w:rFonts w:ascii="Arial" w:eastAsia="宋体" w:hAnsi="Arial" w:cs="Arial"/>
          <w:b/>
          <w:bCs/>
          <w:color w:val="000000"/>
          <w:kern w:val="0"/>
          <w:sz w:val="23"/>
          <w:szCs w:val="23"/>
        </w:rPr>
        <w:t>）体外诊断器械（</w:t>
      </w:r>
      <w:r w:rsidRPr="00432957">
        <w:rPr>
          <w:rFonts w:ascii="Arial" w:eastAsia="宋体" w:hAnsi="Arial" w:cs="Arial"/>
          <w:b/>
          <w:bCs/>
          <w:color w:val="000000"/>
          <w:kern w:val="0"/>
          <w:sz w:val="23"/>
          <w:szCs w:val="23"/>
        </w:rPr>
        <w:t>IVD</w:t>
      </w:r>
      <w:r w:rsidRPr="00432957">
        <w:rPr>
          <w:rFonts w:ascii="Arial" w:eastAsia="宋体" w:hAnsi="Arial" w:cs="Arial"/>
          <w:b/>
          <w:bCs/>
          <w:color w:val="000000"/>
          <w:kern w:val="0"/>
          <w:sz w:val="23"/>
          <w:szCs w:val="23"/>
        </w:rPr>
        <w:t>）的审查标准</w:t>
      </w:r>
    </w:p>
    <w:p w14:paraId="3070C776" w14:textId="46B9E58B" w:rsidR="00BD174F" w:rsidRPr="00432957" w:rsidRDefault="00BD174F" w:rsidP="001F3ACF">
      <w:pPr>
        <w:widowControl/>
        <w:snapToGrid w:val="0"/>
        <w:spacing w:before="90" w:after="90" w:line="300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这是一个灵活的文件，代表当前关于人绒毛膜促性腺激素（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hCG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）的主要关注和建议。其基于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1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）当前的基础科学，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2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）临床经验和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3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）先前由制造商提交给食品药品监督管理局的</w:t>
      </w:r>
      <w:r w:rsidR="00961280">
        <w:rPr>
          <w:rFonts w:ascii="Arial" w:eastAsia="宋体" w:hAnsi="Arial" w:cs="Arial"/>
          <w:color w:val="000000"/>
          <w:kern w:val="0"/>
          <w:sz w:val="18"/>
          <w:szCs w:val="18"/>
        </w:rPr>
        <w:t>提交资料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以及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4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）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1990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年的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“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安全医疗器械法案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”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“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美国联邦法规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”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（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CFR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）中的法规。为了使我们可以根据需要修改草案，请将贵公司的评论发送到以下地址。</w:t>
      </w:r>
    </w:p>
    <w:p w14:paraId="13D18593" w14:textId="77777777" w:rsidR="00EB45D4" w:rsidRPr="00432957" w:rsidRDefault="00EB45D4" w:rsidP="001F3ACF">
      <w:pPr>
        <w:widowControl/>
        <w:snapToGrid w:val="0"/>
        <w:spacing w:before="90" w:after="90" w:line="300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p w14:paraId="2D7C5226" w14:textId="64A7E879" w:rsidR="00BD174F" w:rsidRPr="00432957" w:rsidRDefault="00EB45D4" w:rsidP="001F3ACF">
      <w:pPr>
        <w:widowControl/>
        <w:snapToGrid w:val="0"/>
        <w:spacing w:line="300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Cornelia Rooks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br/>
      </w:r>
      <w:r w:rsidR="00BD174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主任</w:t>
      </w:r>
      <w:r w:rsidR="00F06ED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="00BD174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临床化学</w:t>
      </w:r>
      <w:r w:rsidR="00F06ED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="00BD174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毒理学与血液学部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br/>
      </w:r>
      <w:r w:rsidR="00BD174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临床实验室</w:t>
      </w:r>
      <w:r w:rsidR="00961280">
        <w:rPr>
          <w:rFonts w:ascii="Arial" w:eastAsia="宋体" w:hAnsi="Arial" w:cs="Arial"/>
          <w:color w:val="000000"/>
          <w:kern w:val="0"/>
          <w:sz w:val="18"/>
          <w:szCs w:val="18"/>
        </w:rPr>
        <w:t>器械部</w:t>
      </w:r>
    </w:p>
    <w:p w14:paraId="67FE16F7" w14:textId="71260E6A" w:rsidR="00EB45D4" w:rsidRPr="00432957" w:rsidRDefault="00EB45D4" w:rsidP="001F3ACF">
      <w:pPr>
        <w:widowControl/>
        <w:snapToGrid w:val="0"/>
        <w:spacing w:line="300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HFZ-440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br/>
        <w:t>2098 Gaither Road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br/>
        <w:t>Rockville</w:t>
      </w:r>
      <w:r w:rsidR="00E22893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Maryland 20850</w:t>
      </w:r>
    </w:p>
    <w:p w14:paraId="19C3F546" w14:textId="2E520B22" w:rsidR="00EB45D4" w:rsidRPr="00432957" w:rsidRDefault="0000588E" w:rsidP="001F3ACF">
      <w:pPr>
        <w:widowControl/>
        <w:snapToGrid w:val="0"/>
        <w:spacing w:before="90" w:after="90" w:line="300" w:lineRule="auto"/>
        <w:rPr>
          <w:rFonts w:ascii="Arial" w:eastAsia="宋体" w:hAnsi="Arial" w:cs="Arial"/>
        </w:rPr>
      </w:pPr>
      <w:r w:rsidRPr="00432957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定义</w:t>
      </w:r>
      <w:r w:rsidR="00AB2188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：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该通用型</w:t>
      </w:r>
      <w:r w:rsidR="0061149A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器械</w:t>
      </w:r>
      <w:r w:rsidR="00BD174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适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用于临床实验室（实验室）和</w:t>
      </w:r>
      <w:r w:rsidR="000C0A04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医生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办公室实验室（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POL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），</w:t>
      </w:r>
      <w:r w:rsidR="00BD174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以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作为用于定量和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/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或定性测量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hCG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的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IVD</w:t>
      </w:r>
      <w:r w:rsidR="0061149A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试验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临床实验室可以包括医院和参考实验室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POL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可以包括小型诊所。</w:t>
      </w:r>
    </w:p>
    <w:p w14:paraId="0DA5355B" w14:textId="245AAC8C" w:rsidR="00EB45D4" w:rsidRPr="00432957" w:rsidRDefault="00A53150" w:rsidP="001F3ACF">
      <w:pPr>
        <w:widowControl/>
        <w:snapToGrid w:val="0"/>
        <w:spacing w:before="90" w:after="90" w:line="300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产品代码</w:t>
      </w:r>
      <w:r w:rsidR="00AB2188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：</w:t>
      </w:r>
      <w:r w:rsidR="00EB45D4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JHJ</w:t>
      </w:r>
      <w:r w:rsidR="00E22893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="00EB45D4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DHA</w:t>
      </w:r>
      <w:r w:rsidR="00E22893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="00EB45D4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JHI</w:t>
      </w:r>
    </w:p>
    <w:p w14:paraId="15FC9D02" w14:textId="188E6824" w:rsidR="00EB45D4" w:rsidRPr="00432957" w:rsidRDefault="00961280" w:rsidP="001F3ACF">
      <w:pPr>
        <w:widowControl/>
        <w:snapToGrid w:val="0"/>
        <w:spacing w:before="90" w:after="90" w:line="300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 w:hint="eastAsia"/>
          <w:b/>
          <w:bCs/>
          <w:color w:val="000000"/>
          <w:kern w:val="0"/>
          <w:sz w:val="18"/>
          <w:szCs w:val="18"/>
        </w:rPr>
        <w:t>小组</w:t>
      </w:r>
      <w:r w:rsidR="00AB2188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：</w:t>
      </w:r>
      <w:r w:rsidR="00EB45D4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*** </w:t>
      </w:r>
      <w:r w:rsidR="00A53150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临床化学</w:t>
      </w:r>
    </w:p>
    <w:p w14:paraId="17200B01" w14:textId="2A87C0E7" w:rsidR="00EB45D4" w:rsidRPr="00432957" w:rsidRDefault="00A53150" w:rsidP="001F3ACF">
      <w:pPr>
        <w:widowControl/>
        <w:snapToGrid w:val="0"/>
        <w:spacing w:before="90" w:after="90" w:line="300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法规编号</w:t>
      </w:r>
      <w:r w:rsidR="00AB2188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：</w:t>
      </w:r>
      <w:r w:rsidR="00EB45D4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21 CFR §862.1155</w:t>
      </w:r>
    </w:p>
    <w:p w14:paraId="4352DE75" w14:textId="589295EC" w:rsidR="00EB45D4" w:rsidRPr="00432957" w:rsidRDefault="00BD174F" w:rsidP="001A1FBE">
      <w:pPr>
        <w:widowControl/>
        <w:numPr>
          <w:ilvl w:val="0"/>
          <w:numId w:val="1"/>
        </w:numPr>
        <w:tabs>
          <w:tab w:val="clear" w:pos="720"/>
        </w:tabs>
        <w:snapToGrid w:val="0"/>
        <w:spacing w:line="300" w:lineRule="auto"/>
        <w:ind w:left="446" w:hangingChars="248" w:hanging="446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标识。</w:t>
      </w:r>
      <w:r w:rsidR="00A53150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hCG</w:t>
      </w:r>
      <w:r w:rsidR="0061149A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试验</w:t>
      </w:r>
      <w:r w:rsidR="00A53150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系统是用于早期检测</w:t>
      </w:r>
      <w:r w:rsidR="000C0A04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妊娠</w:t>
      </w:r>
      <w:r w:rsidR="00A53150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的</w:t>
      </w:r>
      <w:r w:rsidR="0061149A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器械</w:t>
      </w:r>
      <w:r w:rsidR="00A53150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其</w:t>
      </w:r>
      <w:r w:rsidR="00A53150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旨在测量血清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、</w:t>
      </w:r>
      <w:r w:rsidR="00A53150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血浆或尿液中的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hCG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，即</w:t>
      </w:r>
      <w:r w:rsidR="00A53150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胎盘素激素。</w:t>
      </w:r>
    </w:p>
    <w:p w14:paraId="5D2D1814" w14:textId="53202658" w:rsidR="00EB45D4" w:rsidRPr="00432957" w:rsidRDefault="00DB1086" w:rsidP="001A1FBE">
      <w:pPr>
        <w:widowControl/>
        <w:numPr>
          <w:ilvl w:val="0"/>
          <w:numId w:val="1"/>
        </w:numPr>
        <w:tabs>
          <w:tab w:val="clear" w:pos="720"/>
        </w:tabs>
        <w:snapToGrid w:val="0"/>
        <w:spacing w:line="300" w:lineRule="auto"/>
        <w:ind w:left="446" w:hangingChars="248" w:hanging="446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分类。</w:t>
      </w:r>
      <w:r w:rsidR="00BD174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II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级（</w:t>
      </w:r>
      <w:r w:rsidR="00BD174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性能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标准）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47 FR 4915 </w:t>
      </w:r>
      <w:r w:rsidR="00BD174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–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="00BD174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未确定任何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性能标准。</w:t>
      </w:r>
    </w:p>
    <w:p w14:paraId="26018E7C" w14:textId="63D265DF" w:rsidR="00EB45D4" w:rsidRPr="00432957" w:rsidRDefault="00DB1086" w:rsidP="001F3ACF">
      <w:pPr>
        <w:widowControl/>
        <w:snapToGrid w:val="0"/>
        <w:spacing w:before="90" w:after="90" w:line="300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所需审查</w:t>
      </w:r>
      <w:r w:rsidR="00AB2188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：</w:t>
      </w:r>
      <w:r w:rsidR="00EB45D4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*** 510</w:t>
      </w:r>
      <w:r w:rsidR="00F06ED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（</w:t>
      </w:r>
      <w:r w:rsidR="00EB45D4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k</w:t>
      </w:r>
      <w:r w:rsidR="00F06ED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）</w:t>
      </w:r>
    </w:p>
    <w:p w14:paraId="24C3EF02" w14:textId="4DCEF5B2" w:rsidR="00EB45D4" w:rsidRPr="00432957" w:rsidRDefault="00DB1086" w:rsidP="001F3ACF">
      <w:pPr>
        <w:widowControl/>
        <w:snapToGrid w:val="0"/>
        <w:spacing w:before="90" w:after="90" w:line="300" w:lineRule="auto"/>
        <w:rPr>
          <w:rFonts w:ascii="Arial" w:eastAsia="宋体" w:hAnsi="Arial" w:cs="Arial"/>
        </w:rPr>
      </w:pPr>
      <w:r w:rsidRPr="00432957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目的</w:t>
      </w:r>
      <w:r w:rsidR="00AB2188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：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本</w:t>
      </w:r>
      <w:r w:rsidR="00BD174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文件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的目的是</w:t>
      </w:r>
      <w:r w:rsidR="00BD174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就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在</w:t>
      </w:r>
      <w:r w:rsidR="00BD174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某一</w:t>
      </w:r>
      <w:r w:rsidR="0061149A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器械</w:t>
      </w:r>
      <w:r w:rsidR="00BD174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被许可上市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之前</w:t>
      </w:r>
      <w:r w:rsidR="00BD174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须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提供给</w:t>
      </w:r>
      <w:r w:rsidR="00BD174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食品药品监督管理局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（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FDA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）的信息提供</w:t>
      </w:r>
      <w:r w:rsidR="00BD174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指南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。该信息使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FDA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能够根据</w:t>
      </w:r>
      <w:r w:rsidR="00BD174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一致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的数据库做出更</w:t>
      </w:r>
      <w:r w:rsidR="00BD174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为合理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的决策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="00BD174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我们希望这些文件可使商业试验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更可靠</w:t>
      </w:r>
      <w:r w:rsidR="00BD174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、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可</w:t>
      </w:r>
      <w:r w:rsidR="00BD174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复现且更为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标准化。</w:t>
      </w:r>
    </w:p>
    <w:p w14:paraId="0BB4EFE7" w14:textId="77777777" w:rsidR="00EB45D4" w:rsidRPr="00432957" w:rsidRDefault="00EB45D4" w:rsidP="001F3ACF">
      <w:pPr>
        <w:widowControl/>
        <w:snapToGrid w:val="0"/>
        <w:spacing w:line="300" w:lineRule="auto"/>
        <w:outlineLvl w:val="3"/>
        <w:rPr>
          <w:rFonts w:ascii="Arial" w:eastAsia="宋体" w:hAnsi="Arial" w:cs="Arial"/>
          <w:b/>
          <w:bCs/>
          <w:color w:val="000000"/>
          <w:kern w:val="0"/>
          <w:sz w:val="29"/>
          <w:szCs w:val="29"/>
        </w:rPr>
      </w:pPr>
      <w:r w:rsidRPr="00432957">
        <w:rPr>
          <w:rFonts w:ascii="Arial" w:eastAsia="宋体" w:hAnsi="Arial" w:cs="Arial"/>
          <w:b/>
          <w:bCs/>
          <w:color w:val="000000"/>
          <w:kern w:val="0"/>
          <w:sz w:val="29"/>
        </w:rPr>
        <w:t xml:space="preserve">I. </w:t>
      </w:r>
      <w:r w:rsidR="00DB1086" w:rsidRPr="00432957">
        <w:rPr>
          <w:rFonts w:ascii="Arial" w:eastAsia="宋体" w:hAnsi="Arial" w:cs="Arial"/>
          <w:b/>
          <w:bCs/>
          <w:color w:val="000000"/>
          <w:kern w:val="0"/>
          <w:sz w:val="29"/>
        </w:rPr>
        <w:t>背景</w:t>
      </w:r>
    </w:p>
    <w:p w14:paraId="19E030D4" w14:textId="78CA8093" w:rsidR="00DB1086" w:rsidRPr="00432957" w:rsidRDefault="00EC58A2" w:rsidP="001F3ACF">
      <w:pPr>
        <w:widowControl/>
        <w:snapToGrid w:val="0"/>
        <w:spacing w:before="90" w:after="90" w:line="300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妊娠试验</w:t>
      </w:r>
      <w:r w:rsidR="00DB108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基于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检测</w:t>
      </w:r>
      <w:r w:rsidR="00DB108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尿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液</w:t>
      </w:r>
      <w:r w:rsidR="00DB108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或血清中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是否存在</w:t>
      </w:r>
      <w:r w:rsidR="00DB108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激素</w:t>
      </w:r>
      <w:r w:rsidR="00DB108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hCG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="00DB108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HCG</w:t>
      </w:r>
      <w:r w:rsidR="00DB108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被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视为由滋养细胞组织产生</w:t>
      </w:r>
      <w:r w:rsidR="00DB108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，并且出现在排卵后第</w:t>
      </w:r>
      <w:r w:rsidR="00DB108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8-9</w:t>
      </w:r>
      <w:r w:rsidR="00DB108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天（受精发生）或受孕后第</w:t>
      </w:r>
      <w:r w:rsidR="00DB108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4</w:t>
      </w:r>
      <w:r w:rsidR="00DB108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天左右。在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长达</w:t>
      </w:r>
      <w:r w:rsidR="00DB108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28</w:t>
      </w:r>
      <w:r w:rsidR="00DB108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天的周期中，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其中，排卵发生于</w:t>
      </w:r>
      <w:r w:rsidR="00DB108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第</w:t>
      </w:r>
      <w:r w:rsidR="00DB108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14</w:t>
      </w:r>
      <w:r w:rsidR="00DB108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天，可以在预期月经前的第</w:t>
      </w:r>
      <w:r w:rsidR="00DB108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23</w:t>
      </w:r>
      <w:r w:rsidR="00DB108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天或</w:t>
      </w:r>
      <w:r w:rsidR="00DB108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5</w:t>
      </w:r>
      <w:r w:rsidR="00DB108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天内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在</w:t>
      </w:r>
      <w:r w:rsidR="00DB108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微量尿液或血清中检测到</w:t>
      </w:r>
      <w:r w:rsidR="00DB108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hCG</w:t>
      </w:r>
      <w:r w:rsidR="00DB108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。其功能包括促进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黄体素的</w:t>
      </w:r>
      <w:r w:rsidR="00DB108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植入以及维持和发展。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该</w:t>
      </w:r>
      <w:r w:rsidR="00DB108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激素浓度大约每</w:t>
      </w:r>
      <w:r w:rsidR="00DB108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2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天翻一倍</w:t>
      </w:r>
      <w:r w:rsidR="00DB108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，在最后一次月经第一天</w:t>
      </w:r>
      <w:r w:rsidR="00DB108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7-12</w:t>
      </w:r>
      <w:r w:rsidR="00DB108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周之间达到峰值，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其中，</w:t>
      </w:r>
      <w:r w:rsidR="00DB108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平均浓度为</w:t>
      </w:r>
      <w:r w:rsidR="00DB108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50</w:t>
      </w:r>
      <w:r w:rsidR="00F06ED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="00DB108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000 mIU / mL</w:t>
      </w:r>
      <w:r w:rsidR="00DB108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据报道，在早期妊娠期间，</w:t>
      </w:r>
      <w:r w:rsidR="00DB108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正常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孕妇</w:t>
      </w:r>
      <w:r w:rsidR="00DB108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中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的</w:t>
      </w:r>
      <w:r w:rsidR="00DB108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浓度高达</w:t>
      </w:r>
      <w:r w:rsidR="00DB108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100</w:t>
      </w:r>
      <w:r w:rsidR="00F06ED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="00DB108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000 mIU / mL</w:t>
      </w:r>
      <w:r w:rsidR="00DB108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。在正常受试者中，尿液中的</w:t>
      </w:r>
      <w:r w:rsidR="00DB108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hCG</w:t>
      </w:r>
      <w:r w:rsidR="00DB108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提供了</w:t>
      </w:r>
      <w:r w:rsidR="000C0A04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妊娠</w:t>
      </w:r>
      <w:r w:rsidR="00DB108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的早期指征。由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hCG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水平的</w:t>
      </w:r>
      <w:r w:rsidR="00DB108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升高也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可能</w:t>
      </w:r>
      <w:r w:rsidR="00DB108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与滋养细胞疾病和某些非滋养细胞性肿瘤相关，所以在进行妊娠诊断之前必须消除患有这些疾病的可能性。（</w:t>
      </w:r>
      <w:r w:rsidR="00DB108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1</w:t>
      </w:r>
      <w:r w:rsidR="00DB108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）（</w:t>
      </w:r>
      <w:r w:rsidR="00DB108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2</w:t>
      </w:r>
      <w:r w:rsidR="00DB108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）</w:t>
      </w:r>
    </w:p>
    <w:p w14:paraId="6640E835" w14:textId="77777777" w:rsidR="00840A98" w:rsidRDefault="00840A98">
      <w:pPr>
        <w:widowControl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/>
          <w:color w:val="000000"/>
          <w:kern w:val="0"/>
          <w:sz w:val="18"/>
          <w:szCs w:val="18"/>
        </w:rPr>
        <w:br w:type="page"/>
      </w:r>
    </w:p>
    <w:p w14:paraId="3B10DE7A" w14:textId="15BBF208" w:rsidR="00D51A4F" w:rsidRPr="00432957" w:rsidRDefault="00D51A4F" w:rsidP="001F3ACF">
      <w:pPr>
        <w:widowControl/>
        <w:snapToGrid w:val="0"/>
        <w:spacing w:before="90" w:after="90" w:line="300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lastRenderedPageBreak/>
        <w:t>HCG</w:t>
      </w:r>
      <w:r w:rsidR="00EC58A2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是一种糖蛋白，其分子量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为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50</w:t>
      </w:r>
      <w:r w:rsidR="00F06ED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000</w:t>
      </w:r>
      <w:r w:rsidR="00EC58A2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道尔顿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每个分子由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18</w:t>
      </w:r>
      <w:r w:rsidR="00F06ED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000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道尔顿的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α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亚基和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32</w:t>
      </w:r>
      <w:r w:rsidR="00F06ED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000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道尔顿的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β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亚基组成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HCG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与其他糖蛋白激素类似</w:t>
      </w:r>
      <w:r w:rsidR="00EC58A2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（例如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促黄体激素（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LH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）</w:t>
      </w:r>
      <w:r w:rsidR="00EC58A2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、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促卵泡激素（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FSH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）和促甲状腺激素（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TSH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）</w:t>
      </w:r>
      <w:r w:rsidR="00EC58A2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），其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由两个亚基</w:t>
      </w:r>
      <w:r w:rsidR="00EC58A2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（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α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β</w:t>
      </w:r>
      <w:r w:rsidR="00EC58A2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）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组成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这些各种糖蛋白激素</w:t>
      </w:r>
      <w:r w:rsidR="00EC58A2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中存在的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α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亚基在结构上非常相似，但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β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亚基在氨基酸序列上不同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="00EC58A2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这些差异</w:t>
      </w:r>
      <w:r w:rsidR="00EC58A2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又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对其生物学和免疫学特异性负责。（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3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）</w:t>
      </w:r>
    </w:p>
    <w:p w14:paraId="0A25637C" w14:textId="3D85D61F" w:rsidR="00D51A4F" w:rsidRPr="00432957" w:rsidRDefault="00D51A4F" w:rsidP="001F3ACF">
      <w:pPr>
        <w:widowControl/>
        <w:snapToGrid w:val="0"/>
        <w:spacing w:before="90" w:after="90" w:line="300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人绒毛膜促性腺激素</w:t>
      </w:r>
      <w:r w:rsidR="000C0A04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可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作为完整分子在具有</w:t>
      </w:r>
      <w:r w:rsidR="000C0A04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简单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妊娠的妇女的血清中</w:t>
      </w:r>
      <w:r w:rsidR="000C0A04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循环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亚基迅速裂开，</w:t>
      </w:r>
      <w:r w:rsidR="000C0A04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并由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肾脏及时清除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因此，尿液含有完整的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hCG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，以及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α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β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亚基</w:t>
      </w:r>
      <w:r w:rsidR="00F06ED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；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然而，只有完整的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hCG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β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亚基在尿液中保留免疫特异性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由于</w:t>
      </w:r>
      <w:r w:rsidR="000C0A04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亚基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的合成</w:t>
      </w:r>
      <w:r w:rsidR="000C0A04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并不平衡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="000C0A04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在滋养细胞疾病患者中，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血清和尿液中完整和亚基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hCG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的相对浓度有很大差异（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4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）</w:t>
      </w:r>
    </w:p>
    <w:p w14:paraId="090744B3" w14:textId="64B8CDBF" w:rsidR="00D51A4F" w:rsidRPr="00432957" w:rsidRDefault="00D51A4F" w:rsidP="001F3ACF">
      <w:pPr>
        <w:widowControl/>
        <w:snapToGrid w:val="0"/>
        <w:spacing w:before="90" w:after="90" w:line="300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现在正式</w:t>
      </w:r>
      <w:r w:rsidR="000C0A04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称为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第三届国际标准（第三版</w:t>
      </w:r>
      <w:r w:rsidR="000C0A04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IS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）的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“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绒毛膜促性腺激素国际参考制剂（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CG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的第一</w:t>
      </w:r>
      <w:r w:rsidR="000C0A04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版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IRP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）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”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仅包含纯完整的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hCG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第二</w:t>
      </w:r>
      <w:r w:rsidR="000C0A04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版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IS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包含完整的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hCG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及其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β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亚基的混合物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第一</w:t>
      </w:r>
      <w:r w:rsidR="000C0A04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版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IRP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也可以</w:t>
      </w:r>
      <w:r w:rsidR="000C0A04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用作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纯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β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亚基和纯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α</w:t>
      </w:r>
      <w:r w:rsidR="000C0A04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亚基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="000C0A04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制造商现在有可能表征和定义其测定对于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完整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hCG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/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或其</w:t>
      </w:r>
      <w:r w:rsidR="000C0A04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亚基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的特异性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由于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hCG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是一个</w:t>
      </w:r>
      <w:r w:rsidR="000C0A04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较为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复杂的分子，所以</w:t>
      </w:r>
      <w:r w:rsidR="000C0A04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无法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通过使用通用标准来获得</w:t>
      </w:r>
      <w:r w:rsidR="000C0A04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在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结果报告</w:t>
      </w:r>
      <w:r w:rsidR="000C0A04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方面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的统一性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不同的免疫测定可</w:t>
      </w:r>
      <w:r w:rsidR="000C0A04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能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使用</w:t>
      </w:r>
      <w:r w:rsidR="000C0A04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可鉴定该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分子的不同成分（表位）的不同抗体。（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5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）</w:t>
      </w:r>
    </w:p>
    <w:p w14:paraId="06FA7085" w14:textId="1A127B49" w:rsidR="00D51A4F" w:rsidRPr="00432957" w:rsidRDefault="00D51A4F" w:rsidP="001F3ACF">
      <w:pPr>
        <w:widowControl/>
        <w:snapToGrid w:val="0"/>
        <w:spacing w:before="90" w:after="90" w:line="300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制造商必须遵守</w:t>
      </w:r>
      <w:r w:rsidR="000C0A04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WHO</w:t>
      </w:r>
      <w:r w:rsidR="000C0A04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就工具盒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标签</w:t>
      </w:r>
      <w:r w:rsidR="000C0A04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制定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的</w:t>
      </w:r>
      <w:r w:rsidR="000C0A04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指南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，并指定测定系统是否</w:t>
      </w:r>
      <w:r w:rsidR="000C0A04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可测量完整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hCG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或亚基，或两者</w:t>
      </w:r>
      <w:r w:rsidR="000C0A04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皆可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这有助于产科医生解释实验室结果。（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6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）</w:t>
      </w:r>
    </w:p>
    <w:p w14:paraId="50BB5E61" w14:textId="77777777" w:rsidR="00EB45D4" w:rsidRPr="00432957" w:rsidRDefault="00EB45D4" w:rsidP="001F3ACF">
      <w:pPr>
        <w:widowControl/>
        <w:snapToGrid w:val="0"/>
        <w:spacing w:line="300" w:lineRule="auto"/>
        <w:outlineLvl w:val="3"/>
        <w:rPr>
          <w:rFonts w:ascii="Arial" w:eastAsia="宋体" w:hAnsi="Arial" w:cs="Arial"/>
          <w:b/>
          <w:bCs/>
          <w:color w:val="000000"/>
          <w:kern w:val="0"/>
          <w:sz w:val="29"/>
          <w:szCs w:val="29"/>
        </w:rPr>
      </w:pPr>
      <w:r w:rsidRPr="00432957">
        <w:rPr>
          <w:rFonts w:ascii="Arial" w:eastAsia="宋体" w:hAnsi="Arial" w:cs="Arial"/>
          <w:b/>
          <w:bCs/>
          <w:color w:val="000000"/>
          <w:kern w:val="0"/>
          <w:sz w:val="29"/>
        </w:rPr>
        <w:t xml:space="preserve">II. </w:t>
      </w:r>
      <w:r w:rsidR="00D51A4F" w:rsidRPr="00432957">
        <w:rPr>
          <w:rFonts w:ascii="Arial" w:eastAsia="宋体" w:hAnsi="Arial" w:cs="Arial"/>
          <w:b/>
          <w:bCs/>
          <w:color w:val="000000"/>
          <w:kern w:val="0"/>
          <w:sz w:val="29"/>
        </w:rPr>
        <w:t>说明</w:t>
      </w:r>
    </w:p>
    <w:p w14:paraId="3F2094B1" w14:textId="77777777" w:rsidR="00EB45D4" w:rsidRPr="00432957" w:rsidRDefault="00D51A4F" w:rsidP="001F3ACF">
      <w:pPr>
        <w:widowControl/>
        <w:numPr>
          <w:ilvl w:val="0"/>
          <w:numId w:val="2"/>
        </w:numPr>
        <w:snapToGrid w:val="0"/>
        <w:spacing w:line="300" w:lineRule="auto"/>
        <w:ind w:left="0" w:firstLine="0"/>
        <w:outlineLvl w:val="4"/>
        <w:rPr>
          <w:rFonts w:ascii="Arial" w:eastAsia="宋体" w:hAnsi="Arial" w:cs="Arial"/>
          <w:b/>
          <w:bCs/>
          <w:color w:val="000000"/>
          <w:kern w:val="0"/>
          <w:sz w:val="20"/>
          <w:szCs w:val="20"/>
        </w:rPr>
      </w:pPr>
      <w:r w:rsidRPr="00432957">
        <w:rPr>
          <w:rFonts w:ascii="Arial" w:eastAsia="宋体" w:hAnsi="Arial" w:cs="Arial"/>
          <w:b/>
          <w:bCs/>
          <w:color w:val="000000"/>
          <w:kern w:val="0"/>
          <w:sz w:val="20"/>
          <w:szCs w:val="20"/>
        </w:rPr>
        <w:t>历史背景</w:t>
      </w:r>
    </w:p>
    <w:p w14:paraId="5A220EA1" w14:textId="2A3DDC0F" w:rsidR="00C262DF" w:rsidRPr="00432957" w:rsidRDefault="00C262DF" w:rsidP="001F3ACF">
      <w:pPr>
        <w:widowControl/>
        <w:snapToGrid w:val="0"/>
        <w:spacing w:before="86" w:after="86" w:line="300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第一个</w:t>
      </w:r>
      <w:r w:rsidR="00545F7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可用于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临床</w:t>
      </w:r>
      <w:r w:rsidR="000A4760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的生物测定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由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Ascheim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（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1927</w:t>
      </w:r>
      <w:r w:rsidR="000A4760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年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）和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Zondek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（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1931</w:t>
      </w:r>
      <w:r w:rsidR="000A4760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年）引入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，其特征在于</w:t>
      </w:r>
      <w:r w:rsidR="000A4760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注射来自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正常孕妇</w:t>
      </w:r>
      <w:r w:rsidR="000A4760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的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尿液后，未成熟小鼠的黄体</w:t>
      </w:r>
      <w:r w:rsidR="000A4760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素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增大</w:t>
      </w:r>
      <w:r w:rsidR="000A4760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并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黄体化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Zondek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指出，当使用来自患有绒毛膜癌或卵巢癌的</w:t>
      </w:r>
      <w:r w:rsidR="000A4760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女性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的尿液或来自具有睾丸肿瘤的男性的尿液时，其</w:t>
      </w:r>
      <w:r w:rsidR="000A4760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产生了类似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结果。</w:t>
      </w:r>
      <w:r w:rsidR="000A4760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在此类测定引入后，研究者进行了</w:t>
      </w:r>
      <w:r w:rsidR="000A4760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Friedman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试验（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1931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年）和非洲爪蟾试验（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Shapiro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1934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年），其中分别</w:t>
      </w:r>
      <w:r w:rsidR="000A4760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在兔子和南非蟾蜍中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使用</w:t>
      </w:r>
      <w:r w:rsidR="000A4760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来自正处于排卵期并具有端点值的孕妇的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尿液。第一</w:t>
      </w:r>
      <w:r w:rsidR="000A4760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个</w:t>
      </w:r>
      <w:r w:rsidR="0061149A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试验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可以在错过</w:t>
      </w:r>
      <w:r w:rsidR="000A4760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一次月经期后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约两个月内确认</w:t>
      </w:r>
      <w:r w:rsidR="000C0A04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妊娠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。（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7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）血细胞凝集和乳胶凝集方法</w:t>
      </w:r>
      <w:r w:rsidR="000A4760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的引入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简化了检测并改善了早期妊娠检测。然而，分析物的</w:t>
      </w:r>
      <w:r w:rsidR="00961280">
        <w:rPr>
          <w:rFonts w:ascii="Arial" w:eastAsia="宋体" w:hAnsi="Arial" w:cs="Arial"/>
          <w:color w:val="000000"/>
          <w:kern w:val="0"/>
          <w:sz w:val="18"/>
          <w:szCs w:val="18"/>
        </w:rPr>
        <w:t>灵敏度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限制在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150-1000 mIU / mL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="000A4760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此后，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生物测定被免疫测定替代，</w:t>
      </w:r>
      <w:r w:rsidR="000A4760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据报道，第一个免疫测定出现于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1960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年。现在可用的敏感放射免疫测定和免疫放射测定（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IRMA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）和酶免疫测定（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EIA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）技术可通过使用高度特异性抗体准确和精确地</w:t>
      </w:r>
      <w:r w:rsidR="000A4760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对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hCG</w:t>
      </w:r>
      <w:r w:rsidR="000A4760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进行定量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。这些</w:t>
      </w:r>
      <w:r w:rsidR="000A4760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测定可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在</w:t>
      </w:r>
      <w:r w:rsidR="000A4760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所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错过的月经期的第一天检测</w:t>
      </w:r>
      <w:r w:rsidR="000A4760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到</w:t>
      </w:r>
      <w:r w:rsidR="000C0A04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妊娠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hCG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的单克隆抗体的开发提供</w:t>
      </w:r>
      <w:r w:rsidR="000A4760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了大量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均质抗体并且提高了</w:t>
      </w:r>
      <w:r w:rsidR="000A4760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该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测定的特异性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（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8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）（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9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）</w:t>
      </w:r>
    </w:p>
    <w:p w14:paraId="57260D0D" w14:textId="77777777" w:rsidR="00840A98" w:rsidRDefault="00840A98">
      <w:pPr>
        <w:widowControl/>
        <w:jc w:val="left"/>
        <w:rPr>
          <w:rFonts w:ascii="Arial" w:eastAsia="宋体" w:hAnsi="Arial" w:cs="Arial"/>
          <w:b/>
          <w:bCs/>
          <w:color w:val="000000"/>
          <w:kern w:val="0"/>
          <w:sz w:val="29"/>
        </w:rPr>
      </w:pPr>
      <w:r>
        <w:rPr>
          <w:rFonts w:ascii="Arial" w:eastAsia="宋体" w:hAnsi="Arial" w:cs="Arial"/>
          <w:b/>
          <w:bCs/>
          <w:color w:val="000000"/>
          <w:kern w:val="0"/>
          <w:sz w:val="29"/>
        </w:rPr>
        <w:br w:type="page"/>
      </w:r>
    </w:p>
    <w:p w14:paraId="6798186B" w14:textId="63192825" w:rsidR="00EB45D4" w:rsidRPr="00432957" w:rsidRDefault="00EB45D4" w:rsidP="001F3ACF">
      <w:pPr>
        <w:widowControl/>
        <w:snapToGrid w:val="0"/>
        <w:spacing w:line="300" w:lineRule="auto"/>
        <w:outlineLvl w:val="3"/>
        <w:rPr>
          <w:rFonts w:ascii="Arial" w:eastAsia="宋体" w:hAnsi="Arial" w:cs="Arial"/>
          <w:b/>
          <w:bCs/>
          <w:color w:val="000000"/>
          <w:kern w:val="0"/>
          <w:sz w:val="29"/>
          <w:szCs w:val="29"/>
        </w:rPr>
      </w:pPr>
      <w:r w:rsidRPr="00432957">
        <w:rPr>
          <w:rFonts w:ascii="Arial" w:eastAsia="宋体" w:hAnsi="Arial" w:cs="Arial"/>
          <w:b/>
          <w:bCs/>
          <w:color w:val="000000"/>
          <w:kern w:val="0"/>
          <w:sz w:val="29"/>
        </w:rPr>
        <w:lastRenderedPageBreak/>
        <w:t xml:space="preserve">III. </w:t>
      </w:r>
      <w:r w:rsidR="00C262DF" w:rsidRPr="00432957">
        <w:rPr>
          <w:rFonts w:ascii="Arial" w:eastAsia="宋体" w:hAnsi="Arial" w:cs="Arial"/>
          <w:b/>
          <w:bCs/>
          <w:color w:val="000000"/>
          <w:kern w:val="0"/>
          <w:sz w:val="29"/>
        </w:rPr>
        <w:t>性能特性</w:t>
      </w:r>
      <w:r w:rsidRPr="00432957">
        <w:rPr>
          <w:rFonts w:ascii="Arial" w:eastAsia="宋体" w:hAnsi="Arial" w:cs="Arial"/>
          <w:b/>
          <w:bCs/>
          <w:color w:val="000000"/>
          <w:kern w:val="0"/>
          <w:sz w:val="29"/>
        </w:rPr>
        <w:t>/</w:t>
      </w:r>
      <w:r w:rsidR="00C262DF" w:rsidRPr="00432957">
        <w:rPr>
          <w:rFonts w:ascii="Arial" w:eastAsia="宋体" w:hAnsi="Arial" w:cs="Arial"/>
          <w:b/>
          <w:bCs/>
          <w:color w:val="000000"/>
          <w:kern w:val="0"/>
          <w:sz w:val="29"/>
        </w:rPr>
        <w:t>实验室评价</w:t>
      </w:r>
    </w:p>
    <w:p w14:paraId="48A80F05" w14:textId="7A9E4D04" w:rsidR="00C262DF" w:rsidRPr="00432957" w:rsidRDefault="00C262DF" w:rsidP="001F3ACF">
      <w:pPr>
        <w:widowControl/>
        <w:snapToGrid w:val="0"/>
        <w:spacing w:before="90" w:after="90" w:line="300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FDA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要求</w:t>
      </w:r>
      <w:r w:rsidR="000C0A04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在</w:t>
      </w:r>
      <w:r w:rsidR="006F5D6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制造商为上市</w:t>
      </w:r>
      <w:r w:rsidR="006F5D6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IVD</w:t>
      </w:r>
      <w:r w:rsidR="006F5D6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而提交的申请中提供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不同类型和数量的数据和统计分析，具体取决于</w:t>
      </w:r>
      <w:r w:rsidR="0061149A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试验</w:t>
      </w:r>
      <w:r w:rsidR="006F5D6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是定量还是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定性测定以及预期用途</w:t>
      </w:r>
      <w:r w:rsidR="006F5D6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的站点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</w:p>
    <w:p w14:paraId="42664B21" w14:textId="7AEF2F60" w:rsidR="00C262DF" w:rsidRPr="00432957" w:rsidRDefault="00C262DF" w:rsidP="001F3ACF">
      <w:pPr>
        <w:widowControl/>
        <w:snapToGrid w:val="0"/>
        <w:spacing w:before="90" w:after="90" w:line="300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必须</w:t>
      </w:r>
      <w:r w:rsidR="006F5D6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针对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所有</w:t>
      </w:r>
      <w:r w:rsidR="006F5D6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要求使用的或存在统计差异的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样本类型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/</w:t>
      </w:r>
      <w:r w:rsidR="006F5D6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基质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证明</w:t>
      </w:r>
      <w:r w:rsidR="006F5D6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性能特性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="006F5D6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样本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和方案：</w:t>
      </w:r>
    </w:p>
    <w:p w14:paraId="2F58D101" w14:textId="43758836" w:rsidR="00C262DF" w:rsidRPr="00432957" w:rsidRDefault="00EB45D4" w:rsidP="001F3ACF">
      <w:pPr>
        <w:widowControl/>
        <w:snapToGrid w:val="0"/>
        <w:spacing w:before="90" w:after="90" w:line="300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¶ </w:t>
      </w:r>
      <w:r w:rsidR="00C262D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应将全血</w:t>
      </w:r>
      <w:r w:rsidR="006F5D6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样本收入</w:t>
      </w:r>
      <w:r w:rsidR="00C262D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有或没有抗凝剂的</w:t>
      </w:r>
      <w:r w:rsidR="006F5D6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适当导管</w:t>
      </w:r>
      <w:r w:rsidR="00C262D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中，</w:t>
      </w:r>
      <w:r w:rsidR="006F5D6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并</w:t>
      </w:r>
      <w:r w:rsidR="00C262D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使其在室温下凝固并</w:t>
      </w:r>
      <w:r w:rsidR="006F5D6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对其进行</w:t>
      </w:r>
      <w:r w:rsidR="00C262D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离心。</w:t>
      </w:r>
      <w:r w:rsidR="006F5D6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在采集</w:t>
      </w:r>
      <w:r w:rsidR="00C262D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后</w:t>
      </w:r>
      <w:r w:rsidR="00C262D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48</w:t>
      </w:r>
      <w:r w:rsidR="00C262D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小时内未</w:t>
      </w:r>
      <w:r w:rsidR="006F5D6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测试</w:t>
      </w:r>
      <w:r w:rsidR="00C262D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的所有</w:t>
      </w:r>
      <w:r w:rsidR="006F5D6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样本</w:t>
      </w:r>
      <w:r w:rsidR="00C262D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应在</w:t>
      </w:r>
      <w:r w:rsidR="00C262D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-20°C</w:t>
      </w:r>
      <w:r w:rsidR="006F5D6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下保存</w:t>
      </w:r>
      <w:r w:rsidR="00C262D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。应避免重复冻融。</w:t>
      </w:r>
      <w:r w:rsidR="006F5D6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出现严重</w:t>
      </w:r>
      <w:r w:rsidR="00C262D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溶血，</w:t>
      </w:r>
      <w:r w:rsidR="006F5D6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严重</w:t>
      </w:r>
      <w:r w:rsidR="00C262D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血脂或浑浊的血清样本可能会</w:t>
      </w:r>
      <w:r w:rsidR="006F5D6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致使产生假性</w:t>
      </w:r>
      <w:r w:rsidR="00C262D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结果。</w:t>
      </w:r>
    </w:p>
    <w:p w14:paraId="06252BA0" w14:textId="31C9284A" w:rsidR="00532FC0" w:rsidRPr="00432957" w:rsidRDefault="00EB45D4" w:rsidP="001F3ACF">
      <w:pPr>
        <w:widowControl/>
        <w:snapToGrid w:val="0"/>
        <w:spacing w:before="90" w:after="90" w:line="300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¶ </w:t>
      </w:r>
      <w:r w:rsidR="00532FC0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推荐使用第一天早晨</w:t>
      </w:r>
      <w:r w:rsidR="006F5D6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的</w:t>
      </w:r>
      <w:r w:rsidR="00532FC0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尿液，因为此时</w:t>
      </w:r>
      <w:r w:rsidR="00532FC0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hCG</w:t>
      </w:r>
      <w:r w:rsidR="00532FC0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浓度最高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="00532FC0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如果</w:t>
      </w:r>
      <w:r w:rsidR="006F5D6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样本</w:t>
      </w:r>
      <w:r w:rsidR="00532FC0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不能立即测定，</w:t>
      </w:r>
      <w:r w:rsidR="006F5D6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则</w:t>
      </w:r>
      <w:r w:rsidR="00532FC0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应在</w:t>
      </w:r>
      <w:r w:rsidR="00532FC0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2-8</w:t>
      </w:r>
      <w:r w:rsidR="00532FC0" w:rsidRPr="00432957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℃</w:t>
      </w:r>
      <w:r w:rsidR="00532FC0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下</w:t>
      </w:r>
      <w:r w:rsidR="006F5D6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存储</w:t>
      </w:r>
      <w:r w:rsidR="00532FC0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48</w:t>
      </w:r>
      <w:r w:rsidR="00532FC0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小时。（</w:t>
      </w:r>
      <w:r w:rsidR="00532FC0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10</w:t>
      </w:r>
      <w:r w:rsidR="00532FC0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）</w:t>
      </w:r>
    </w:p>
    <w:p w14:paraId="417188DC" w14:textId="1C118158" w:rsidR="00532FC0" w:rsidRPr="00432957" w:rsidRDefault="00532FC0" w:rsidP="001F3ACF">
      <w:pPr>
        <w:widowControl/>
        <w:snapToGrid w:val="0"/>
        <w:spacing w:before="90" w:after="90" w:line="300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注意：对于</w:t>
      </w:r>
      <w:r w:rsidR="006F5D6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声明可在一天内的任何时间使用的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定性尿液测定，建议在研究中使用</w:t>
      </w:r>
      <w:r w:rsidR="006F5D6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在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任何时间</w:t>
      </w:r>
      <w:r w:rsidR="006F5D6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采集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的</w:t>
      </w:r>
      <w:r w:rsidR="006F5D6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样本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</w:p>
    <w:p w14:paraId="3B9C39E9" w14:textId="77777777" w:rsidR="00EB45D4" w:rsidRPr="00432957" w:rsidRDefault="00532FC0" w:rsidP="00840A98">
      <w:pPr>
        <w:widowControl/>
        <w:numPr>
          <w:ilvl w:val="0"/>
          <w:numId w:val="3"/>
        </w:numPr>
        <w:tabs>
          <w:tab w:val="clear" w:pos="720"/>
          <w:tab w:val="num" w:pos="378"/>
        </w:tabs>
        <w:snapToGrid w:val="0"/>
        <w:spacing w:line="300" w:lineRule="auto"/>
        <w:ind w:left="0" w:firstLine="0"/>
        <w:outlineLvl w:val="4"/>
        <w:rPr>
          <w:rFonts w:ascii="Arial" w:eastAsia="宋体" w:hAnsi="Arial" w:cs="Arial"/>
          <w:b/>
          <w:bCs/>
          <w:color w:val="000000"/>
          <w:kern w:val="0"/>
          <w:sz w:val="20"/>
          <w:szCs w:val="20"/>
        </w:rPr>
      </w:pPr>
      <w:r w:rsidRPr="00432957">
        <w:rPr>
          <w:rFonts w:ascii="Arial" w:eastAsia="宋体" w:hAnsi="Arial" w:cs="Arial"/>
          <w:b/>
          <w:bCs/>
          <w:color w:val="000000"/>
          <w:kern w:val="0"/>
          <w:sz w:val="20"/>
          <w:szCs w:val="20"/>
        </w:rPr>
        <w:t>比较研究</w:t>
      </w:r>
    </w:p>
    <w:p w14:paraId="73667F40" w14:textId="735914D5" w:rsidR="00EB45D4" w:rsidRPr="00432957" w:rsidRDefault="00532FC0" w:rsidP="006803FB">
      <w:pPr>
        <w:widowControl/>
        <w:numPr>
          <w:ilvl w:val="1"/>
          <w:numId w:val="3"/>
        </w:numPr>
        <w:tabs>
          <w:tab w:val="clear" w:pos="1440"/>
        </w:tabs>
        <w:snapToGrid w:val="0"/>
        <w:spacing w:before="83" w:after="83" w:line="300" w:lineRule="auto"/>
        <w:ind w:left="0" w:firstLine="0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通过</w:t>
      </w:r>
      <w:r w:rsidR="004D661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拟定</w:t>
      </w:r>
      <w:r w:rsidR="0061149A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器械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与当前销售的</w:t>
      </w:r>
      <w:r w:rsidR="0061149A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器械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的相关性确定</w:t>
      </w:r>
      <w:r w:rsidR="004D661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精确性</w:t>
      </w:r>
    </w:p>
    <w:p w14:paraId="3E2CB1C3" w14:textId="77777777" w:rsidR="00EB45D4" w:rsidRPr="00432957" w:rsidRDefault="00532FC0" w:rsidP="001F3ACF">
      <w:pPr>
        <w:widowControl/>
        <w:snapToGrid w:val="0"/>
        <w:spacing w:before="83" w:after="83" w:line="300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临床实验室</w:t>
      </w:r>
    </w:p>
    <w:p w14:paraId="78E6B891" w14:textId="761AE959" w:rsidR="004D661F" w:rsidRPr="00432957" w:rsidRDefault="004D661F" w:rsidP="001F3ACF">
      <w:pPr>
        <w:widowControl/>
        <w:snapToGrid w:val="0"/>
        <w:spacing w:before="83" w:after="83" w:line="300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建议采集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40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个以上的新鲜血清样本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对于定量试验，应纳入在整个测定范围内分布有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hCG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浓度的样本，以及无法检测到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hCG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的样本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对于定性试验，强烈建议纳入阳性和阴性样本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优选情况下</w:t>
      </w:r>
      <w:r w:rsidR="00E22893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hCG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的阳性和阴性样本数量应均匀分布，包括一些接近临界值的样本。</w:t>
      </w:r>
    </w:p>
    <w:p w14:paraId="4CC7ECCD" w14:textId="63D68BBA" w:rsidR="002B517D" w:rsidRPr="00432957" w:rsidRDefault="002B517D" w:rsidP="001F3ACF">
      <w:pPr>
        <w:widowControl/>
        <w:snapToGrid w:val="0"/>
        <w:spacing w:before="83" w:after="83" w:line="300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建议</w:t>
      </w:r>
      <w:r w:rsidR="006F5D6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采集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40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个以上的尿</w:t>
      </w:r>
      <w:r w:rsidR="004D661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液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样</w:t>
      </w:r>
      <w:r w:rsidR="004D661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本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="004D661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优选情况下，应纳入均匀分布的</w:t>
      </w:r>
      <w:r w:rsidR="004D661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hCG</w:t>
      </w:r>
      <w:r w:rsidR="004D661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的阳性和阴性样本数量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FDA</w:t>
      </w:r>
      <w:r w:rsidR="004D661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承认，在使用随机抽样的情况下，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这可能不</w:t>
      </w:r>
      <w:r w:rsidR="004D661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太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可能</w:t>
      </w:r>
      <w:r w:rsidR="004D661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实现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</w:p>
    <w:p w14:paraId="2CD4489E" w14:textId="77777777" w:rsidR="00EB45D4" w:rsidRPr="00432957" w:rsidRDefault="00EB45D4" w:rsidP="001F3ACF">
      <w:pPr>
        <w:widowControl/>
        <w:snapToGrid w:val="0"/>
        <w:spacing w:before="83" w:after="83" w:line="300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POL</w:t>
      </w:r>
    </w:p>
    <w:p w14:paraId="67EA4239" w14:textId="22300105" w:rsidR="004D661F" w:rsidRPr="00432957" w:rsidRDefault="004D661F" w:rsidP="001F3ACF">
      <w:pPr>
        <w:widowControl/>
        <w:snapToGrid w:val="0"/>
        <w:spacing w:before="83" w:after="83" w:line="300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建议在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3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个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POL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位置的每个位置分析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40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个或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40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个以上的样本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如果工具盒使用了一个以上的样本基质，例如血清和尿液，建议总共分析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40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个样本，其中，其含有的每种基质在数量上相同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应考虑纳入数量分布均匀的阳性和阴性样本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应说明实践类型和</w:t>
      </w:r>
      <w:r w:rsidR="00FD242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执行试验的人员（例如医生、护士、临床助理）的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背景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/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培训。</w:t>
      </w:r>
      <w:r w:rsidR="00961280">
        <w:rPr>
          <w:rFonts w:ascii="Arial" w:eastAsia="宋体" w:hAnsi="Arial" w:cs="Arial"/>
          <w:color w:val="000000"/>
          <w:kern w:val="0"/>
          <w:sz w:val="18"/>
          <w:szCs w:val="18"/>
        </w:rPr>
        <w:t>贵公司</w:t>
      </w:r>
      <w:r w:rsidR="00FD242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应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在包装说明书的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“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性能特性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”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部分中</w:t>
      </w:r>
      <w:r w:rsidR="00FD242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提供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此信息。</w:t>
      </w:r>
    </w:p>
    <w:p w14:paraId="1F6A7DF8" w14:textId="3ED6BEE0" w:rsidR="002B517D" w:rsidRPr="00432957" w:rsidRDefault="002B517D" w:rsidP="001F3ACF">
      <w:pPr>
        <w:widowControl/>
        <w:snapToGrid w:val="0"/>
        <w:spacing w:before="83" w:after="83" w:line="300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对于加标</w:t>
      </w:r>
      <w:r w:rsidR="006F5D6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样本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FDA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建议</w:t>
      </w:r>
      <w:r w:rsidR="004D661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纳入接近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敏感度水平（包括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10-20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％以上）</w:t>
      </w:r>
      <w:r w:rsidR="004D661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的</w:t>
      </w:r>
      <w:r w:rsidR="006F5D6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样本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此外，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FDA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要求在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510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（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k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）文件中提供加标</w:t>
      </w:r>
      <w:r w:rsidR="006F5D6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样本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的浓度。</w:t>
      </w:r>
    </w:p>
    <w:p w14:paraId="3ADDF3D0" w14:textId="7C3C94EC" w:rsidR="002B517D" w:rsidRPr="00432957" w:rsidRDefault="004D661F" w:rsidP="00E6483E">
      <w:pPr>
        <w:widowControl/>
        <w:numPr>
          <w:ilvl w:val="1"/>
          <w:numId w:val="3"/>
        </w:numPr>
        <w:tabs>
          <w:tab w:val="clear" w:pos="1440"/>
        </w:tabs>
        <w:snapToGrid w:val="0"/>
        <w:spacing w:before="83" w:after="83" w:line="300" w:lineRule="auto"/>
        <w:ind w:left="0" w:firstLine="0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准确性</w:t>
      </w:r>
      <w:r w:rsidR="002B517D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可以通过适当的稀释和回收研究来确定。</w:t>
      </w:r>
    </w:p>
    <w:p w14:paraId="6FDF4C19" w14:textId="77777777" w:rsidR="002B517D" w:rsidRPr="00432957" w:rsidRDefault="002B517D" w:rsidP="00E6483E">
      <w:pPr>
        <w:widowControl/>
        <w:numPr>
          <w:ilvl w:val="1"/>
          <w:numId w:val="3"/>
        </w:numPr>
        <w:tabs>
          <w:tab w:val="clear" w:pos="1440"/>
        </w:tabs>
        <w:snapToGrid w:val="0"/>
        <w:spacing w:before="83" w:after="83" w:line="300" w:lineRule="auto"/>
        <w:ind w:left="0" w:firstLine="0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数据分析</w:t>
      </w:r>
    </w:p>
    <w:p w14:paraId="75FBE4B5" w14:textId="77777777" w:rsidR="00E6483E" w:rsidRDefault="00E6483E">
      <w:pPr>
        <w:widowControl/>
        <w:jc w:val="left"/>
        <w:rPr>
          <w:rFonts w:ascii="Arial" w:eastAsia="宋体" w:hAnsi="Arial" w:cs="Arial"/>
          <w:b/>
          <w:color w:val="000000"/>
          <w:kern w:val="0"/>
          <w:sz w:val="18"/>
          <w:szCs w:val="18"/>
        </w:rPr>
      </w:pPr>
      <w:r>
        <w:rPr>
          <w:rFonts w:ascii="Arial" w:eastAsia="宋体" w:hAnsi="Arial" w:cs="Arial"/>
          <w:b/>
          <w:color w:val="000000"/>
          <w:kern w:val="0"/>
          <w:sz w:val="18"/>
          <w:szCs w:val="18"/>
        </w:rPr>
        <w:br w:type="page"/>
      </w:r>
    </w:p>
    <w:p w14:paraId="64775D9B" w14:textId="7D851823" w:rsidR="00EB45D4" w:rsidRPr="00E6483E" w:rsidRDefault="002B517D" w:rsidP="001F3ACF">
      <w:pPr>
        <w:widowControl/>
        <w:snapToGrid w:val="0"/>
        <w:spacing w:before="83" w:after="83" w:line="300" w:lineRule="auto"/>
        <w:rPr>
          <w:rFonts w:ascii="Arial" w:eastAsia="宋体" w:hAnsi="Arial" w:cs="Arial"/>
          <w:b/>
          <w:color w:val="000000"/>
          <w:kern w:val="0"/>
          <w:sz w:val="18"/>
          <w:szCs w:val="18"/>
        </w:rPr>
      </w:pPr>
      <w:r w:rsidRPr="00E6483E">
        <w:rPr>
          <w:rFonts w:ascii="Arial" w:eastAsia="宋体" w:hAnsi="Arial" w:cs="Arial"/>
          <w:b/>
          <w:color w:val="000000"/>
          <w:kern w:val="0"/>
          <w:sz w:val="18"/>
          <w:szCs w:val="18"/>
        </w:rPr>
        <w:lastRenderedPageBreak/>
        <w:t>定量</w:t>
      </w:r>
    </w:p>
    <w:p w14:paraId="524EED55" w14:textId="26A3E0EE" w:rsidR="00EB45D4" w:rsidRPr="00432957" w:rsidRDefault="00A339C6" w:rsidP="001F3ACF">
      <w:pPr>
        <w:widowControl/>
        <w:snapToGrid w:val="0"/>
        <w:spacing w:before="83" w:after="83" w:line="300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FDA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建议使用线性回归分析数据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FDA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还建议报告斜率</w:t>
      </w:r>
      <w:r w:rsidR="004D661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、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截距</w:t>
      </w:r>
      <w:r w:rsidR="004D661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、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相关系数和测定范围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="004D661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优选情况下，</w:t>
      </w:r>
      <w:r w:rsidR="00961280">
        <w:rPr>
          <w:rFonts w:ascii="Arial" w:eastAsia="宋体" w:hAnsi="Arial" w:cs="Arial"/>
          <w:color w:val="000000"/>
          <w:kern w:val="0"/>
          <w:sz w:val="18"/>
          <w:szCs w:val="18"/>
        </w:rPr>
        <w:t>贵公司</w:t>
      </w:r>
      <w:r w:rsidR="004D661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应以图片形式呈现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数据。</w:t>
      </w:r>
    </w:p>
    <w:p w14:paraId="38F3B08B" w14:textId="77777777" w:rsidR="00EB45D4" w:rsidRPr="00432957" w:rsidRDefault="00A339C6" w:rsidP="001F3ACF">
      <w:pPr>
        <w:widowControl/>
        <w:snapToGrid w:val="0"/>
        <w:spacing w:before="83" w:after="83" w:line="300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定性</w:t>
      </w:r>
      <w:r w:rsidR="00EB45D4" w:rsidRPr="00432957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/POL</w:t>
      </w:r>
    </w:p>
    <w:p w14:paraId="77C89617" w14:textId="063C44F6" w:rsidR="00EB45D4" w:rsidRPr="00432957" w:rsidRDefault="00A339C6" w:rsidP="001F3ACF">
      <w:pPr>
        <w:widowControl/>
        <w:snapToGrid w:val="0"/>
        <w:spacing w:before="83" w:after="83" w:line="300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数据可以用百分比（％）</w:t>
      </w:r>
      <w:r w:rsidR="00FD242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一致性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表示</w:t>
      </w:r>
      <w:r w:rsidR="00F06ED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；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可以总结来自所有站点的数据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FDA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要求</w:t>
      </w:r>
      <w:r w:rsidR="00FD242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对</w:t>
      </w:r>
      <w:r w:rsidR="006F5D6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样本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类型（例如，来自</w:t>
      </w:r>
      <w:r w:rsidR="000C0A04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妊娠</w:t>
      </w:r>
      <w:r w:rsidR="00FD242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、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非</w:t>
      </w:r>
      <w:r w:rsidR="000C0A04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妊娠</w:t>
      </w:r>
      <w:r w:rsidR="00FD242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、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绝经后个体等的血清</w:t>
      </w:r>
      <w:r w:rsidR="00FD242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、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尿液）</w:t>
      </w:r>
      <w:r w:rsidR="00FD242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进行说明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</w:p>
    <w:p w14:paraId="6532E923" w14:textId="77777777" w:rsidR="00EB45D4" w:rsidRPr="00432957" w:rsidRDefault="00A339C6" w:rsidP="00E6483E">
      <w:pPr>
        <w:widowControl/>
        <w:numPr>
          <w:ilvl w:val="0"/>
          <w:numId w:val="3"/>
        </w:numPr>
        <w:tabs>
          <w:tab w:val="clear" w:pos="720"/>
        </w:tabs>
        <w:snapToGrid w:val="0"/>
        <w:spacing w:line="300" w:lineRule="auto"/>
        <w:ind w:left="0" w:firstLine="0"/>
        <w:outlineLvl w:val="4"/>
        <w:rPr>
          <w:rFonts w:ascii="Arial" w:eastAsia="宋体" w:hAnsi="Arial" w:cs="Arial"/>
          <w:b/>
          <w:bCs/>
          <w:color w:val="000000"/>
          <w:kern w:val="0"/>
          <w:sz w:val="20"/>
          <w:szCs w:val="20"/>
        </w:rPr>
      </w:pPr>
      <w:r w:rsidRPr="00432957">
        <w:rPr>
          <w:rFonts w:ascii="Arial" w:eastAsia="宋体" w:hAnsi="Arial" w:cs="Arial"/>
          <w:b/>
          <w:bCs/>
          <w:color w:val="000000"/>
          <w:kern w:val="0"/>
          <w:sz w:val="20"/>
          <w:szCs w:val="20"/>
        </w:rPr>
        <w:t>特异性</w:t>
      </w:r>
    </w:p>
    <w:p w14:paraId="06E30CFB" w14:textId="77F8C234" w:rsidR="00A339C6" w:rsidRPr="00432957" w:rsidRDefault="00A339C6" w:rsidP="001F3ACF">
      <w:pPr>
        <w:widowControl/>
        <w:snapToGrid w:val="0"/>
        <w:spacing w:before="86" w:after="86" w:line="300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建议对具有高生理浓度的黄体生成激素（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LH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）</w:t>
      </w:r>
      <w:r w:rsidR="00FD242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、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促卵泡激素（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FSH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）和促甲状腺激素（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TSH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））的</w:t>
      </w:r>
      <w:r w:rsidR="006F5D6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样本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进行特异性研究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高水平的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LH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不应与所用的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hCG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抗体</w:t>
      </w:r>
      <w:r w:rsidR="00FD242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产生显著的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交叉反应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="00961280">
        <w:rPr>
          <w:rFonts w:ascii="Arial" w:eastAsia="宋体" w:hAnsi="Arial" w:cs="Arial"/>
          <w:color w:val="000000"/>
          <w:kern w:val="0"/>
          <w:sz w:val="18"/>
          <w:szCs w:val="18"/>
        </w:rPr>
        <w:t>贵公司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也可以用</w:t>
      </w:r>
      <w:r w:rsidR="00FD2421" w:rsidRPr="00432957">
        <w:rPr>
          <w:rFonts w:ascii="Arial" w:eastAsia="宋体" w:hAnsi="Arial" w:cs="Arial"/>
          <w:color w:val="313131"/>
          <w:sz w:val="18"/>
          <w:szCs w:val="18"/>
        </w:rPr>
        <w:t>人胎盘催乳激素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（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hPL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）和人生长激素（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hGH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）</w:t>
      </w:r>
      <w:r w:rsidR="00FD242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来进行类似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研究。可能需要</w:t>
      </w:r>
      <w:r w:rsidR="00FD242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对</w:t>
      </w:r>
      <w:r w:rsidR="006F5D6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样本</w:t>
      </w:r>
      <w:r w:rsidR="00FD242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进行加标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</w:p>
    <w:p w14:paraId="4F75A278" w14:textId="77777777" w:rsidR="00EB45D4" w:rsidRPr="00432957" w:rsidRDefault="00A339C6" w:rsidP="00E6483E">
      <w:pPr>
        <w:widowControl/>
        <w:numPr>
          <w:ilvl w:val="0"/>
          <w:numId w:val="3"/>
        </w:numPr>
        <w:tabs>
          <w:tab w:val="clear" w:pos="720"/>
        </w:tabs>
        <w:snapToGrid w:val="0"/>
        <w:spacing w:line="300" w:lineRule="auto"/>
        <w:ind w:left="0" w:firstLine="0"/>
        <w:outlineLvl w:val="4"/>
        <w:rPr>
          <w:rFonts w:ascii="Arial" w:eastAsia="宋体" w:hAnsi="Arial" w:cs="Arial"/>
          <w:b/>
          <w:bCs/>
          <w:color w:val="000000"/>
          <w:kern w:val="0"/>
          <w:sz w:val="20"/>
          <w:szCs w:val="20"/>
        </w:rPr>
      </w:pPr>
      <w:r w:rsidRPr="00432957">
        <w:rPr>
          <w:rFonts w:ascii="Arial" w:eastAsia="宋体" w:hAnsi="Arial" w:cs="Arial"/>
          <w:b/>
          <w:bCs/>
          <w:color w:val="000000"/>
          <w:kern w:val="0"/>
          <w:sz w:val="20"/>
          <w:szCs w:val="20"/>
        </w:rPr>
        <w:t>干扰物质</w:t>
      </w:r>
    </w:p>
    <w:p w14:paraId="2360A170" w14:textId="5E4E8034" w:rsidR="00A339C6" w:rsidRPr="00432957" w:rsidRDefault="00A339C6" w:rsidP="001F3ACF">
      <w:pPr>
        <w:widowControl/>
        <w:snapToGrid w:val="0"/>
        <w:spacing w:before="86" w:after="86" w:line="300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建议使用处方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/ OTC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药物</w:t>
      </w:r>
      <w:r w:rsidR="00FD242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、水平升高的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尿</w:t>
      </w:r>
      <w:r w:rsidR="00FD242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液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/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血清分析物（例如葡萄糖</w:t>
      </w:r>
      <w:r w:rsidR="00FD242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、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蛋白质</w:t>
      </w:r>
      <w:r w:rsidR="00FD242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、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白蛋白</w:t>
      </w:r>
      <w:r w:rsidR="00FD242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、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胆红素</w:t>
      </w:r>
      <w:r w:rsidR="00FD242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、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血红蛋白）和尿液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pH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进行干扰研究。</w:t>
      </w:r>
    </w:p>
    <w:p w14:paraId="4D1E0766" w14:textId="1D3F4A7D" w:rsidR="00EB45D4" w:rsidRPr="00432957" w:rsidRDefault="00961280" w:rsidP="00E6483E">
      <w:pPr>
        <w:widowControl/>
        <w:numPr>
          <w:ilvl w:val="0"/>
          <w:numId w:val="3"/>
        </w:numPr>
        <w:tabs>
          <w:tab w:val="clear" w:pos="720"/>
        </w:tabs>
        <w:snapToGrid w:val="0"/>
        <w:spacing w:line="300" w:lineRule="auto"/>
        <w:ind w:left="0" w:firstLine="0"/>
        <w:outlineLvl w:val="4"/>
        <w:rPr>
          <w:rFonts w:ascii="Arial" w:eastAsia="宋体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eastAsia="宋体" w:hAnsi="Arial" w:cs="Arial"/>
          <w:b/>
          <w:bCs/>
          <w:color w:val="000000"/>
          <w:kern w:val="0"/>
          <w:sz w:val="20"/>
          <w:szCs w:val="20"/>
        </w:rPr>
        <w:t>灵敏度</w:t>
      </w:r>
      <w:r w:rsidR="00EB45D4" w:rsidRPr="00432957">
        <w:rPr>
          <w:rFonts w:ascii="Arial" w:eastAsia="宋体" w:hAnsi="Arial" w:cs="Arial"/>
          <w:b/>
          <w:bCs/>
          <w:color w:val="000000"/>
          <w:kern w:val="0"/>
          <w:sz w:val="20"/>
          <w:szCs w:val="20"/>
        </w:rPr>
        <w:t>/</w:t>
      </w:r>
      <w:r w:rsidR="00A339C6" w:rsidRPr="00432957">
        <w:rPr>
          <w:rFonts w:ascii="Arial" w:eastAsia="宋体" w:hAnsi="Arial" w:cs="Arial"/>
          <w:b/>
          <w:bCs/>
          <w:color w:val="000000"/>
          <w:kern w:val="0"/>
          <w:sz w:val="20"/>
          <w:szCs w:val="20"/>
        </w:rPr>
        <w:t>检测限</w:t>
      </w:r>
    </w:p>
    <w:p w14:paraId="140EB95C" w14:textId="20197228" w:rsidR="00EB45D4" w:rsidRPr="00432957" w:rsidRDefault="00A339C6" w:rsidP="001F3ACF">
      <w:pPr>
        <w:widowControl/>
        <w:snapToGrid w:val="0"/>
        <w:spacing w:before="86" w:after="86" w:line="300" w:lineRule="auto"/>
        <w:rPr>
          <w:rFonts w:ascii="Arial" w:eastAsia="宋体" w:hAnsi="Arial" w:cs="Arial"/>
        </w:rPr>
      </w:pPr>
      <w:r w:rsidRPr="00432957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定量</w:t>
      </w:r>
      <w:r w:rsidR="00AB2188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：</w:t>
      </w:r>
      <w:r w:rsidR="00961280">
        <w:rPr>
          <w:rFonts w:ascii="Arial" w:eastAsia="宋体" w:hAnsi="Arial" w:cs="Arial"/>
          <w:color w:val="000000"/>
          <w:kern w:val="0"/>
          <w:sz w:val="18"/>
          <w:szCs w:val="18"/>
        </w:rPr>
        <w:t>灵敏度</w:t>
      </w:r>
      <w:r w:rsidR="008C168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/</w:t>
      </w:r>
      <w:r w:rsidR="008C168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检测极限是最小的单一结果，其具有所述概率（标称为</w:t>
      </w:r>
      <w:r w:rsidR="008C168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95</w:t>
      </w:r>
      <w:r w:rsidR="008C168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％），</w:t>
      </w:r>
      <w:r w:rsidR="00FD242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并</w:t>
      </w:r>
      <w:r w:rsidR="008C168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可以与</w:t>
      </w:r>
      <w:r w:rsidR="00FD242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适当</w:t>
      </w:r>
      <w:r w:rsidR="008C168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空白区分开</w:t>
      </w:r>
      <w:r w:rsidR="00FD242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来</w:t>
      </w:r>
      <w:r w:rsidR="008C168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。基于</w:t>
      </w:r>
      <w:r w:rsidR="008C168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20</w:t>
      </w:r>
      <w:r w:rsidR="008C168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次连续重复</w:t>
      </w:r>
      <w:r w:rsidR="0061149A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试验</w:t>
      </w:r>
      <w:r w:rsidR="008C168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，将其定义为</w:t>
      </w:r>
      <w:r w:rsidR="00FD242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适当</w:t>
      </w:r>
      <w:r w:rsidR="008C168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空白的标准偏差的两倍，例如零标准。</w:t>
      </w:r>
    </w:p>
    <w:p w14:paraId="1A4EF360" w14:textId="44E94D8F" w:rsidR="00FD2421" w:rsidRPr="00432957" w:rsidRDefault="00A339C6" w:rsidP="001F3ACF">
      <w:pPr>
        <w:widowControl/>
        <w:snapToGrid w:val="0"/>
        <w:spacing w:before="86" w:after="86" w:line="300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定性</w:t>
      </w:r>
      <w:r w:rsidR="00AB2188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：</w:t>
      </w:r>
      <w:r w:rsidR="00961280">
        <w:rPr>
          <w:rFonts w:ascii="Arial" w:eastAsia="宋体" w:hAnsi="Arial" w:cs="Arial"/>
          <w:color w:val="000000"/>
          <w:kern w:val="0"/>
          <w:sz w:val="18"/>
          <w:szCs w:val="18"/>
        </w:rPr>
        <w:t>灵敏度</w:t>
      </w:r>
      <w:r w:rsidR="00FD242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/</w:t>
      </w:r>
      <w:r w:rsidR="00FD242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检测限是试验结果</w:t>
      </w:r>
      <w:r w:rsidR="00FD242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95</w:t>
      </w:r>
      <w:r w:rsidR="00FD242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％（％）阳性时的分析物浓度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="00FD242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测定</w:t>
      </w:r>
      <w:r w:rsidR="00961280">
        <w:rPr>
          <w:rFonts w:ascii="Arial" w:eastAsia="宋体" w:hAnsi="Arial" w:cs="Arial"/>
          <w:color w:val="000000"/>
          <w:kern w:val="0"/>
          <w:sz w:val="18"/>
          <w:szCs w:val="18"/>
        </w:rPr>
        <w:t>灵敏度</w:t>
      </w:r>
      <w:r w:rsidR="00FD242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应为当</w:t>
      </w:r>
      <w:r w:rsidR="00FD242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hCG</w:t>
      </w:r>
      <w:r w:rsidR="00FD242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以小量形式存在时其仍可以被检测到，而由于存在</w:t>
      </w:r>
      <w:r w:rsidR="00FD242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LH</w:t>
      </w:r>
      <w:r w:rsidR="00FD242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，假阳性结果将被最小化。（</w:t>
      </w:r>
      <w:r w:rsidR="00FD242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2</w:t>
      </w:r>
      <w:r w:rsidR="00FD242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）此外，预期</w:t>
      </w:r>
      <w:r w:rsidR="00FD242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95</w:t>
      </w:r>
      <w:r w:rsidR="00FD242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％将在规定的时间内进行反应。</w:t>
      </w:r>
    </w:p>
    <w:p w14:paraId="0588211D" w14:textId="5AD8959E" w:rsidR="008C1681" w:rsidRPr="00432957" w:rsidRDefault="00961280" w:rsidP="001F3ACF">
      <w:pPr>
        <w:widowControl/>
        <w:snapToGrid w:val="0"/>
        <w:spacing w:before="86" w:after="86" w:line="300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/>
          <w:color w:val="000000"/>
          <w:kern w:val="0"/>
          <w:sz w:val="18"/>
          <w:szCs w:val="18"/>
        </w:rPr>
        <w:t>灵敏度</w:t>
      </w:r>
      <w:r w:rsidR="008C168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可以通过</w:t>
      </w:r>
      <w:r w:rsidR="00FD242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以所述</w:t>
      </w:r>
      <w:r>
        <w:rPr>
          <w:rFonts w:ascii="Arial" w:eastAsia="宋体" w:hAnsi="Arial" w:cs="Arial"/>
          <w:color w:val="000000"/>
          <w:kern w:val="0"/>
          <w:sz w:val="18"/>
          <w:szCs w:val="18"/>
        </w:rPr>
        <w:t>灵敏度</w:t>
      </w:r>
      <w:r w:rsidR="00FD242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和高于所述</w:t>
      </w:r>
      <w:r>
        <w:rPr>
          <w:rFonts w:ascii="Arial" w:eastAsia="宋体" w:hAnsi="Arial" w:cs="Arial"/>
          <w:color w:val="000000"/>
          <w:kern w:val="0"/>
          <w:sz w:val="18"/>
          <w:szCs w:val="18"/>
        </w:rPr>
        <w:t>灵敏度</w:t>
      </w:r>
      <w:r w:rsidR="00FD242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对来自</w:t>
      </w:r>
      <w:r w:rsidR="008C168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正常</w:t>
      </w:r>
      <w:r w:rsidR="00FD242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、</w:t>
      </w:r>
      <w:r w:rsidR="008C168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非妊娠女性或</w:t>
      </w:r>
      <w:r w:rsidR="00FD242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男性（其</w:t>
      </w:r>
      <w:r w:rsidR="008C168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具有五种不同浓度的</w:t>
      </w:r>
      <w:r w:rsidR="008C168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hCG</w:t>
      </w:r>
      <w:r w:rsidR="00FD242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，如下所述）的</w:t>
      </w:r>
      <w:r w:rsidR="008C168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至少</w:t>
      </w:r>
      <w:r w:rsidR="008C168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20</w:t>
      </w:r>
      <w:r w:rsidR="008C168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个临床</w:t>
      </w:r>
      <w:r w:rsidR="006F5D6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样本</w:t>
      </w:r>
      <w:r w:rsidR="00FD242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加标以</w:t>
      </w:r>
      <w:r w:rsidR="008C168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进行</w:t>
      </w:r>
      <w:r w:rsidR="00FD242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评价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="008C168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例如，</w:t>
      </w:r>
      <w:r w:rsidR="00E71659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将</w:t>
      </w:r>
      <w:r w:rsidR="008C168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0</w:t>
      </w:r>
      <w:r w:rsidR="00F06ED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="008C168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20</w:t>
      </w:r>
      <w:r w:rsidR="00F06ED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="008C168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25</w:t>
      </w:r>
      <w:r w:rsidR="00F06ED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="008C168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50</w:t>
      </w:r>
      <w:r w:rsidR="00F06ED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="008C168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100</w:t>
      </w:r>
      <w:r w:rsidR="00F06ED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="008C168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100IU / mL</w:t>
      </w:r>
      <w:r w:rsidR="00E71659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用于</w:t>
      </w:r>
      <w:r w:rsidR="008C168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检测限为</w:t>
      </w:r>
      <w:r w:rsidR="008C168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25mIU / mL</w:t>
      </w:r>
      <w:r w:rsidR="008C168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的</w:t>
      </w:r>
      <w:r w:rsidR="004D661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工具盒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="008C168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FDA</w:t>
      </w:r>
      <w:r w:rsidR="008C168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要求为</w:t>
      </w:r>
      <w:r w:rsidR="008C168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510</w:t>
      </w:r>
      <w:r w:rsidR="008C168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（</w:t>
      </w:r>
      <w:r w:rsidR="008C168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k</w:t>
      </w:r>
      <w:r w:rsidR="008C168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）文件提供</w:t>
      </w:r>
      <w:r w:rsidR="0061149A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试验</w:t>
      </w:r>
      <w:r w:rsidR="008C1681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浓度。</w:t>
      </w:r>
    </w:p>
    <w:p w14:paraId="526B1AB1" w14:textId="34E78CD0" w:rsidR="00EB45D4" w:rsidRPr="00432957" w:rsidRDefault="008C1681" w:rsidP="00E6483E">
      <w:pPr>
        <w:widowControl/>
        <w:numPr>
          <w:ilvl w:val="0"/>
          <w:numId w:val="3"/>
        </w:numPr>
        <w:tabs>
          <w:tab w:val="clear" w:pos="720"/>
        </w:tabs>
        <w:snapToGrid w:val="0"/>
        <w:spacing w:line="300" w:lineRule="auto"/>
        <w:ind w:left="0" w:firstLine="0"/>
        <w:outlineLvl w:val="4"/>
        <w:rPr>
          <w:rFonts w:ascii="Arial" w:eastAsia="宋体" w:hAnsi="Arial" w:cs="Arial"/>
          <w:b/>
          <w:bCs/>
          <w:color w:val="000000"/>
          <w:kern w:val="0"/>
          <w:sz w:val="20"/>
          <w:szCs w:val="20"/>
        </w:rPr>
      </w:pPr>
      <w:r w:rsidRPr="00432957">
        <w:rPr>
          <w:rFonts w:ascii="Arial" w:eastAsia="宋体" w:hAnsi="Arial" w:cs="Arial"/>
          <w:b/>
          <w:bCs/>
          <w:color w:val="000000"/>
          <w:kern w:val="0"/>
          <w:sz w:val="20"/>
          <w:szCs w:val="20"/>
        </w:rPr>
        <w:t>不精确</w:t>
      </w:r>
      <w:r w:rsidR="00E71659" w:rsidRPr="00432957">
        <w:rPr>
          <w:rFonts w:ascii="Arial" w:eastAsia="宋体" w:hAnsi="Arial" w:cs="Arial"/>
          <w:b/>
          <w:bCs/>
          <w:color w:val="000000"/>
          <w:kern w:val="0"/>
          <w:sz w:val="20"/>
          <w:szCs w:val="20"/>
        </w:rPr>
        <w:t>性</w:t>
      </w:r>
      <w:r w:rsidRPr="00432957">
        <w:rPr>
          <w:rFonts w:ascii="Arial" w:eastAsia="宋体" w:hAnsi="Arial" w:cs="Arial"/>
          <w:b/>
          <w:bCs/>
          <w:color w:val="000000"/>
          <w:kern w:val="0"/>
          <w:sz w:val="20"/>
          <w:szCs w:val="20"/>
        </w:rPr>
        <w:t>研究（定量）</w:t>
      </w:r>
    </w:p>
    <w:p w14:paraId="2D21B097" w14:textId="18742888" w:rsidR="008C1681" w:rsidRPr="00432957" w:rsidRDefault="008C1681" w:rsidP="001F3ACF">
      <w:pPr>
        <w:widowControl/>
        <w:snapToGrid w:val="0"/>
        <w:spacing w:before="86" w:after="86" w:line="300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FDA</w:t>
      </w:r>
      <w:r w:rsidR="00E71659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建议，在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评</w:t>
      </w:r>
      <w:r w:rsidR="00E71659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价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不精确</w:t>
      </w:r>
      <w:r w:rsidR="00E71659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性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时，</w:t>
      </w:r>
      <w:r w:rsidR="00E71659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应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遵循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NCCLS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指南（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EP5-T2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）或其他科学有效的</w:t>
      </w:r>
      <w:r w:rsidR="006F5D6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方案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</w:p>
    <w:p w14:paraId="00804A1B" w14:textId="48E7F1CF" w:rsidR="008C1681" w:rsidRPr="00432957" w:rsidRDefault="008C1681" w:rsidP="001F3ACF">
      <w:pPr>
        <w:widowControl/>
        <w:snapToGrid w:val="0"/>
        <w:spacing w:before="86" w:after="86" w:line="300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运行</w:t>
      </w:r>
      <w:r w:rsidR="00E71659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内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和总</w:t>
      </w:r>
      <w:r w:rsidR="00E71659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精确性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数据应分别归纳总结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FDA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建议在包装</w:t>
      </w:r>
      <w:r w:rsidR="0061149A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说明书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的</w:t>
      </w:r>
      <w:r w:rsidR="006F5D6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性能特性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部分中报告每个</w:t>
      </w:r>
      <w:r w:rsidR="006F5D6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样本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水平的测定运行次数</w:t>
      </w:r>
      <w:r w:rsidR="00E71659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、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平均值</w:t>
      </w:r>
      <w:r w:rsidR="00E71659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、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标准偏差和变异系数（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CV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）。</w:t>
      </w:r>
    </w:p>
    <w:p w14:paraId="54A7AF98" w14:textId="77777777" w:rsidR="00EB45D4" w:rsidRPr="00432957" w:rsidRDefault="008C1681" w:rsidP="00E6483E">
      <w:pPr>
        <w:widowControl/>
        <w:numPr>
          <w:ilvl w:val="0"/>
          <w:numId w:val="3"/>
        </w:numPr>
        <w:tabs>
          <w:tab w:val="clear" w:pos="720"/>
        </w:tabs>
        <w:snapToGrid w:val="0"/>
        <w:spacing w:line="300" w:lineRule="auto"/>
        <w:ind w:left="0" w:firstLine="0"/>
        <w:outlineLvl w:val="4"/>
        <w:rPr>
          <w:rFonts w:ascii="Arial" w:eastAsia="宋体" w:hAnsi="Arial" w:cs="Arial"/>
          <w:b/>
          <w:bCs/>
          <w:color w:val="000000"/>
          <w:kern w:val="0"/>
          <w:sz w:val="20"/>
          <w:szCs w:val="20"/>
        </w:rPr>
      </w:pPr>
      <w:r w:rsidRPr="00432957">
        <w:rPr>
          <w:rFonts w:ascii="Arial" w:eastAsia="宋体" w:hAnsi="Arial" w:cs="Arial"/>
          <w:b/>
          <w:bCs/>
          <w:color w:val="000000"/>
          <w:kern w:val="0"/>
          <w:sz w:val="20"/>
          <w:szCs w:val="20"/>
        </w:rPr>
        <w:t>预期值</w:t>
      </w:r>
    </w:p>
    <w:p w14:paraId="188520C6" w14:textId="5886CF72" w:rsidR="008C1681" w:rsidRPr="00432957" w:rsidRDefault="008C1681" w:rsidP="001F3ACF">
      <w:pPr>
        <w:widowControl/>
        <w:snapToGrid w:val="0"/>
        <w:spacing w:before="86" w:after="86" w:line="300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制造商可以声明，该</w:t>
      </w:r>
      <w:r w:rsidR="0061149A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试验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能够以与</w:t>
      </w:r>
      <w:r w:rsidR="00E71659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所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错过</w:t>
      </w:r>
      <w:r w:rsidR="00E71659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月经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期的第一天相同的水平检测</w:t>
      </w:r>
      <w:r w:rsidR="000C0A04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妊娠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，并且</w:t>
      </w:r>
      <w:r w:rsidR="00E71659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除非得到临床数据确认，一般不得早于该日期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制造商还可以讨论不同的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hCG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水平，例如</w:t>
      </w:r>
      <w:r w:rsidR="00E71659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无法检测的水平、</w:t>
      </w:r>
      <w:r w:rsidR="000C0A04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妊娠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和植入后</w:t>
      </w:r>
      <w:r w:rsidR="00E71659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的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水平</w:t>
      </w:r>
      <w:r w:rsidR="00E71659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、早期妊娠期间的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水平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应根据需要提供参考。</w:t>
      </w:r>
    </w:p>
    <w:p w14:paraId="46470CF8" w14:textId="77777777" w:rsidR="00EB45D4" w:rsidRPr="00432957" w:rsidRDefault="008C1681" w:rsidP="00E6483E">
      <w:pPr>
        <w:widowControl/>
        <w:numPr>
          <w:ilvl w:val="0"/>
          <w:numId w:val="3"/>
        </w:numPr>
        <w:tabs>
          <w:tab w:val="clear" w:pos="720"/>
        </w:tabs>
        <w:snapToGrid w:val="0"/>
        <w:spacing w:line="300" w:lineRule="auto"/>
        <w:ind w:left="0" w:firstLine="0"/>
        <w:outlineLvl w:val="4"/>
        <w:rPr>
          <w:rFonts w:ascii="Arial" w:eastAsia="宋体" w:hAnsi="Arial" w:cs="Arial"/>
          <w:b/>
          <w:bCs/>
          <w:color w:val="000000"/>
          <w:kern w:val="0"/>
          <w:sz w:val="20"/>
          <w:szCs w:val="20"/>
        </w:rPr>
      </w:pPr>
      <w:r w:rsidRPr="00432957">
        <w:rPr>
          <w:rFonts w:ascii="Arial" w:eastAsia="宋体" w:hAnsi="Arial" w:cs="Arial"/>
          <w:b/>
          <w:bCs/>
          <w:color w:val="000000"/>
          <w:kern w:val="0"/>
          <w:sz w:val="20"/>
          <w:szCs w:val="20"/>
        </w:rPr>
        <w:t>校准</w:t>
      </w:r>
    </w:p>
    <w:p w14:paraId="7C83BBBD" w14:textId="02B3123C" w:rsidR="001406CC" w:rsidRDefault="00A45936" w:rsidP="001F3ACF">
      <w:pPr>
        <w:widowControl/>
        <w:snapToGrid w:val="0"/>
        <w:spacing w:before="86" w:after="86" w:line="300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标准或</w:t>
      </w:r>
      <w:r w:rsidR="0061149A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试验</w:t>
      </w:r>
      <w:r w:rsidR="00E71659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参照校准的、有关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hCG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（第一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IRP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，第二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IS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或第三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IS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）的参考资料的来源应在包装说明</w:t>
      </w:r>
      <w:r w:rsidR="00E71659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术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中说明。</w:t>
      </w:r>
    </w:p>
    <w:p w14:paraId="2ACF2CE3" w14:textId="77777777" w:rsidR="001406CC" w:rsidRDefault="001406CC">
      <w:pPr>
        <w:widowControl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/>
          <w:color w:val="000000"/>
          <w:kern w:val="0"/>
          <w:sz w:val="18"/>
          <w:szCs w:val="18"/>
        </w:rPr>
        <w:br w:type="page"/>
      </w:r>
    </w:p>
    <w:p w14:paraId="64C62D55" w14:textId="77777777" w:rsidR="00EB45D4" w:rsidRPr="00432957" w:rsidRDefault="00A45936" w:rsidP="00E6483E">
      <w:pPr>
        <w:widowControl/>
        <w:numPr>
          <w:ilvl w:val="0"/>
          <w:numId w:val="3"/>
        </w:numPr>
        <w:tabs>
          <w:tab w:val="clear" w:pos="720"/>
        </w:tabs>
        <w:snapToGrid w:val="0"/>
        <w:spacing w:line="300" w:lineRule="auto"/>
        <w:ind w:left="0" w:firstLine="0"/>
        <w:outlineLvl w:val="4"/>
        <w:rPr>
          <w:rFonts w:ascii="Arial" w:eastAsia="宋体" w:hAnsi="Arial" w:cs="Arial"/>
          <w:b/>
          <w:bCs/>
          <w:color w:val="000000"/>
          <w:kern w:val="0"/>
          <w:sz w:val="20"/>
          <w:szCs w:val="20"/>
        </w:rPr>
      </w:pPr>
      <w:r w:rsidRPr="00432957">
        <w:rPr>
          <w:rFonts w:ascii="Arial" w:eastAsia="宋体" w:hAnsi="Arial" w:cs="Arial"/>
          <w:b/>
          <w:bCs/>
          <w:color w:val="000000"/>
          <w:kern w:val="0"/>
          <w:sz w:val="20"/>
          <w:szCs w:val="20"/>
        </w:rPr>
        <w:lastRenderedPageBreak/>
        <w:t>质量控制</w:t>
      </w:r>
    </w:p>
    <w:p w14:paraId="48EF613F" w14:textId="41F0A2FE" w:rsidR="00E71659" w:rsidRPr="00432957" w:rsidRDefault="00E71659" w:rsidP="001F3ACF">
      <w:pPr>
        <w:widowControl/>
        <w:snapToGrid w:val="0"/>
        <w:spacing w:before="86" w:after="86" w:line="300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随器械提供或推荐使用的测定质量控制（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QC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）材料应说明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hCG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的水平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建议定性测定使用的阳性质量控制材料应接近测定的所述</w:t>
      </w:r>
      <w:r w:rsidR="00961280">
        <w:rPr>
          <w:rFonts w:ascii="Arial" w:eastAsia="宋体" w:hAnsi="Arial" w:cs="Arial"/>
          <w:color w:val="000000"/>
          <w:kern w:val="0"/>
          <w:sz w:val="18"/>
          <w:szCs w:val="18"/>
        </w:rPr>
        <w:t>灵敏度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，以帮助解释弱阳性结果。</w:t>
      </w:r>
    </w:p>
    <w:p w14:paraId="77F5CC38" w14:textId="3A64B487" w:rsidR="00A45936" w:rsidRPr="00432957" w:rsidRDefault="00E71659" w:rsidP="001F3ACF">
      <w:pPr>
        <w:widowControl/>
        <w:snapToGrid w:val="0"/>
        <w:spacing w:before="86" w:after="86" w:line="300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说明书</w:t>
      </w:r>
      <w:r w:rsidR="00A4593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不应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就</w:t>
      </w:r>
      <w:r w:rsidR="00A4593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外部质量控制样本的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使用</w:t>
      </w:r>
      <w:r w:rsidR="00A4593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频率的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提供</w:t>
      </w:r>
      <w:r w:rsidR="00A4593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具体建议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="00A4593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这一决定应由实验室酌情决定，以符合其当地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、</w:t>
      </w:r>
      <w:r w:rsidR="00A4593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州和</w:t>
      </w:r>
      <w:r w:rsidR="00A4593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/</w:t>
      </w:r>
      <w:r w:rsidR="00A4593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或联邦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的</w:t>
      </w:r>
      <w:r w:rsidR="00A4593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认证要求。</w:t>
      </w:r>
    </w:p>
    <w:p w14:paraId="444293B5" w14:textId="5EEF12F3" w:rsidR="00E71659" w:rsidRPr="00432957" w:rsidRDefault="00E71659" w:rsidP="001F3ACF">
      <w:pPr>
        <w:widowControl/>
        <w:snapToGrid w:val="0"/>
        <w:spacing w:before="86" w:after="86" w:line="300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适当时，制造商可以推荐使用特定器械设计组件的频率（例如，用于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QC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检查的频率）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如果做出了这些建议，则应清楚表明，这些频率应该仅适用于对器械功能本身的评估，且无法用于评价试验的总体分析性能。这些建议应附有明确的免责声明，</w:t>
      </w:r>
      <w:r w:rsidR="00F06ED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以表明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QC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要求应符合当地</w:t>
      </w:r>
      <w:r w:rsidR="00F06ED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、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州和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/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或联邦</w:t>
      </w:r>
      <w:r w:rsidR="00F06ED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的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认证要求。</w:t>
      </w:r>
    </w:p>
    <w:p w14:paraId="43AF1153" w14:textId="7CF53C26" w:rsidR="00A45936" w:rsidRPr="00432957" w:rsidRDefault="00A45936" w:rsidP="001F3ACF">
      <w:pPr>
        <w:widowControl/>
        <w:snapToGrid w:val="0"/>
        <w:spacing w:before="86" w:after="86" w:line="300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还建议在包装</w:t>
      </w:r>
      <w:r w:rsidR="00E71659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说明书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中</w:t>
      </w:r>
      <w:r w:rsidR="00E71659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提供有关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无效结果的操作说明。</w:t>
      </w:r>
    </w:p>
    <w:p w14:paraId="2E3875A5" w14:textId="47A9C6E2" w:rsidR="00A45936" w:rsidRPr="00432957" w:rsidRDefault="00A45936" w:rsidP="001F3ACF">
      <w:pPr>
        <w:widowControl/>
        <w:snapToGrid w:val="0"/>
        <w:spacing w:before="86" w:after="86" w:line="300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另外，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510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（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k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）文件要求</w:t>
      </w:r>
      <w:r w:rsidR="00E71659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提供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参考线的</w:t>
      </w:r>
      <w:r w:rsidR="00961280">
        <w:rPr>
          <w:rFonts w:ascii="Arial" w:eastAsia="宋体" w:hAnsi="Arial" w:cs="Arial"/>
          <w:color w:val="000000"/>
          <w:kern w:val="0"/>
          <w:sz w:val="18"/>
          <w:szCs w:val="18"/>
        </w:rPr>
        <w:t>灵敏度</w:t>
      </w:r>
      <w:r w:rsidR="00E71659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（检测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限）和控制条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/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线的分量。</w:t>
      </w:r>
    </w:p>
    <w:p w14:paraId="47060246" w14:textId="77777777" w:rsidR="00EB45D4" w:rsidRPr="00432957" w:rsidRDefault="00A45936" w:rsidP="001406CC">
      <w:pPr>
        <w:widowControl/>
        <w:numPr>
          <w:ilvl w:val="0"/>
          <w:numId w:val="3"/>
        </w:numPr>
        <w:tabs>
          <w:tab w:val="clear" w:pos="720"/>
        </w:tabs>
        <w:snapToGrid w:val="0"/>
        <w:spacing w:line="300" w:lineRule="auto"/>
        <w:ind w:left="0" w:firstLine="0"/>
        <w:outlineLvl w:val="4"/>
        <w:rPr>
          <w:rFonts w:ascii="Arial" w:eastAsia="宋体" w:hAnsi="Arial" w:cs="Arial"/>
          <w:b/>
          <w:bCs/>
          <w:color w:val="000000"/>
          <w:kern w:val="0"/>
          <w:sz w:val="20"/>
          <w:szCs w:val="20"/>
        </w:rPr>
      </w:pPr>
      <w:r w:rsidRPr="00432957">
        <w:rPr>
          <w:rFonts w:ascii="Arial" w:eastAsia="宋体" w:hAnsi="Arial" w:cs="Arial"/>
          <w:b/>
          <w:bCs/>
          <w:color w:val="000000"/>
          <w:kern w:val="0"/>
          <w:sz w:val="20"/>
          <w:szCs w:val="20"/>
        </w:rPr>
        <w:t>稳定性数据</w:t>
      </w:r>
    </w:p>
    <w:p w14:paraId="1A3A5AEA" w14:textId="003774DD" w:rsidR="00A45936" w:rsidRPr="00432957" w:rsidRDefault="00A45936" w:rsidP="001F3ACF">
      <w:pPr>
        <w:widowControl/>
        <w:snapToGrid w:val="0"/>
        <w:spacing w:before="86" w:after="86" w:line="300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显示试剂稳定性的数据</w:t>
      </w:r>
      <w:r w:rsidR="00F06ED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无需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提交给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FDA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，但制造商必须按照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“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良好生产规范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”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（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GMP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）要求将其保存。</w:t>
      </w:r>
      <w:r w:rsidR="00F06ED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510</w:t>
      </w:r>
      <w:r w:rsidR="00F06ED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（</w:t>
      </w:r>
      <w:r w:rsidR="00F06ED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k</w:t>
      </w:r>
      <w:r w:rsidR="00F06ED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）文件要求提供有关校准物和控制（如果包含在工具盒中）的数据总结，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包括</w:t>
      </w:r>
      <w:r w:rsidR="00F06ED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对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稳定性</w:t>
      </w:r>
      <w:r w:rsidR="006F5D6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方案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的</w:t>
      </w:r>
      <w:r w:rsidR="00F06ED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说明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</w:p>
    <w:p w14:paraId="4BBE816C" w14:textId="77777777" w:rsidR="00EB45D4" w:rsidRPr="00432957" w:rsidRDefault="00A45936" w:rsidP="001406CC">
      <w:pPr>
        <w:widowControl/>
        <w:numPr>
          <w:ilvl w:val="0"/>
          <w:numId w:val="3"/>
        </w:numPr>
        <w:tabs>
          <w:tab w:val="clear" w:pos="720"/>
        </w:tabs>
        <w:snapToGrid w:val="0"/>
        <w:spacing w:line="300" w:lineRule="auto"/>
        <w:ind w:left="0" w:firstLine="0"/>
        <w:outlineLvl w:val="4"/>
        <w:rPr>
          <w:rFonts w:ascii="Arial" w:eastAsia="宋体" w:hAnsi="Arial" w:cs="Arial"/>
          <w:b/>
          <w:bCs/>
          <w:color w:val="000000"/>
          <w:kern w:val="0"/>
          <w:sz w:val="20"/>
          <w:szCs w:val="20"/>
        </w:rPr>
      </w:pPr>
      <w:r w:rsidRPr="00432957">
        <w:rPr>
          <w:rFonts w:ascii="Arial" w:eastAsia="宋体" w:hAnsi="Arial" w:cs="Arial"/>
          <w:b/>
          <w:bCs/>
          <w:color w:val="000000"/>
          <w:kern w:val="0"/>
          <w:sz w:val="20"/>
          <w:szCs w:val="20"/>
        </w:rPr>
        <w:t>限制</w:t>
      </w:r>
    </w:p>
    <w:p w14:paraId="22858446" w14:textId="480A98A9" w:rsidR="00A45936" w:rsidRPr="00432957" w:rsidRDefault="00A45936" w:rsidP="001F3ACF">
      <w:pPr>
        <w:widowControl/>
        <w:snapToGrid w:val="0"/>
        <w:spacing w:before="86" w:after="86" w:line="300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这里提供的示例列表</w:t>
      </w:r>
      <w:r w:rsidR="00F06ED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并不涵盖所有方面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="00F06ED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如果适用，应在标签（即包装说明书）中提供有关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最终用户（例如临床实验室</w:t>
      </w:r>
      <w:r w:rsidR="00F06ED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、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POL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）和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/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或样本类型的</w:t>
      </w:r>
      <w:r w:rsidR="00F06ED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限制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</w:p>
    <w:p w14:paraId="238FD409" w14:textId="75531A76" w:rsidR="00073B29" w:rsidRPr="00432957" w:rsidRDefault="00073B29" w:rsidP="001406CC">
      <w:pPr>
        <w:widowControl/>
        <w:numPr>
          <w:ilvl w:val="1"/>
          <w:numId w:val="3"/>
        </w:numPr>
        <w:tabs>
          <w:tab w:val="clear" w:pos="1440"/>
        </w:tabs>
        <w:snapToGrid w:val="0"/>
        <w:spacing w:line="300" w:lineRule="auto"/>
        <w:ind w:left="0" w:firstLine="0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被放射性污染的</w:t>
      </w:r>
      <w:r w:rsidR="006F5D6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样本</w:t>
      </w:r>
      <w:r w:rsidR="00F06ED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可能会产生错误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结果。</w:t>
      </w:r>
    </w:p>
    <w:p w14:paraId="5FC61E9B" w14:textId="72356884" w:rsidR="00073B29" w:rsidRPr="00432957" w:rsidRDefault="00073B29" w:rsidP="001406CC">
      <w:pPr>
        <w:widowControl/>
        <w:numPr>
          <w:ilvl w:val="1"/>
          <w:numId w:val="3"/>
        </w:numPr>
        <w:tabs>
          <w:tab w:val="clear" w:pos="1440"/>
        </w:tabs>
        <w:snapToGrid w:val="0"/>
        <w:spacing w:line="300" w:lineRule="auto"/>
        <w:ind w:left="0" w:firstLine="0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应该说明</w:t>
      </w:r>
      <w:r w:rsidR="00F06ED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并解释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“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高剂量钩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”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效应。</w:t>
      </w:r>
    </w:p>
    <w:p w14:paraId="4E910922" w14:textId="603E67AA" w:rsidR="00073B29" w:rsidRPr="00432957" w:rsidRDefault="00F06ED3" w:rsidP="001406CC">
      <w:pPr>
        <w:widowControl/>
        <w:numPr>
          <w:ilvl w:val="1"/>
          <w:numId w:val="3"/>
        </w:numPr>
        <w:tabs>
          <w:tab w:val="clear" w:pos="1440"/>
        </w:tabs>
        <w:snapToGrid w:val="0"/>
        <w:spacing w:line="300" w:lineRule="auto"/>
        <w:ind w:left="0" w:firstLine="0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在</w:t>
      </w:r>
      <w:r w:rsidR="00073B29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报告结果前，应排除滋养细胞或非滋养细胞的肿瘤状况（</w:t>
      </w:r>
      <w:r w:rsidR="00073B29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11</w:t>
      </w:r>
      <w:r w:rsidR="00073B29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）</w:t>
      </w:r>
    </w:p>
    <w:p w14:paraId="2D183B9D" w14:textId="551BC830" w:rsidR="00073B29" w:rsidRPr="00432957" w:rsidRDefault="00F06ED3" w:rsidP="001406CC">
      <w:pPr>
        <w:widowControl/>
        <w:numPr>
          <w:ilvl w:val="1"/>
          <w:numId w:val="3"/>
        </w:numPr>
        <w:tabs>
          <w:tab w:val="clear" w:pos="1440"/>
        </w:tabs>
        <w:snapToGrid w:val="0"/>
        <w:spacing w:line="300" w:lineRule="auto"/>
        <w:ind w:left="0" w:firstLine="0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在运行测定前，</w:t>
      </w:r>
      <w:r w:rsidR="00073B29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应该排除癌症化疗患者的样本。</w:t>
      </w:r>
    </w:p>
    <w:p w14:paraId="15B3BCD8" w14:textId="3CEAEF4C" w:rsidR="00073B29" w:rsidRPr="00432957" w:rsidRDefault="00F06ED3" w:rsidP="001406CC">
      <w:pPr>
        <w:widowControl/>
        <w:numPr>
          <w:ilvl w:val="1"/>
          <w:numId w:val="3"/>
        </w:numPr>
        <w:tabs>
          <w:tab w:val="clear" w:pos="1440"/>
        </w:tabs>
        <w:snapToGrid w:val="0"/>
        <w:spacing w:line="300" w:lineRule="auto"/>
        <w:ind w:left="0" w:firstLine="0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请勿</w:t>
      </w:r>
      <w:r w:rsidR="00073B29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使用严重溶血或血脂</w:t>
      </w:r>
      <w:r w:rsidR="006F5D6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样本</w:t>
      </w:r>
      <w:r w:rsidR="00073B29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，因为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其</w:t>
      </w:r>
      <w:r w:rsidR="00073B29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可能会导致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错误的较低或不稳定</w:t>
      </w:r>
      <w:r w:rsidR="00073B29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结果。</w:t>
      </w:r>
    </w:p>
    <w:p w14:paraId="2B6076E6" w14:textId="16E1EF2F" w:rsidR="00073B29" w:rsidRPr="00432957" w:rsidRDefault="00F06ED3" w:rsidP="001406CC">
      <w:pPr>
        <w:widowControl/>
        <w:numPr>
          <w:ilvl w:val="1"/>
          <w:numId w:val="3"/>
        </w:numPr>
        <w:tabs>
          <w:tab w:val="clear" w:pos="1440"/>
        </w:tabs>
        <w:snapToGrid w:val="0"/>
        <w:spacing w:line="300" w:lineRule="auto"/>
        <w:ind w:left="0" w:firstLine="0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含有</w:t>
      </w:r>
      <w:r w:rsidR="00073B29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胎盘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肿瘤</w:t>
      </w:r>
      <w:r w:rsidR="00073B29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和绒毛膜癌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的</w:t>
      </w:r>
      <w:r w:rsidR="00073B29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患者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的</w:t>
      </w:r>
      <w:r w:rsidR="00073B29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血清和尿液检出量升高（</w:t>
      </w:r>
      <w:r w:rsidR="00073B29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12</w:t>
      </w:r>
      <w:r w:rsidR="00073B29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）</w:t>
      </w:r>
    </w:p>
    <w:p w14:paraId="2EBE1386" w14:textId="2C62AC81" w:rsidR="00073B29" w:rsidRPr="00432957" w:rsidRDefault="00073B29" w:rsidP="001406CC">
      <w:pPr>
        <w:widowControl/>
        <w:numPr>
          <w:ilvl w:val="1"/>
          <w:numId w:val="3"/>
        </w:numPr>
        <w:tabs>
          <w:tab w:val="clear" w:pos="1440"/>
        </w:tabs>
        <w:snapToGrid w:val="0"/>
        <w:spacing w:line="300" w:lineRule="auto"/>
        <w:ind w:left="0" w:firstLine="0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正常</w:t>
      </w:r>
      <w:r w:rsidR="00F06ED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、非妊娠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受试者</w:t>
      </w:r>
      <w:r w:rsidR="00F06ED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中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可能</w:t>
      </w:r>
      <w:r w:rsidR="00F06ED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出现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hCG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的低滴度升高。（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13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）</w:t>
      </w:r>
    </w:p>
    <w:p w14:paraId="4CFFB779" w14:textId="78F0506C" w:rsidR="00073B29" w:rsidRPr="00432957" w:rsidRDefault="00073B29" w:rsidP="001406CC">
      <w:pPr>
        <w:widowControl/>
        <w:numPr>
          <w:ilvl w:val="1"/>
          <w:numId w:val="3"/>
        </w:numPr>
        <w:tabs>
          <w:tab w:val="clear" w:pos="1440"/>
        </w:tabs>
        <w:snapToGrid w:val="0"/>
        <w:spacing w:line="300" w:lineRule="auto"/>
        <w:ind w:left="0" w:firstLine="0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此</w:t>
      </w:r>
      <w:r w:rsidR="004D661F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工具盒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不适用于早期检测</w:t>
      </w:r>
      <w:r w:rsidR="000C0A04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妊娠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以外的任何其他用途。</w:t>
      </w:r>
    </w:p>
    <w:p w14:paraId="092E74DA" w14:textId="7C11482E" w:rsidR="00073B29" w:rsidRPr="00432957" w:rsidRDefault="00F06ED3" w:rsidP="001406CC">
      <w:pPr>
        <w:widowControl/>
        <w:numPr>
          <w:ilvl w:val="1"/>
          <w:numId w:val="3"/>
        </w:numPr>
        <w:tabs>
          <w:tab w:val="clear" w:pos="1440"/>
        </w:tabs>
        <w:snapToGrid w:val="0"/>
        <w:spacing w:line="300" w:lineRule="auto"/>
        <w:ind w:left="0" w:firstLine="0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不能根据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hCG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测量将</w:t>
      </w:r>
      <w:r w:rsidR="00073B29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异位妊娠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与</w:t>
      </w:r>
      <w:r w:rsidR="00073B29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正常</w:t>
      </w:r>
      <w:r w:rsidR="000C0A04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妊娠</w:t>
      </w:r>
      <w:r w:rsidR="00073B29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区别开来。</w:t>
      </w:r>
    </w:p>
    <w:p w14:paraId="56458525" w14:textId="76EA9402" w:rsidR="00073B29" w:rsidRPr="00432957" w:rsidRDefault="00073B29" w:rsidP="001406CC">
      <w:pPr>
        <w:widowControl/>
        <w:numPr>
          <w:ilvl w:val="1"/>
          <w:numId w:val="3"/>
        </w:numPr>
        <w:tabs>
          <w:tab w:val="clear" w:pos="1440"/>
        </w:tabs>
        <w:snapToGrid w:val="0"/>
        <w:spacing w:line="300" w:lineRule="auto"/>
        <w:ind w:left="0" w:firstLine="0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分娩或流产后</w:t>
      </w:r>
      <w:r w:rsidR="00F06ED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的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数周</w:t>
      </w:r>
      <w:r w:rsidR="00F06ED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内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可能检出阳性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hCG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水平。</w:t>
      </w:r>
    </w:p>
    <w:p w14:paraId="4411ADE3" w14:textId="56281F8B" w:rsidR="00073B29" w:rsidRPr="00432957" w:rsidRDefault="00073B29" w:rsidP="001406CC">
      <w:pPr>
        <w:widowControl/>
        <w:numPr>
          <w:ilvl w:val="1"/>
          <w:numId w:val="3"/>
        </w:numPr>
        <w:tabs>
          <w:tab w:val="clear" w:pos="1440"/>
        </w:tabs>
        <w:snapToGrid w:val="0"/>
        <w:spacing w:line="300" w:lineRule="auto"/>
        <w:ind w:left="0" w:firstLine="0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受孕后的最初几天</w:t>
      </w:r>
      <w:r w:rsidR="00F06ED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内测试为阳性的样本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可能由于</w:t>
      </w:r>
      <w:r w:rsidR="000C0A04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妊娠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的自然终止而</w:t>
      </w:r>
      <w:r w:rsidR="00F06ED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变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为阴性。</w:t>
      </w:r>
    </w:p>
    <w:p w14:paraId="7548C84F" w14:textId="1581BFB6" w:rsidR="001A1DED" w:rsidRDefault="00F06ED3" w:rsidP="001406CC">
      <w:pPr>
        <w:widowControl/>
        <w:numPr>
          <w:ilvl w:val="1"/>
          <w:numId w:val="3"/>
        </w:numPr>
        <w:tabs>
          <w:tab w:val="clear" w:pos="1440"/>
        </w:tabs>
        <w:snapToGrid w:val="0"/>
        <w:spacing w:line="300" w:lineRule="auto"/>
        <w:ind w:left="0" w:firstLine="0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与使用小鼠抗体的任何测定一样，</w:t>
      </w:r>
      <w:r w:rsidR="006F5D6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样本</w:t>
      </w:r>
      <w:r w:rsidR="00073B29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中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的</w:t>
      </w:r>
      <w:r w:rsidR="00073B29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人抗小鼠抗体（</w:t>
      </w:r>
      <w:r w:rsidR="00073B29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HAMA</w:t>
      </w:r>
      <w:r w:rsidR="00073B29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）的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可能会产生一定</w:t>
      </w:r>
      <w:r w:rsidR="00073B29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干扰。</w:t>
      </w:r>
    </w:p>
    <w:p w14:paraId="2DA4539A" w14:textId="77777777" w:rsidR="001A1DED" w:rsidRDefault="001A1DED">
      <w:pPr>
        <w:widowControl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/>
          <w:color w:val="000000"/>
          <w:kern w:val="0"/>
          <w:sz w:val="18"/>
          <w:szCs w:val="18"/>
        </w:rPr>
        <w:br w:type="page"/>
      </w:r>
    </w:p>
    <w:p w14:paraId="04397FA8" w14:textId="77777777" w:rsidR="00EB45D4" w:rsidRPr="00432957" w:rsidRDefault="00EB45D4" w:rsidP="001F3ACF">
      <w:pPr>
        <w:widowControl/>
        <w:snapToGrid w:val="0"/>
        <w:spacing w:line="300" w:lineRule="auto"/>
        <w:outlineLvl w:val="3"/>
        <w:rPr>
          <w:rFonts w:ascii="Arial" w:eastAsia="宋体" w:hAnsi="Arial" w:cs="Arial"/>
          <w:b/>
          <w:bCs/>
          <w:color w:val="000000"/>
          <w:kern w:val="0"/>
          <w:sz w:val="29"/>
          <w:szCs w:val="29"/>
        </w:rPr>
      </w:pPr>
      <w:r w:rsidRPr="00432957">
        <w:rPr>
          <w:rFonts w:ascii="Arial" w:eastAsia="宋体" w:hAnsi="Arial" w:cs="Arial"/>
          <w:b/>
          <w:bCs/>
          <w:color w:val="000000"/>
          <w:kern w:val="0"/>
          <w:sz w:val="29"/>
        </w:rPr>
        <w:lastRenderedPageBreak/>
        <w:t xml:space="preserve">IV. </w:t>
      </w:r>
      <w:r w:rsidR="00073B29" w:rsidRPr="00432957">
        <w:rPr>
          <w:rFonts w:ascii="Arial" w:eastAsia="宋体" w:hAnsi="Arial" w:cs="Arial"/>
          <w:b/>
          <w:bCs/>
          <w:color w:val="000000"/>
          <w:kern w:val="0"/>
          <w:sz w:val="29"/>
        </w:rPr>
        <w:t>标签</w:t>
      </w:r>
    </w:p>
    <w:p w14:paraId="19C5BE06" w14:textId="00E27E6E" w:rsidR="00073B29" w:rsidRPr="00432957" w:rsidRDefault="00073B29" w:rsidP="001F3ACF">
      <w:pPr>
        <w:widowControl/>
        <w:snapToGrid w:val="0"/>
        <w:spacing w:before="90" w:after="90" w:line="300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包装</w:t>
      </w:r>
      <w:r w:rsidR="0061149A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说明书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应简洁</w:t>
      </w:r>
      <w:r w:rsidR="000A4760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、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易于理解，并</w:t>
      </w:r>
      <w:r w:rsidR="000A4760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含有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清晰的插图和图纸。标签格式应符合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CFR 809.10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标签规定。</w:t>
      </w:r>
    </w:p>
    <w:p w14:paraId="5217BA08" w14:textId="77777777" w:rsidR="00EB45D4" w:rsidRPr="00432957" w:rsidRDefault="00EB45D4" w:rsidP="001F3ACF">
      <w:pPr>
        <w:widowControl/>
        <w:snapToGrid w:val="0"/>
        <w:spacing w:before="90" w:after="90" w:line="300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p w14:paraId="7348942D" w14:textId="77777777" w:rsidR="00EB45D4" w:rsidRPr="00432957" w:rsidRDefault="00EB45D4" w:rsidP="001F3ACF">
      <w:pPr>
        <w:widowControl/>
        <w:snapToGrid w:val="0"/>
        <w:spacing w:line="300" w:lineRule="auto"/>
        <w:outlineLvl w:val="3"/>
        <w:rPr>
          <w:rFonts w:ascii="Arial" w:eastAsia="宋体" w:hAnsi="Arial" w:cs="Arial"/>
          <w:b/>
          <w:bCs/>
          <w:color w:val="000000"/>
          <w:kern w:val="0"/>
          <w:sz w:val="29"/>
          <w:szCs w:val="29"/>
        </w:rPr>
      </w:pPr>
      <w:bookmarkStart w:id="1" w:name="OLE_LINK9"/>
      <w:bookmarkStart w:id="2" w:name="OLE_LINK10"/>
      <w:r w:rsidRPr="00432957">
        <w:rPr>
          <w:rFonts w:ascii="Arial" w:eastAsia="宋体" w:hAnsi="Arial" w:cs="Arial"/>
          <w:b/>
          <w:bCs/>
          <w:color w:val="000000"/>
          <w:kern w:val="0"/>
          <w:sz w:val="29"/>
        </w:rPr>
        <w:t xml:space="preserve">V. </w:t>
      </w:r>
      <w:r w:rsidR="00073B29" w:rsidRPr="00432957">
        <w:rPr>
          <w:rFonts w:ascii="Arial" w:eastAsia="宋体" w:hAnsi="Arial" w:cs="Arial"/>
          <w:b/>
          <w:bCs/>
          <w:color w:val="000000"/>
          <w:kern w:val="0"/>
          <w:sz w:val="29"/>
        </w:rPr>
        <w:tab/>
      </w:r>
      <w:r w:rsidR="00345527" w:rsidRPr="00432957">
        <w:rPr>
          <w:rFonts w:ascii="Arial" w:eastAsia="宋体" w:hAnsi="Arial" w:cs="Arial"/>
          <w:b/>
          <w:bCs/>
          <w:color w:val="000000"/>
          <w:kern w:val="0"/>
          <w:sz w:val="29"/>
        </w:rPr>
        <w:t>参考书目</w:t>
      </w:r>
    </w:p>
    <w:bookmarkEnd w:id="1"/>
    <w:bookmarkEnd w:id="2"/>
    <w:p w14:paraId="081FB960" w14:textId="6C53EA2A" w:rsidR="00345527" w:rsidRPr="00432957" w:rsidRDefault="00345527" w:rsidP="003C0860">
      <w:pPr>
        <w:widowControl/>
        <w:numPr>
          <w:ilvl w:val="0"/>
          <w:numId w:val="4"/>
        </w:numPr>
        <w:tabs>
          <w:tab w:val="clear" w:pos="720"/>
        </w:tabs>
        <w:snapToGrid w:val="0"/>
        <w:spacing w:line="300" w:lineRule="auto"/>
        <w:ind w:left="335" w:hangingChars="186" w:hanging="335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Braunstein GD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Grodin JM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Vaitukaitis J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Ross GT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。人绒毛膜促性腺激素通过正常滋养层的分泌率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="00183302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美国妇产科杂志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115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：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447-50</w:t>
      </w:r>
      <w:r w:rsidR="00F06ED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1973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</w:p>
    <w:p w14:paraId="44175A43" w14:textId="662996B6" w:rsidR="00345527" w:rsidRPr="00432957" w:rsidRDefault="00345527" w:rsidP="003C0860">
      <w:pPr>
        <w:widowControl/>
        <w:numPr>
          <w:ilvl w:val="0"/>
          <w:numId w:val="4"/>
        </w:numPr>
        <w:tabs>
          <w:tab w:val="clear" w:pos="720"/>
        </w:tabs>
        <w:snapToGrid w:val="0"/>
        <w:spacing w:line="300" w:lineRule="auto"/>
        <w:ind w:left="335" w:hangingChars="186" w:hanging="335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Brody S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和</w:t>
      </w:r>
      <w:r w:rsidR="00183302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Carlstrom G</w:t>
      </w:r>
      <w:r w:rsidR="00183302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。正常和病理性妊娠中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人绒毛膜促性腺激素</w:t>
      </w:r>
      <w:r w:rsidR="00183302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的免疫测定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="00183302" w:rsidRPr="003223B3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临床内分泌学与代谢杂志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22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：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564</w:t>
      </w:r>
      <w:r w:rsidR="00F06ED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1962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</w:p>
    <w:p w14:paraId="4EEE93A1" w14:textId="35EDCF72" w:rsidR="00345527" w:rsidRPr="00432957" w:rsidRDefault="00183302" w:rsidP="003C0860">
      <w:pPr>
        <w:widowControl/>
        <w:numPr>
          <w:ilvl w:val="0"/>
          <w:numId w:val="4"/>
        </w:numPr>
        <w:tabs>
          <w:tab w:val="clear" w:pos="720"/>
        </w:tabs>
        <w:snapToGrid w:val="0"/>
        <w:spacing w:line="300" w:lineRule="auto"/>
        <w:ind w:left="335" w:hangingChars="186" w:hanging="335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Ross GT</w:t>
      </w:r>
      <w:r w:rsidR="00345527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有关人绒毛膜促性腺激素结构的</w:t>
      </w:r>
      <w:r w:rsidR="00345527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研究的临床相关性。美国妇产科杂志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="00345527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1977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年</w:t>
      </w:r>
      <w:r w:rsidR="00F06ED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；</w:t>
      </w:r>
      <w:r w:rsidR="00345527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129</w:t>
      </w:r>
      <w:r w:rsidR="00345527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：</w:t>
      </w:r>
      <w:r w:rsidR="00345527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795</w:t>
      </w:r>
      <w:r w:rsidR="00345527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</w:p>
    <w:p w14:paraId="31A278C8" w14:textId="46D3F75A" w:rsidR="00345527" w:rsidRPr="00432957" w:rsidRDefault="00345527" w:rsidP="003C0860">
      <w:pPr>
        <w:widowControl/>
        <w:numPr>
          <w:ilvl w:val="0"/>
          <w:numId w:val="4"/>
        </w:numPr>
        <w:tabs>
          <w:tab w:val="clear" w:pos="720"/>
        </w:tabs>
        <w:snapToGrid w:val="0"/>
        <w:spacing w:line="300" w:lineRule="auto"/>
        <w:ind w:left="335" w:hangingChars="186" w:hanging="335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医生</w:t>
      </w:r>
      <w:r w:rsidR="00183302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的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实验</w:t>
      </w:r>
      <w:r w:rsidR="00183302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室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报告。人绒毛膜促性腺激素标准化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1985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年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12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月</w:t>
      </w:r>
      <w:r w:rsidR="00F06ED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；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7</w:t>
      </w:r>
      <w:r w:rsidR="00F06ED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：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12</w:t>
      </w:r>
    </w:p>
    <w:p w14:paraId="41005CB5" w14:textId="3C9B04D5" w:rsidR="00345527" w:rsidRPr="00432957" w:rsidRDefault="00345527" w:rsidP="003C0860">
      <w:pPr>
        <w:widowControl/>
        <w:numPr>
          <w:ilvl w:val="0"/>
          <w:numId w:val="4"/>
        </w:numPr>
        <w:tabs>
          <w:tab w:val="clear" w:pos="720"/>
        </w:tabs>
        <w:snapToGrid w:val="0"/>
        <w:spacing w:line="300" w:lineRule="auto"/>
        <w:ind w:left="335" w:hangingChars="186" w:hanging="335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Jeffcoat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SL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hCG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免疫测定和妊娠</w:t>
      </w:r>
      <w:r w:rsidR="00183302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工具盒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的标准化。柳叶刀</w:t>
      </w:r>
      <w:r w:rsidR="00183302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1982</w:t>
      </w:r>
      <w:r w:rsidR="00183302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年</w:t>
      </w:r>
      <w:r w:rsidR="00F06ED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；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1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：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803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</w:p>
    <w:p w14:paraId="78996F41" w14:textId="77777777" w:rsidR="00183302" w:rsidRPr="00432957" w:rsidRDefault="00345527" w:rsidP="003C0860">
      <w:pPr>
        <w:widowControl/>
        <w:numPr>
          <w:ilvl w:val="0"/>
          <w:numId w:val="4"/>
        </w:numPr>
        <w:tabs>
          <w:tab w:val="clear" w:pos="720"/>
        </w:tabs>
        <w:snapToGrid w:val="0"/>
        <w:spacing w:line="300" w:lineRule="auto"/>
        <w:ind w:left="335" w:hangingChars="186" w:hanging="335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国家临床实验室标准委员会。人绒毛膜促性腺激素小组委员会。</w:t>
      </w:r>
    </w:p>
    <w:p w14:paraId="5AECD1B5" w14:textId="0CEEDC99" w:rsidR="00345527" w:rsidRPr="00432957" w:rsidRDefault="00345527" w:rsidP="003C0860">
      <w:pPr>
        <w:widowControl/>
        <w:numPr>
          <w:ilvl w:val="0"/>
          <w:numId w:val="4"/>
        </w:numPr>
        <w:tabs>
          <w:tab w:val="clear" w:pos="720"/>
        </w:tabs>
        <w:snapToGrid w:val="0"/>
        <w:spacing w:line="300" w:lineRule="auto"/>
        <w:ind w:left="335" w:hangingChars="186" w:hanging="335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Chayen J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Daly JR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Loveridge N</w:t>
      </w:r>
      <w:r w:rsidR="00183302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。激素的细胞化学生物测定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="00183302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激素研究的新进展，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1976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年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32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：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33-72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</w:p>
    <w:p w14:paraId="4A35E2C5" w14:textId="30DE35D9" w:rsidR="00345527" w:rsidRPr="00432957" w:rsidRDefault="00345527" w:rsidP="003C0860">
      <w:pPr>
        <w:widowControl/>
        <w:numPr>
          <w:ilvl w:val="0"/>
          <w:numId w:val="4"/>
        </w:numPr>
        <w:tabs>
          <w:tab w:val="clear" w:pos="720"/>
        </w:tabs>
        <w:snapToGrid w:val="0"/>
        <w:spacing w:line="300" w:lineRule="auto"/>
        <w:ind w:left="335" w:hangingChars="186" w:hanging="335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Henry JB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="00743B75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通过实验室方法进行的临床诊断与管理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，第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18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版，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1991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年，</w:t>
      </w:r>
      <w:r w:rsidR="00183302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WB Saunders and Co.</w:t>
      </w:r>
    </w:p>
    <w:p w14:paraId="10498D7D" w14:textId="2496FBA1" w:rsidR="00345527" w:rsidRPr="00432957" w:rsidRDefault="00345527" w:rsidP="003C0860">
      <w:pPr>
        <w:widowControl/>
        <w:numPr>
          <w:ilvl w:val="0"/>
          <w:numId w:val="4"/>
        </w:numPr>
        <w:tabs>
          <w:tab w:val="clear" w:pos="720"/>
        </w:tabs>
        <w:snapToGrid w:val="0"/>
        <w:spacing w:line="300" w:lineRule="auto"/>
        <w:ind w:left="335" w:hangingChars="186" w:hanging="335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Wide L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Gemzell CA</w:t>
      </w:r>
      <w:r w:rsidR="00183302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免疫妊娠试验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="00743B75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内分泌学杂志</w:t>
      </w:r>
      <w:r w:rsidR="00E22893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1960</w:t>
      </w:r>
      <w:r w:rsidR="00743B75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年</w:t>
      </w:r>
      <w:r w:rsidR="00F06ED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；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35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：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261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</w:p>
    <w:p w14:paraId="70C5B9CB" w14:textId="429D3A60" w:rsidR="00345527" w:rsidRPr="00432957" w:rsidRDefault="00743B75" w:rsidP="003C0860">
      <w:pPr>
        <w:widowControl/>
        <w:numPr>
          <w:ilvl w:val="0"/>
          <w:numId w:val="4"/>
        </w:numPr>
        <w:tabs>
          <w:tab w:val="clear" w:pos="720"/>
        </w:tabs>
        <w:snapToGrid w:val="0"/>
        <w:spacing w:line="300" w:lineRule="auto"/>
        <w:ind w:left="335" w:hangingChars="186" w:hanging="335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Krieg AF</w:t>
      </w:r>
      <w:r w:rsidR="00345527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。妊娠试验和胎盘功能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的评价</w:t>
      </w:r>
      <w:r w:rsidR="00345527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通过实验室方法进行的</w:t>
      </w:r>
      <w:r w:rsidR="00345527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临床诊断与管理，第</w:t>
      </w:r>
      <w:r w:rsidR="00345527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18</w:t>
      </w:r>
      <w:r w:rsidR="00345527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版，</w:t>
      </w:r>
      <w:r w:rsidR="00345527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Henry JB</w:t>
      </w:r>
      <w:r w:rsidR="00345527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，编辑，</w:t>
      </w:r>
      <w:r w:rsidR="00345527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1979</w:t>
      </w:r>
      <w:r w:rsidR="00F06ED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；</w:t>
      </w:r>
      <w:r w:rsidR="00345527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680</w:t>
      </w:r>
      <w:r w:rsidR="00345527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</w:p>
    <w:p w14:paraId="6C75823A" w14:textId="66EC61D2" w:rsidR="00345527" w:rsidRPr="00432957" w:rsidRDefault="00345527" w:rsidP="003C0860">
      <w:pPr>
        <w:widowControl/>
        <w:numPr>
          <w:ilvl w:val="0"/>
          <w:numId w:val="4"/>
        </w:numPr>
        <w:tabs>
          <w:tab w:val="clear" w:pos="720"/>
        </w:tabs>
        <w:snapToGrid w:val="0"/>
        <w:spacing w:line="300" w:lineRule="auto"/>
        <w:ind w:left="335" w:hangingChars="186" w:hanging="335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Braunstein GD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Vaitukaitis JL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Carbone PP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Ross GT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。人绒毛膜促性腺激素</w:t>
      </w:r>
      <w:r w:rsidR="00743B75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的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异位生成。</w:t>
      </w:r>
      <w:r w:rsidR="00743B75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内科学年鉴，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1973</w:t>
      </w:r>
      <w:r w:rsidR="00743B75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年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78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：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39-45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</w:p>
    <w:p w14:paraId="7311D10C" w14:textId="25B27A3C" w:rsidR="00345527" w:rsidRPr="00432957" w:rsidRDefault="00345527" w:rsidP="003C0860">
      <w:pPr>
        <w:widowControl/>
        <w:numPr>
          <w:ilvl w:val="0"/>
          <w:numId w:val="4"/>
        </w:numPr>
        <w:tabs>
          <w:tab w:val="clear" w:pos="720"/>
        </w:tabs>
        <w:snapToGrid w:val="0"/>
        <w:spacing w:line="300" w:lineRule="auto"/>
        <w:ind w:left="335" w:hangingChars="186" w:hanging="335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Hussa RO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。人绒毛膜促性腺激素</w:t>
      </w:r>
      <w:r w:rsidR="00743B75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（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临床标志物</w:t>
      </w:r>
      <w:r w:rsidR="00743B75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）</w:t>
      </w:r>
      <w:r w:rsidR="00F06ED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；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审查其生物合成。配体</w:t>
      </w:r>
      <w:r w:rsidR="00743B75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审查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1981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年</w:t>
      </w:r>
      <w:r w:rsidR="00743B75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3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：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6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</w:p>
    <w:p w14:paraId="0D8D9B72" w14:textId="44A027B7" w:rsidR="00345527" w:rsidRPr="00432957" w:rsidRDefault="00345527" w:rsidP="003C0860">
      <w:pPr>
        <w:widowControl/>
        <w:numPr>
          <w:ilvl w:val="0"/>
          <w:numId w:val="4"/>
        </w:numPr>
        <w:tabs>
          <w:tab w:val="clear" w:pos="720"/>
        </w:tabs>
        <w:snapToGrid w:val="0"/>
        <w:spacing w:line="300" w:lineRule="auto"/>
        <w:ind w:left="335" w:hangingChars="186" w:hanging="335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Borkowski A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Muquardt C</w:t>
      </w:r>
      <w:r w:rsidR="00743B75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。正常，非妊娠受试者的血浆中的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人绒毛膜促性腺激素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="00743B75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新英格兰医学杂志</w:t>
      </w:r>
      <w:r w:rsidR="00E22893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1979</w:t>
      </w:r>
      <w:r w:rsidR="00743B75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年</w:t>
      </w:r>
      <w:r w:rsidR="00F06ED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301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：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298-302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</w:p>
    <w:p w14:paraId="0C910F0D" w14:textId="77777777" w:rsidR="00EB45D4" w:rsidRPr="00432957" w:rsidRDefault="00345527" w:rsidP="001F3ACF">
      <w:pPr>
        <w:widowControl/>
        <w:snapToGrid w:val="0"/>
        <w:spacing w:line="300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缩略词</w:t>
      </w:r>
    </w:p>
    <w:tbl>
      <w:tblPr>
        <w:tblW w:w="0" w:type="auto"/>
        <w:tblCellSpacing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5"/>
        <w:gridCol w:w="1875"/>
      </w:tblGrid>
      <w:tr w:rsidR="00EB45D4" w:rsidRPr="00432957" w14:paraId="4B6BDB20" w14:textId="77777777" w:rsidTr="00DF4D6B">
        <w:trPr>
          <w:tblCellSpacing w:w="7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33FB26C3" w14:textId="77777777" w:rsidR="00EB45D4" w:rsidRPr="00432957" w:rsidRDefault="00EB45D4" w:rsidP="001F3ACF">
            <w:pPr>
              <w:widowControl/>
              <w:snapToGrid w:val="0"/>
              <w:spacing w:line="300" w:lineRule="auto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29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CDRH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0AD3CB" w14:textId="42B93E99" w:rsidR="00EB45D4" w:rsidRPr="00432957" w:rsidRDefault="00743B75" w:rsidP="001F3ACF">
            <w:pPr>
              <w:widowControl/>
              <w:snapToGrid w:val="0"/>
              <w:spacing w:line="300" w:lineRule="auto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29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器械</w:t>
            </w:r>
            <w:r w:rsidR="00961280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与</w:t>
            </w:r>
            <w:r w:rsidRPr="004329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放射</w:t>
            </w:r>
            <w:r w:rsidR="00961280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健康</w:t>
            </w:r>
            <w:r w:rsidRPr="004329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中心</w:t>
            </w:r>
          </w:p>
        </w:tc>
      </w:tr>
      <w:tr w:rsidR="00EB45D4" w:rsidRPr="00432957" w14:paraId="274B0B49" w14:textId="77777777" w:rsidTr="00DF4D6B">
        <w:trPr>
          <w:tblCellSpacing w:w="7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03C2464D" w14:textId="77777777" w:rsidR="00EB45D4" w:rsidRPr="00432957" w:rsidRDefault="00EB45D4" w:rsidP="001F3ACF">
            <w:pPr>
              <w:widowControl/>
              <w:snapToGrid w:val="0"/>
              <w:spacing w:line="300" w:lineRule="auto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29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CLIA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0FAC1F" w14:textId="2BEC2593" w:rsidR="00EB45D4" w:rsidRPr="00432957" w:rsidRDefault="00743B75" w:rsidP="001F3ACF">
            <w:pPr>
              <w:widowControl/>
              <w:snapToGrid w:val="0"/>
              <w:spacing w:line="300" w:lineRule="auto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29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临床实验室改进法</w:t>
            </w:r>
          </w:p>
        </w:tc>
      </w:tr>
      <w:tr w:rsidR="00EB45D4" w:rsidRPr="00432957" w14:paraId="25A21EE8" w14:textId="77777777" w:rsidTr="00DF4D6B">
        <w:trPr>
          <w:tblCellSpacing w:w="7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04FCCA30" w14:textId="77777777" w:rsidR="00EB45D4" w:rsidRPr="00432957" w:rsidRDefault="00EB45D4" w:rsidP="001F3ACF">
            <w:pPr>
              <w:widowControl/>
              <w:snapToGrid w:val="0"/>
              <w:spacing w:line="300" w:lineRule="auto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29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DCLD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E53EAB" w14:textId="57A34FAB" w:rsidR="00EB45D4" w:rsidRPr="00432957" w:rsidRDefault="00743B75" w:rsidP="001F3ACF">
            <w:pPr>
              <w:widowControl/>
              <w:snapToGrid w:val="0"/>
              <w:spacing w:line="300" w:lineRule="auto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29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临床实验室</w:t>
            </w:r>
            <w:r w:rsidR="00961280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器械部</w:t>
            </w:r>
          </w:p>
        </w:tc>
      </w:tr>
      <w:tr w:rsidR="00EB45D4" w:rsidRPr="00432957" w14:paraId="742ECF25" w14:textId="77777777" w:rsidTr="00DF4D6B">
        <w:trPr>
          <w:tblCellSpacing w:w="7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57887CA0" w14:textId="77777777" w:rsidR="00EB45D4" w:rsidRPr="00432957" w:rsidRDefault="00EB45D4" w:rsidP="001F3ACF">
            <w:pPr>
              <w:widowControl/>
              <w:snapToGrid w:val="0"/>
              <w:spacing w:line="300" w:lineRule="auto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29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FDA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21F7DE" w14:textId="64A8A7E0" w:rsidR="00EB45D4" w:rsidRPr="00432957" w:rsidRDefault="00743B75" w:rsidP="001F3ACF">
            <w:pPr>
              <w:widowControl/>
              <w:snapToGrid w:val="0"/>
              <w:spacing w:line="300" w:lineRule="auto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29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食品药品监督管理局</w:t>
            </w:r>
          </w:p>
        </w:tc>
      </w:tr>
      <w:tr w:rsidR="00EB45D4" w:rsidRPr="00432957" w14:paraId="0BE4E710" w14:textId="77777777" w:rsidTr="00DF4D6B">
        <w:trPr>
          <w:tblCellSpacing w:w="7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42CDB3EE" w14:textId="77777777" w:rsidR="00EB45D4" w:rsidRPr="00432957" w:rsidRDefault="00EB45D4" w:rsidP="001F3ACF">
            <w:pPr>
              <w:widowControl/>
              <w:snapToGrid w:val="0"/>
              <w:spacing w:line="300" w:lineRule="auto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29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FSH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7C841B" w14:textId="7EC411BB" w:rsidR="00EB45D4" w:rsidRPr="00432957" w:rsidRDefault="00743B75" w:rsidP="001F3ACF">
            <w:pPr>
              <w:widowControl/>
              <w:snapToGrid w:val="0"/>
              <w:spacing w:line="300" w:lineRule="auto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29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卵泡刺激激素</w:t>
            </w:r>
          </w:p>
        </w:tc>
      </w:tr>
      <w:tr w:rsidR="00EB45D4" w:rsidRPr="00432957" w14:paraId="55DD4023" w14:textId="77777777" w:rsidTr="00DF4D6B">
        <w:trPr>
          <w:tblCellSpacing w:w="7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67810FD3" w14:textId="77777777" w:rsidR="00EB45D4" w:rsidRPr="00432957" w:rsidRDefault="00EB45D4" w:rsidP="001F3ACF">
            <w:pPr>
              <w:widowControl/>
              <w:snapToGrid w:val="0"/>
              <w:spacing w:line="300" w:lineRule="auto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29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HCG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4908A3" w14:textId="08E5DFCA" w:rsidR="00EB45D4" w:rsidRPr="00432957" w:rsidRDefault="00743B75" w:rsidP="001F3ACF">
            <w:pPr>
              <w:widowControl/>
              <w:snapToGrid w:val="0"/>
              <w:spacing w:line="300" w:lineRule="auto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29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人绒毛膜促性腺激素</w:t>
            </w:r>
          </w:p>
        </w:tc>
      </w:tr>
      <w:tr w:rsidR="00EB45D4" w:rsidRPr="00432957" w14:paraId="30C3851B" w14:textId="77777777" w:rsidTr="00DF4D6B">
        <w:trPr>
          <w:tblCellSpacing w:w="7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23F26046" w14:textId="77777777" w:rsidR="00EB45D4" w:rsidRPr="00432957" w:rsidRDefault="00EB45D4" w:rsidP="001F3ACF">
            <w:pPr>
              <w:widowControl/>
              <w:snapToGrid w:val="0"/>
              <w:spacing w:line="300" w:lineRule="auto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29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HGH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6423F0" w14:textId="0C27983A" w:rsidR="00EB45D4" w:rsidRPr="00432957" w:rsidRDefault="00743B75" w:rsidP="001F3ACF">
            <w:pPr>
              <w:widowControl/>
              <w:snapToGrid w:val="0"/>
              <w:spacing w:line="300" w:lineRule="auto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29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人类生长激素</w:t>
            </w:r>
          </w:p>
        </w:tc>
      </w:tr>
    </w:tbl>
    <w:p w14:paraId="7587BD34" w14:textId="77777777" w:rsidR="00C644AD" w:rsidRDefault="00C644AD">
      <w:r>
        <w:br w:type="page"/>
      </w:r>
    </w:p>
    <w:tbl>
      <w:tblPr>
        <w:tblW w:w="0" w:type="auto"/>
        <w:tblCellSpacing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2415"/>
      </w:tblGrid>
      <w:tr w:rsidR="00EB45D4" w:rsidRPr="00432957" w14:paraId="7D6923D3" w14:textId="77777777" w:rsidTr="00DF4D6B">
        <w:trPr>
          <w:tblCellSpacing w:w="7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57D62B42" w14:textId="0A1227A6" w:rsidR="00EB45D4" w:rsidRPr="00432957" w:rsidRDefault="00EB45D4" w:rsidP="001F3ACF">
            <w:pPr>
              <w:widowControl/>
              <w:snapToGrid w:val="0"/>
              <w:spacing w:line="300" w:lineRule="auto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29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HPL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4663A2" w14:textId="32C55884" w:rsidR="00EB45D4" w:rsidRPr="00432957" w:rsidRDefault="00743B75" w:rsidP="001F3ACF">
            <w:pPr>
              <w:widowControl/>
              <w:snapToGrid w:val="0"/>
              <w:spacing w:line="300" w:lineRule="auto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2957">
              <w:rPr>
                <w:rFonts w:ascii="Arial" w:eastAsia="宋体" w:hAnsi="Arial" w:cs="Arial"/>
                <w:color w:val="313131"/>
                <w:sz w:val="18"/>
                <w:szCs w:val="18"/>
              </w:rPr>
              <w:t>人胎盘催乳激素</w:t>
            </w:r>
          </w:p>
        </w:tc>
      </w:tr>
      <w:tr w:rsidR="00EB45D4" w:rsidRPr="00432957" w14:paraId="4CEABAE8" w14:textId="77777777" w:rsidTr="00DF4D6B">
        <w:trPr>
          <w:tblCellSpacing w:w="7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45905E06" w14:textId="77777777" w:rsidR="00EB45D4" w:rsidRPr="00432957" w:rsidRDefault="00EB45D4" w:rsidP="001F3ACF">
            <w:pPr>
              <w:widowControl/>
              <w:snapToGrid w:val="0"/>
              <w:spacing w:line="300" w:lineRule="auto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29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IRP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73D622" w14:textId="46EB75B4" w:rsidR="00EB45D4" w:rsidRPr="00432957" w:rsidRDefault="00743B75" w:rsidP="001F3ACF">
            <w:pPr>
              <w:widowControl/>
              <w:snapToGrid w:val="0"/>
              <w:spacing w:line="300" w:lineRule="auto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29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国际参考制剂</w:t>
            </w:r>
          </w:p>
        </w:tc>
      </w:tr>
      <w:tr w:rsidR="00EB45D4" w:rsidRPr="00432957" w14:paraId="0C6CC18E" w14:textId="77777777" w:rsidTr="00DF4D6B">
        <w:trPr>
          <w:tblCellSpacing w:w="7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641126FA" w14:textId="77777777" w:rsidR="00EB45D4" w:rsidRPr="00432957" w:rsidRDefault="00EB45D4" w:rsidP="001F3ACF">
            <w:pPr>
              <w:widowControl/>
              <w:snapToGrid w:val="0"/>
              <w:spacing w:line="300" w:lineRule="auto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29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IS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1136B7" w14:textId="70D456AF" w:rsidR="00EB45D4" w:rsidRPr="00432957" w:rsidRDefault="00743B75" w:rsidP="001F3ACF">
            <w:pPr>
              <w:widowControl/>
              <w:snapToGrid w:val="0"/>
              <w:spacing w:line="300" w:lineRule="auto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29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国际标准</w:t>
            </w:r>
          </w:p>
        </w:tc>
      </w:tr>
      <w:tr w:rsidR="00EB45D4" w:rsidRPr="00432957" w14:paraId="35AB9F4E" w14:textId="77777777" w:rsidTr="00DF4D6B">
        <w:trPr>
          <w:tblCellSpacing w:w="7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434A2B78" w14:textId="77777777" w:rsidR="00EB45D4" w:rsidRPr="00432957" w:rsidRDefault="00EB45D4" w:rsidP="001F3ACF">
            <w:pPr>
              <w:widowControl/>
              <w:snapToGrid w:val="0"/>
              <w:spacing w:line="300" w:lineRule="auto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29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IVD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72797E" w14:textId="509CB1FC" w:rsidR="00EB45D4" w:rsidRPr="00432957" w:rsidRDefault="00743B75" w:rsidP="001F3ACF">
            <w:pPr>
              <w:widowControl/>
              <w:snapToGrid w:val="0"/>
              <w:spacing w:line="300" w:lineRule="auto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29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体外诊断</w:t>
            </w:r>
          </w:p>
        </w:tc>
      </w:tr>
      <w:tr w:rsidR="00EB45D4" w:rsidRPr="00432957" w14:paraId="780CF7D3" w14:textId="77777777" w:rsidTr="00DF4D6B">
        <w:trPr>
          <w:tblCellSpacing w:w="7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140B4696" w14:textId="77777777" w:rsidR="00EB45D4" w:rsidRPr="00432957" w:rsidRDefault="00EB45D4" w:rsidP="001F3ACF">
            <w:pPr>
              <w:widowControl/>
              <w:snapToGrid w:val="0"/>
              <w:spacing w:line="300" w:lineRule="auto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29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LH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9F9467" w14:textId="4055CC26" w:rsidR="00EB45D4" w:rsidRPr="00432957" w:rsidRDefault="00743B75" w:rsidP="001F3ACF">
            <w:pPr>
              <w:widowControl/>
              <w:snapToGrid w:val="0"/>
              <w:spacing w:line="300" w:lineRule="auto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29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黄体激素</w:t>
            </w:r>
          </w:p>
        </w:tc>
      </w:tr>
      <w:tr w:rsidR="00EB45D4" w:rsidRPr="00432957" w14:paraId="36EE73E6" w14:textId="77777777" w:rsidTr="00DF4D6B">
        <w:trPr>
          <w:tblCellSpacing w:w="7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248C53A3" w14:textId="77777777" w:rsidR="00EB45D4" w:rsidRPr="00432957" w:rsidRDefault="00EB45D4" w:rsidP="001F3ACF">
            <w:pPr>
              <w:widowControl/>
              <w:snapToGrid w:val="0"/>
              <w:spacing w:line="300" w:lineRule="auto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29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NCCLS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7162F7" w14:textId="6F03662E" w:rsidR="00EB45D4" w:rsidRPr="00432957" w:rsidRDefault="00743B75" w:rsidP="001F3ACF">
            <w:pPr>
              <w:widowControl/>
              <w:snapToGrid w:val="0"/>
              <w:spacing w:line="300" w:lineRule="auto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29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国家临床实验室标准委员会</w:t>
            </w:r>
          </w:p>
        </w:tc>
      </w:tr>
      <w:tr w:rsidR="00EB45D4" w:rsidRPr="00432957" w14:paraId="79FA4783" w14:textId="77777777" w:rsidTr="00DF4D6B">
        <w:trPr>
          <w:tblCellSpacing w:w="7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74E1140C" w14:textId="77777777" w:rsidR="00EB45D4" w:rsidRPr="00432957" w:rsidRDefault="00EB45D4" w:rsidP="001F3ACF">
            <w:pPr>
              <w:widowControl/>
              <w:snapToGrid w:val="0"/>
              <w:spacing w:line="300" w:lineRule="auto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29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POL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CAF3DC" w14:textId="338603B6" w:rsidR="00EB45D4" w:rsidRPr="00432957" w:rsidRDefault="00743B75" w:rsidP="001F3ACF">
            <w:pPr>
              <w:widowControl/>
              <w:snapToGrid w:val="0"/>
              <w:spacing w:line="300" w:lineRule="auto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29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医生办公室实验室</w:t>
            </w:r>
          </w:p>
        </w:tc>
      </w:tr>
      <w:tr w:rsidR="00EB45D4" w:rsidRPr="00432957" w14:paraId="206DD7B3" w14:textId="77777777" w:rsidTr="00DF4D6B">
        <w:trPr>
          <w:tblCellSpacing w:w="7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119671E4" w14:textId="77777777" w:rsidR="00EB45D4" w:rsidRPr="00432957" w:rsidRDefault="00EB45D4" w:rsidP="001F3ACF">
            <w:pPr>
              <w:widowControl/>
              <w:snapToGrid w:val="0"/>
              <w:spacing w:line="300" w:lineRule="auto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29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QC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9BF0B3" w14:textId="18FE49D1" w:rsidR="00EB45D4" w:rsidRPr="00432957" w:rsidRDefault="00743B75" w:rsidP="001F3ACF">
            <w:pPr>
              <w:widowControl/>
              <w:snapToGrid w:val="0"/>
              <w:spacing w:line="300" w:lineRule="auto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29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质量控制</w:t>
            </w:r>
          </w:p>
        </w:tc>
      </w:tr>
      <w:tr w:rsidR="00EB45D4" w:rsidRPr="00432957" w14:paraId="5C485DF2" w14:textId="77777777" w:rsidTr="00DF4D6B">
        <w:trPr>
          <w:tblCellSpacing w:w="75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30F8AB3F" w14:textId="77777777" w:rsidR="00EB45D4" w:rsidRPr="00432957" w:rsidRDefault="00EB45D4" w:rsidP="001F3ACF">
            <w:pPr>
              <w:widowControl/>
              <w:snapToGrid w:val="0"/>
              <w:spacing w:line="300" w:lineRule="auto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29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TSH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CE52B9" w14:textId="049B6946" w:rsidR="00EB45D4" w:rsidRPr="00432957" w:rsidRDefault="00743B75" w:rsidP="001F3ACF">
            <w:pPr>
              <w:widowControl/>
              <w:snapToGrid w:val="0"/>
              <w:spacing w:line="300" w:lineRule="auto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432957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甲状腺刺激激素</w:t>
            </w:r>
          </w:p>
        </w:tc>
      </w:tr>
    </w:tbl>
    <w:p w14:paraId="259E3924" w14:textId="04595902" w:rsidR="00EB45D4" w:rsidRPr="00432957" w:rsidRDefault="008E7238" w:rsidP="00C644AD">
      <w:pPr>
        <w:widowControl/>
        <w:snapToGrid w:val="0"/>
        <w:spacing w:line="300" w:lineRule="auto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清单</w:t>
      </w:r>
    </w:p>
    <w:p w14:paraId="05125E88" w14:textId="63CF84CA" w:rsidR="00990B36" w:rsidRPr="00432957" w:rsidRDefault="00990B36" w:rsidP="001F3ACF">
      <w:pPr>
        <w:widowControl/>
        <w:snapToGrid w:val="0"/>
        <w:spacing w:before="90" w:after="90" w:line="300" w:lineRule="auto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说明：</w:t>
      </w:r>
      <w:r w:rsidR="008E7238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应将此清单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用于</w:t>
      </w:r>
      <w:r w:rsidR="008E7238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旨在用于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临床实验室和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POL</w:t>
      </w:r>
      <w:r w:rsidR="008E7238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的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人绒毛膜促性腺激素（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hCG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）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/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妊娠试验的上市前</w:t>
      </w:r>
      <w:r w:rsidR="00961280">
        <w:rPr>
          <w:rFonts w:ascii="Arial" w:eastAsia="宋体" w:hAnsi="Arial" w:cs="Arial"/>
          <w:color w:val="000000"/>
          <w:kern w:val="0"/>
          <w:sz w:val="18"/>
          <w:szCs w:val="18"/>
        </w:rPr>
        <w:t>提交</w:t>
      </w:r>
      <w:r w:rsidR="005B59CB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请</w:t>
      </w:r>
      <w:r w:rsidR="008E7238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检查</w:t>
      </w:r>
      <w:r w:rsidR="00961280">
        <w:rPr>
          <w:rFonts w:ascii="Arial" w:eastAsia="宋体" w:hAnsi="Arial" w:cs="Arial"/>
          <w:color w:val="000000"/>
          <w:kern w:val="0"/>
          <w:sz w:val="18"/>
          <w:szCs w:val="18"/>
        </w:rPr>
        <w:t>贵公司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已在上市前</w:t>
      </w:r>
      <w:r w:rsidR="008E7238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通告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中</w:t>
      </w:r>
      <w:r w:rsidR="008E7238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提供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的以下项目的框。请注意，有些</w:t>
      </w:r>
      <w:r w:rsidR="008E7238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项目必须提供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，而其他</w:t>
      </w:r>
      <w:r w:rsidR="008E7238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项目仅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建议</w:t>
      </w:r>
      <w:r w:rsidR="008E7238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提供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。所需</w:t>
      </w:r>
      <w:r w:rsidR="008E7238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提供的项目如下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</w:p>
    <w:p w14:paraId="7760B47F" w14:textId="2B2634F1" w:rsidR="00990B36" w:rsidRPr="00432957" w:rsidRDefault="00990B36" w:rsidP="00781201">
      <w:pPr>
        <w:widowControl/>
        <w:numPr>
          <w:ilvl w:val="0"/>
          <w:numId w:val="5"/>
        </w:numPr>
        <w:tabs>
          <w:tab w:val="clear" w:pos="720"/>
        </w:tabs>
        <w:snapToGrid w:val="0"/>
        <w:spacing w:line="300" w:lineRule="auto"/>
        <w:ind w:left="434" w:hangingChars="241" w:hanging="434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CDRH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上市前</w:t>
      </w:r>
      <w:r w:rsidR="00961280">
        <w:rPr>
          <w:rFonts w:ascii="Arial" w:eastAsia="宋体" w:hAnsi="Arial" w:cs="Arial"/>
          <w:color w:val="000000"/>
          <w:kern w:val="0"/>
          <w:sz w:val="18"/>
          <w:szCs w:val="18"/>
        </w:rPr>
        <w:t>提交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封面</w:t>
      </w:r>
    </w:p>
    <w:p w14:paraId="53F96957" w14:textId="5C39CFA1" w:rsidR="00990B36" w:rsidRPr="00432957" w:rsidRDefault="008E7238" w:rsidP="00781201">
      <w:pPr>
        <w:widowControl/>
        <w:numPr>
          <w:ilvl w:val="0"/>
          <w:numId w:val="5"/>
        </w:numPr>
        <w:tabs>
          <w:tab w:val="clear" w:pos="720"/>
        </w:tabs>
        <w:snapToGrid w:val="0"/>
        <w:spacing w:line="300" w:lineRule="auto"/>
        <w:ind w:left="434" w:hangingChars="241" w:hanging="434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符合</w:t>
      </w:r>
      <w:r w:rsidR="00990B3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21 CFR 807.87</w:t>
      </w:r>
      <w:r w:rsidR="00990B3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（</w:t>
      </w:r>
      <w:r w:rsidR="00990B3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j</w:t>
      </w:r>
      <w:r w:rsidR="00990B3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）要求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且</w:t>
      </w:r>
      <w:r w:rsidR="00990B3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真实准确的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逐字</w:t>
      </w:r>
      <w:r w:rsidR="00990B3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声明。不允许添加和删除。</w:t>
      </w:r>
    </w:p>
    <w:p w14:paraId="224B1C87" w14:textId="26E246E9" w:rsidR="00990B36" w:rsidRPr="00432957" w:rsidRDefault="008E7238" w:rsidP="00781201">
      <w:pPr>
        <w:widowControl/>
        <w:numPr>
          <w:ilvl w:val="0"/>
          <w:numId w:val="5"/>
        </w:numPr>
        <w:tabs>
          <w:tab w:val="clear" w:pos="720"/>
        </w:tabs>
        <w:snapToGrid w:val="0"/>
        <w:spacing w:line="300" w:lineRule="auto"/>
        <w:ind w:left="434" w:hangingChars="241" w:hanging="434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分别符合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21 CFR 807.92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或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21 CFR 807.93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要求的</w:t>
      </w:r>
      <w:r w:rsidR="00990B3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510</w:t>
      </w:r>
      <w:r w:rsidR="00990B3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（</w:t>
      </w:r>
      <w:r w:rsidR="00990B3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k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）总结</w:t>
      </w:r>
      <w:r w:rsidR="00990B3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或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声明</w:t>
      </w:r>
      <w:r w:rsidR="00990B3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。</w:t>
      </w:r>
    </w:p>
    <w:p w14:paraId="36922C6D" w14:textId="73C9D4A5" w:rsidR="00990B36" w:rsidRPr="00432957" w:rsidRDefault="00961280" w:rsidP="00781201">
      <w:pPr>
        <w:widowControl/>
        <w:numPr>
          <w:ilvl w:val="0"/>
          <w:numId w:val="5"/>
        </w:numPr>
        <w:tabs>
          <w:tab w:val="clear" w:pos="720"/>
        </w:tabs>
        <w:snapToGrid w:val="0"/>
        <w:spacing w:line="300" w:lineRule="auto"/>
        <w:ind w:left="434" w:hangingChars="241" w:hanging="434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/>
          <w:color w:val="000000"/>
          <w:kern w:val="0"/>
          <w:sz w:val="18"/>
          <w:szCs w:val="18"/>
        </w:rPr>
        <w:t>灵敏度</w:t>
      </w:r>
      <w:r w:rsidR="00990B3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/</w:t>
      </w:r>
      <w:r w:rsidR="008E7238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检测</w:t>
      </w:r>
      <w:r w:rsidR="00990B3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限数据</w:t>
      </w:r>
    </w:p>
    <w:p w14:paraId="20BF3315" w14:textId="77777777" w:rsidR="00990B36" w:rsidRPr="00432957" w:rsidRDefault="00990B36" w:rsidP="00781201">
      <w:pPr>
        <w:widowControl/>
        <w:numPr>
          <w:ilvl w:val="0"/>
          <w:numId w:val="5"/>
        </w:numPr>
        <w:tabs>
          <w:tab w:val="clear" w:pos="720"/>
        </w:tabs>
        <w:snapToGrid w:val="0"/>
        <w:spacing w:line="300" w:lineRule="auto"/>
        <w:ind w:left="434" w:hangingChars="241" w:hanging="434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特异性数据，包括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LH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FSH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TSH</w:t>
      </w:r>
    </w:p>
    <w:p w14:paraId="62176C2B" w14:textId="77777777" w:rsidR="00990B36" w:rsidRPr="00432957" w:rsidRDefault="00990B36" w:rsidP="00781201">
      <w:pPr>
        <w:widowControl/>
        <w:numPr>
          <w:ilvl w:val="0"/>
          <w:numId w:val="5"/>
        </w:numPr>
        <w:tabs>
          <w:tab w:val="clear" w:pos="720"/>
        </w:tabs>
        <w:snapToGrid w:val="0"/>
        <w:spacing w:line="300" w:lineRule="auto"/>
        <w:ind w:left="434" w:hangingChars="241" w:hanging="434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干扰物质数据</w:t>
      </w:r>
    </w:p>
    <w:p w14:paraId="379D88A9" w14:textId="7F0F9E53" w:rsidR="00990B36" w:rsidRPr="00432957" w:rsidRDefault="00990B36" w:rsidP="00781201">
      <w:pPr>
        <w:widowControl/>
        <w:numPr>
          <w:ilvl w:val="0"/>
          <w:numId w:val="5"/>
        </w:numPr>
        <w:tabs>
          <w:tab w:val="clear" w:pos="720"/>
        </w:tabs>
        <w:snapToGrid w:val="0"/>
        <w:spacing w:line="300" w:lineRule="auto"/>
        <w:ind w:left="434" w:hangingChars="241" w:hanging="434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比较研究数据，</w:t>
      </w:r>
      <w:r w:rsidR="008E7238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其应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包括以下内容</w:t>
      </w:r>
      <w:r w:rsidR="008E7238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（如果适用）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：研究方案概要</w:t>
      </w:r>
      <w:r w:rsidR="008E7238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、</w:t>
      </w:r>
      <w:r w:rsidR="006F5D6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样本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范围</w:t>
      </w:r>
      <w:r w:rsidR="008E7238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、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使用的加标</w:t>
      </w:r>
      <w:r w:rsidR="006F5D63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样本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浓度</w:t>
      </w:r>
      <w:r w:rsidR="008E7238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、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POL</w:t>
      </w:r>
      <w:r w:rsidR="008E7238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站点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的名称和地址以及进行</w:t>
      </w:r>
      <w:r w:rsidR="0061149A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试验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的人员的背景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/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培训。</w:t>
      </w:r>
    </w:p>
    <w:p w14:paraId="31908979" w14:textId="77777777" w:rsidR="00990B36" w:rsidRPr="00432957" w:rsidRDefault="00990B36" w:rsidP="00781201">
      <w:pPr>
        <w:widowControl/>
        <w:numPr>
          <w:ilvl w:val="0"/>
          <w:numId w:val="5"/>
        </w:numPr>
        <w:tabs>
          <w:tab w:val="clear" w:pos="720"/>
        </w:tabs>
        <w:snapToGrid w:val="0"/>
        <w:spacing w:line="300" w:lineRule="auto"/>
        <w:ind w:left="434" w:hangingChars="241" w:hanging="434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抗体表征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/</w:t>
      </w: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纯化信息</w:t>
      </w:r>
    </w:p>
    <w:p w14:paraId="10F6A4C7" w14:textId="601C2CCA" w:rsidR="00990B36" w:rsidRPr="00432957" w:rsidRDefault="008E7238" w:rsidP="00781201">
      <w:pPr>
        <w:widowControl/>
        <w:numPr>
          <w:ilvl w:val="0"/>
          <w:numId w:val="5"/>
        </w:numPr>
        <w:tabs>
          <w:tab w:val="clear" w:pos="720"/>
        </w:tabs>
        <w:snapToGrid w:val="0"/>
        <w:spacing w:line="300" w:lineRule="auto"/>
        <w:ind w:left="434" w:hangingChars="241" w:hanging="434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类似</w:t>
      </w:r>
      <w:r w:rsidR="0061149A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器械</w:t>
      </w:r>
      <w:r w:rsidR="00990B36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标签</w:t>
      </w:r>
    </w:p>
    <w:p w14:paraId="611C1426" w14:textId="284D1FBE" w:rsidR="00990B36" w:rsidRPr="00432957" w:rsidRDefault="00990B36" w:rsidP="00781201">
      <w:pPr>
        <w:widowControl/>
        <w:numPr>
          <w:ilvl w:val="0"/>
          <w:numId w:val="5"/>
        </w:numPr>
        <w:tabs>
          <w:tab w:val="clear" w:pos="720"/>
        </w:tabs>
        <w:snapToGrid w:val="0"/>
        <w:spacing w:line="300" w:lineRule="auto"/>
        <w:ind w:left="434" w:hangingChars="241" w:hanging="434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使用适应症</w:t>
      </w:r>
      <w:r w:rsidR="008E7238" w:rsidRPr="00432957">
        <w:rPr>
          <w:rFonts w:ascii="Arial" w:eastAsia="宋体" w:hAnsi="Arial" w:cs="Arial"/>
          <w:color w:val="000000"/>
          <w:kern w:val="0"/>
          <w:sz w:val="18"/>
          <w:szCs w:val="18"/>
        </w:rPr>
        <w:t>表格</w:t>
      </w:r>
    </w:p>
    <w:p w14:paraId="0D3DD5F1" w14:textId="77777777" w:rsidR="0022020C" w:rsidRPr="00432957" w:rsidRDefault="0022020C" w:rsidP="001F3ACF">
      <w:pPr>
        <w:snapToGrid w:val="0"/>
        <w:spacing w:line="300" w:lineRule="auto"/>
        <w:rPr>
          <w:rFonts w:ascii="Arial" w:eastAsia="宋体" w:hAnsi="Arial" w:cs="Arial"/>
        </w:rPr>
      </w:pPr>
    </w:p>
    <w:sectPr w:rsidR="0022020C" w:rsidRPr="00432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807E7" w14:textId="77777777" w:rsidR="003E7A76" w:rsidRDefault="003E7A76" w:rsidP="00EB45D4">
      <w:r>
        <w:separator/>
      </w:r>
    </w:p>
  </w:endnote>
  <w:endnote w:type="continuationSeparator" w:id="0">
    <w:p w14:paraId="56667F0D" w14:textId="77777777" w:rsidR="003E7A76" w:rsidRDefault="003E7A76" w:rsidP="00EB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7ED4B" w14:textId="77777777" w:rsidR="003E7A76" w:rsidRDefault="003E7A76" w:rsidP="00EB45D4">
      <w:r>
        <w:separator/>
      </w:r>
    </w:p>
  </w:footnote>
  <w:footnote w:type="continuationSeparator" w:id="0">
    <w:p w14:paraId="6DC971BA" w14:textId="77777777" w:rsidR="003E7A76" w:rsidRDefault="003E7A76" w:rsidP="00EB4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2531"/>
    <w:multiLevelType w:val="multilevel"/>
    <w:tmpl w:val="FFD403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3310E9"/>
    <w:multiLevelType w:val="multilevel"/>
    <w:tmpl w:val="CE22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246AA7"/>
    <w:multiLevelType w:val="multilevel"/>
    <w:tmpl w:val="C5B092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16186F"/>
    <w:multiLevelType w:val="multilevel"/>
    <w:tmpl w:val="26028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284784"/>
    <w:multiLevelType w:val="multilevel"/>
    <w:tmpl w:val="B59EEE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D4"/>
    <w:rsid w:val="0000588E"/>
    <w:rsid w:val="00073B29"/>
    <w:rsid w:val="000A2AC0"/>
    <w:rsid w:val="000A3BB8"/>
    <w:rsid w:val="000A4760"/>
    <w:rsid w:val="000C0A04"/>
    <w:rsid w:val="001406CC"/>
    <w:rsid w:val="00183302"/>
    <w:rsid w:val="001A1DED"/>
    <w:rsid w:val="001A1FBE"/>
    <w:rsid w:val="001D278D"/>
    <w:rsid w:val="001E6508"/>
    <w:rsid w:val="001F3ACF"/>
    <w:rsid w:val="0022020C"/>
    <w:rsid w:val="002B517D"/>
    <w:rsid w:val="003223B3"/>
    <w:rsid w:val="00345527"/>
    <w:rsid w:val="00382A7E"/>
    <w:rsid w:val="003C0860"/>
    <w:rsid w:val="003E7A76"/>
    <w:rsid w:val="00415B76"/>
    <w:rsid w:val="00432957"/>
    <w:rsid w:val="004D661F"/>
    <w:rsid w:val="00532FC0"/>
    <w:rsid w:val="00545F71"/>
    <w:rsid w:val="005B59CB"/>
    <w:rsid w:val="0061149A"/>
    <w:rsid w:val="006803FB"/>
    <w:rsid w:val="006F5D63"/>
    <w:rsid w:val="00743B75"/>
    <w:rsid w:val="00781201"/>
    <w:rsid w:val="00812ED6"/>
    <w:rsid w:val="00840A98"/>
    <w:rsid w:val="00854455"/>
    <w:rsid w:val="008C1681"/>
    <w:rsid w:val="008E7238"/>
    <w:rsid w:val="009116BF"/>
    <w:rsid w:val="00961280"/>
    <w:rsid w:val="00990B36"/>
    <w:rsid w:val="00A339C6"/>
    <w:rsid w:val="00A45936"/>
    <w:rsid w:val="00A53150"/>
    <w:rsid w:val="00AB2188"/>
    <w:rsid w:val="00B26CC1"/>
    <w:rsid w:val="00BD174F"/>
    <w:rsid w:val="00C262DF"/>
    <w:rsid w:val="00C644AD"/>
    <w:rsid w:val="00CD24EE"/>
    <w:rsid w:val="00CD4294"/>
    <w:rsid w:val="00D51A4F"/>
    <w:rsid w:val="00D9264B"/>
    <w:rsid w:val="00DB1086"/>
    <w:rsid w:val="00DF1559"/>
    <w:rsid w:val="00DF4D6B"/>
    <w:rsid w:val="00DF60A5"/>
    <w:rsid w:val="00E22893"/>
    <w:rsid w:val="00E52076"/>
    <w:rsid w:val="00E6483E"/>
    <w:rsid w:val="00E71659"/>
    <w:rsid w:val="00EB45D4"/>
    <w:rsid w:val="00EC58A2"/>
    <w:rsid w:val="00F06ED3"/>
    <w:rsid w:val="00FD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F823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B45D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EB45D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EB45D4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EB45D4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4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45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4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45D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B45D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EB45D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EB45D4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EB45D4"/>
    <w:rPr>
      <w:rFonts w:ascii="宋体" w:eastAsia="宋体" w:hAnsi="宋体" w:cs="宋体"/>
      <w:b/>
      <w:bCs/>
      <w:kern w:val="0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EB4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B45D4"/>
    <w:rPr>
      <w:b/>
      <w:bCs/>
    </w:rPr>
  </w:style>
  <w:style w:type="character" w:customStyle="1" w:styleId="apple-converted-space">
    <w:name w:val="apple-converted-space"/>
    <w:basedOn w:val="a0"/>
    <w:rsid w:val="00EB45D4"/>
  </w:style>
  <w:style w:type="paragraph" w:styleId="a7">
    <w:name w:val="Balloon Text"/>
    <w:basedOn w:val="a"/>
    <w:link w:val="Char1"/>
    <w:uiPriority w:val="99"/>
    <w:semiHidden/>
    <w:unhideWhenUsed/>
    <w:rsid w:val="000A3BB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A3BB8"/>
    <w:rPr>
      <w:sz w:val="18"/>
      <w:szCs w:val="18"/>
    </w:rPr>
  </w:style>
  <w:style w:type="character" w:customStyle="1" w:styleId="web-item2">
    <w:name w:val="web-item2"/>
    <w:basedOn w:val="a0"/>
    <w:rsid w:val="00183302"/>
    <w:rPr>
      <w:sz w:val="18"/>
      <w:szCs w:val="18"/>
    </w:rPr>
  </w:style>
  <w:style w:type="character" w:styleId="a8">
    <w:name w:val="Emphasis"/>
    <w:basedOn w:val="a0"/>
    <w:uiPriority w:val="20"/>
    <w:qFormat/>
    <w:rsid w:val="00743B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B45D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EB45D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EB45D4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EB45D4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4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45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4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45D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B45D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EB45D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EB45D4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EB45D4"/>
    <w:rPr>
      <w:rFonts w:ascii="宋体" w:eastAsia="宋体" w:hAnsi="宋体" w:cs="宋体"/>
      <w:b/>
      <w:bCs/>
      <w:kern w:val="0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EB45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B45D4"/>
    <w:rPr>
      <w:b/>
      <w:bCs/>
    </w:rPr>
  </w:style>
  <w:style w:type="character" w:customStyle="1" w:styleId="apple-converted-space">
    <w:name w:val="apple-converted-space"/>
    <w:basedOn w:val="a0"/>
    <w:rsid w:val="00EB45D4"/>
  </w:style>
  <w:style w:type="paragraph" w:styleId="a7">
    <w:name w:val="Balloon Text"/>
    <w:basedOn w:val="a"/>
    <w:link w:val="Char1"/>
    <w:uiPriority w:val="99"/>
    <w:semiHidden/>
    <w:unhideWhenUsed/>
    <w:rsid w:val="000A3BB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A3BB8"/>
    <w:rPr>
      <w:sz w:val="18"/>
      <w:szCs w:val="18"/>
    </w:rPr>
  </w:style>
  <w:style w:type="character" w:customStyle="1" w:styleId="web-item2">
    <w:name w:val="web-item2"/>
    <w:basedOn w:val="a0"/>
    <w:rsid w:val="00183302"/>
    <w:rPr>
      <w:sz w:val="18"/>
      <w:szCs w:val="18"/>
    </w:rPr>
  </w:style>
  <w:style w:type="character" w:styleId="a8">
    <w:name w:val="Emphasis"/>
    <w:basedOn w:val="a0"/>
    <w:uiPriority w:val="20"/>
    <w:qFormat/>
    <w:rsid w:val="00743B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1019</Words>
  <Characters>5814</Characters>
  <Application>Microsoft Office Word</Application>
  <DocSecurity>0</DocSecurity>
  <Lines>48</Lines>
  <Paragraphs>13</Paragraphs>
  <ScaleCrop>false</ScaleCrop>
  <Company>Microsoft</Company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dcterms:created xsi:type="dcterms:W3CDTF">2017-04-09T09:34:00Z</dcterms:created>
  <dcterms:modified xsi:type="dcterms:W3CDTF">2017-04-10T09:28:00Z</dcterms:modified>
</cp:coreProperties>
</file>