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434" w:rsidRPr="00610434" w:rsidRDefault="00610434" w:rsidP="00610434">
      <w:pPr>
        <w:widowControl/>
        <w:ind w:firstLine="0"/>
        <w:jc w:val="left"/>
        <w:outlineLvl w:val="0"/>
        <w:rPr>
          <w:rFonts w:ascii="Helvetica" w:eastAsia="宋体" w:hAnsi="Helvetica" w:cs="Helvetica"/>
          <w:b/>
          <w:bCs/>
          <w:kern w:val="36"/>
          <w:sz w:val="32"/>
          <w:szCs w:val="32"/>
        </w:rPr>
      </w:pPr>
      <w:r w:rsidRPr="00610434">
        <w:rPr>
          <w:rFonts w:ascii="Helvetica" w:eastAsia="宋体" w:hAnsi="Helvetica" w:cs="Helvetica"/>
          <w:b/>
          <w:bCs/>
          <w:kern w:val="36"/>
          <w:sz w:val="32"/>
          <w:szCs w:val="32"/>
        </w:rPr>
        <w:t xml:space="preserve">Guidance for Industry and FDA Staff - Class II Special Controls Guidance Document: </w:t>
      </w:r>
      <w:proofErr w:type="spellStart"/>
      <w:r w:rsidRPr="00610434">
        <w:rPr>
          <w:rFonts w:ascii="Helvetica" w:eastAsia="宋体" w:hAnsi="Helvetica" w:cs="Helvetica"/>
          <w:b/>
          <w:bCs/>
          <w:kern w:val="36"/>
          <w:sz w:val="32"/>
          <w:szCs w:val="32"/>
        </w:rPr>
        <w:t>Resorbable</w:t>
      </w:r>
      <w:proofErr w:type="spellEnd"/>
      <w:r w:rsidRPr="00610434">
        <w:rPr>
          <w:rFonts w:ascii="Helvetica" w:eastAsia="宋体" w:hAnsi="Helvetica" w:cs="Helvetica"/>
          <w:b/>
          <w:bCs/>
          <w:kern w:val="36"/>
          <w:sz w:val="32"/>
          <w:szCs w:val="32"/>
        </w:rPr>
        <w:t xml:space="preserve"> Calcium Salt Bone Void Filler Device</w:t>
      </w:r>
    </w:p>
    <w:p w:rsidR="00610434" w:rsidRPr="00610434" w:rsidRDefault="00610434" w:rsidP="00610434">
      <w:pPr>
        <w:widowControl/>
        <w:shd w:val="clear" w:color="auto" w:fill="FFFFFF"/>
        <w:spacing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b/>
          <w:bCs/>
          <w:color w:val="333333"/>
          <w:kern w:val="0"/>
          <w:sz w:val="15"/>
        </w:rPr>
        <w:t>Document issued on: June 2, 2003</w:t>
      </w:r>
    </w:p>
    <w:p w:rsidR="00610434" w:rsidRPr="00610434" w:rsidRDefault="00610434" w:rsidP="0061043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b/>
          <w:bCs/>
          <w:color w:val="333333"/>
          <w:kern w:val="0"/>
          <w:sz w:val="15"/>
        </w:rPr>
        <w:t xml:space="preserve">This document supersedes "Class II Special Controls Guidance Document: </w:t>
      </w:r>
      <w:proofErr w:type="spellStart"/>
      <w:r w:rsidRPr="00610434">
        <w:rPr>
          <w:rFonts w:ascii="Helvetica" w:eastAsia="宋体" w:hAnsi="Helvetica" w:cs="Helvetica"/>
          <w:b/>
          <w:bCs/>
          <w:color w:val="333333"/>
          <w:kern w:val="0"/>
          <w:sz w:val="15"/>
        </w:rPr>
        <w:t>Resorbable</w:t>
      </w:r>
      <w:proofErr w:type="spellEnd"/>
      <w:r w:rsidRPr="00610434">
        <w:rPr>
          <w:rFonts w:ascii="Helvetica" w:eastAsia="宋体" w:hAnsi="Helvetica" w:cs="Helvetica"/>
          <w:b/>
          <w:bCs/>
          <w:color w:val="333333"/>
          <w:kern w:val="0"/>
          <w:sz w:val="15"/>
        </w:rPr>
        <w:t xml:space="preserve"> Calcium Salt Bone Void Filler Device; Draft Guidance for Industry and FDA" dated February 7, 2002</w:t>
      </w:r>
    </w:p>
    <w:p w:rsidR="00610434" w:rsidRPr="00610434" w:rsidRDefault="00610434" w:rsidP="0061043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For questions regarding this document, contact Ms. Nadine Sloan at 301-796-6430 or by email</w:t>
      </w:r>
      <w:hyperlink r:id="rId7" w:history="1">
        <w:r w:rsidRPr="00610434">
          <w:rPr>
            <w:rFonts w:ascii="Helvetica" w:eastAsia="宋体" w:hAnsi="Helvetica" w:cs="Helvetica"/>
            <w:color w:val="005F9F"/>
            <w:kern w:val="0"/>
            <w:sz w:val="15"/>
            <w:u w:val="single"/>
          </w:rPr>
          <w:t>nadine.sloan@fda.hhs.gov</w:t>
        </w:r>
      </w:hyperlink>
      <w:r w:rsidRPr="00610434">
        <w:rPr>
          <w:rFonts w:ascii="Helvetica" w:eastAsia="宋体" w:hAnsi="Helvetica" w:cs="Helvetica"/>
          <w:color w:val="333333"/>
          <w:kern w:val="0"/>
          <w:sz w:val="15"/>
          <w:szCs w:val="15"/>
        </w:rPr>
        <w:t>.</w:t>
      </w:r>
    </w:p>
    <w:p w:rsidR="00610434" w:rsidRPr="00610434" w:rsidRDefault="00610434" w:rsidP="0061043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Pr>
          <w:rFonts w:ascii="Helvetica" w:eastAsia="宋体" w:hAnsi="Helvetica" w:cs="Helvetica"/>
          <w:noProof/>
          <w:color w:val="333333"/>
          <w:kern w:val="0"/>
          <w:sz w:val="15"/>
          <w:szCs w:val="15"/>
        </w:rPr>
        <w:drawing>
          <wp:inline distT="0" distB="0" distL="0" distR="0">
            <wp:extent cx="921385" cy="948690"/>
            <wp:effectExtent l="19050" t="0" r="0" b="0"/>
            <wp:docPr id="1" name="图片 1" descr="Image of 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CDRH Logo"/>
                    <pic:cNvPicPr>
                      <a:picLocks noChangeAspect="1" noChangeArrowheads="1"/>
                    </pic:cNvPicPr>
                  </pic:nvPicPr>
                  <pic:blipFill>
                    <a:blip r:embed="rId8" cstate="print"/>
                    <a:srcRect/>
                    <a:stretch>
                      <a:fillRect/>
                    </a:stretch>
                  </pic:blipFill>
                  <pic:spPr bwMode="auto">
                    <a:xfrm>
                      <a:off x="0" y="0"/>
                      <a:ext cx="921385" cy="948690"/>
                    </a:xfrm>
                    <a:prstGeom prst="rect">
                      <a:avLst/>
                    </a:prstGeom>
                    <a:noFill/>
                    <a:ln w="9525">
                      <a:noFill/>
                      <a:miter lim="800000"/>
                      <a:headEnd/>
                      <a:tailEnd/>
                    </a:ln>
                  </pic:spPr>
                </pic:pic>
              </a:graphicData>
            </a:graphic>
          </wp:inline>
        </w:drawing>
      </w:r>
    </w:p>
    <w:p w:rsidR="00610434" w:rsidRPr="00610434" w:rsidRDefault="00610434" w:rsidP="00610434">
      <w:pPr>
        <w:widowControl/>
        <w:shd w:val="clear" w:color="auto" w:fill="FFFFFF"/>
        <w:spacing w:before="240" w:after="240" w:line="207" w:lineRule="atLeast"/>
        <w:ind w:firstLine="0"/>
        <w:jc w:val="right"/>
        <w:rPr>
          <w:rFonts w:ascii="Helvetica" w:eastAsia="宋体" w:hAnsi="Helvetica" w:cs="Helvetica"/>
          <w:color w:val="333333"/>
          <w:kern w:val="0"/>
          <w:sz w:val="15"/>
          <w:szCs w:val="15"/>
        </w:rPr>
      </w:pPr>
      <w:r w:rsidRPr="00610434">
        <w:rPr>
          <w:rFonts w:ascii="Helvetica" w:eastAsia="宋体" w:hAnsi="Helvetica" w:cs="Helvetica"/>
          <w:b/>
          <w:bCs/>
          <w:color w:val="333333"/>
          <w:kern w:val="0"/>
          <w:sz w:val="15"/>
        </w:rPr>
        <w:t>U.S. Department of Health and Human Services</w:t>
      </w:r>
      <w:r w:rsidRPr="00610434">
        <w:rPr>
          <w:rFonts w:ascii="Helvetica" w:eastAsia="宋体" w:hAnsi="Helvetica" w:cs="Helvetica"/>
          <w:b/>
          <w:bCs/>
          <w:color w:val="333333"/>
          <w:kern w:val="0"/>
          <w:sz w:val="15"/>
          <w:szCs w:val="15"/>
        </w:rPr>
        <w:br/>
      </w:r>
      <w:r w:rsidRPr="00610434">
        <w:rPr>
          <w:rFonts w:ascii="Helvetica" w:eastAsia="宋体" w:hAnsi="Helvetica" w:cs="Helvetica"/>
          <w:b/>
          <w:bCs/>
          <w:color w:val="333333"/>
          <w:kern w:val="0"/>
          <w:sz w:val="15"/>
        </w:rPr>
        <w:t>Food and Drug Administration</w:t>
      </w:r>
      <w:r w:rsidRPr="00610434">
        <w:rPr>
          <w:rFonts w:ascii="Helvetica" w:eastAsia="宋体" w:hAnsi="Helvetica" w:cs="Helvetica"/>
          <w:b/>
          <w:bCs/>
          <w:color w:val="333333"/>
          <w:kern w:val="0"/>
          <w:sz w:val="15"/>
          <w:szCs w:val="15"/>
        </w:rPr>
        <w:br/>
      </w:r>
      <w:r w:rsidRPr="00610434">
        <w:rPr>
          <w:rFonts w:ascii="Helvetica" w:eastAsia="宋体" w:hAnsi="Helvetica" w:cs="Helvetica"/>
          <w:b/>
          <w:bCs/>
          <w:color w:val="333333"/>
          <w:kern w:val="0"/>
          <w:sz w:val="15"/>
        </w:rPr>
        <w:t>Center for Devices and Radiological Health</w:t>
      </w:r>
    </w:p>
    <w:p w:rsidR="00610434" w:rsidRPr="00610434" w:rsidRDefault="00610434" w:rsidP="00610434">
      <w:pPr>
        <w:widowControl/>
        <w:shd w:val="clear" w:color="auto" w:fill="FFFFFF"/>
        <w:spacing w:before="240" w:after="240" w:line="207" w:lineRule="atLeast"/>
        <w:ind w:firstLine="0"/>
        <w:jc w:val="right"/>
        <w:rPr>
          <w:rFonts w:ascii="Helvetica" w:eastAsia="宋体" w:hAnsi="Helvetica" w:cs="Helvetica"/>
          <w:color w:val="333333"/>
          <w:kern w:val="0"/>
          <w:sz w:val="15"/>
          <w:szCs w:val="15"/>
        </w:rPr>
      </w:pPr>
      <w:r w:rsidRPr="00610434">
        <w:rPr>
          <w:rFonts w:ascii="Helvetica" w:eastAsia="宋体" w:hAnsi="Helvetica" w:cs="Helvetica"/>
          <w:b/>
          <w:bCs/>
          <w:color w:val="333333"/>
          <w:kern w:val="0"/>
          <w:sz w:val="15"/>
        </w:rPr>
        <w:t>Restorative Devices Branch</w:t>
      </w:r>
      <w:r w:rsidRPr="00610434">
        <w:rPr>
          <w:rFonts w:ascii="Helvetica" w:eastAsia="宋体" w:hAnsi="Helvetica" w:cs="Helvetica"/>
          <w:b/>
          <w:bCs/>
          <w:color w:val="333333"/>
          <w:kern w:val="0"/>
          <w:sz w:val="15"/>
          <w:szCs w:val="15"/>
        </w:rPr>
        <w:br/>
      </w:r>
      <w:r w:rsidRPr="00610434">
        <w:rPr>
          <w:rFonts w:ascii="Helvetica" w:eastAsia="宋体" w:hAnsi="Helvetica" w:cs="Helvetica"/>
          <w:b/>
          <w:bCs/>
          <w:color w:val="333333"/>
          <w:kern w:val="0"/>
          <w:sz w:val="15"/>
        </w:rPr>
        <w:t>Division of General, Restorative, and Neurological Devices</w:t>
      </w:r>
      <w:r w:rsidRPr="00610434">
        <w:rPr>
          <w:rFonts w:ascii="Helvetica" w:eastAsia="宋体" w:hAnsi="Helvetica" w:cs="Helvetica"/>
          <w:b/>
          <w:bCs/>
          <w:color w:val="333333"/>
          <w:kern w:val="0"/>
          <w:sz w:val="15"/>
          <w:szCs w:val="15"/>
        </w:rPr>
        <w:br/>
      </w:r>
      <w:r w:rsidRPr="00610434">
        <w:rPr>
          <w:rFonts w:ascii="Helvetica" w:eastAsia="宋体" w:hAnsi="Helvetica" w:cs="Helvetica"/>
          <w:b/>
          <w:bCs/>
          <w:color w:val="333333"/>
          <w:kern w:val="0"/>
          <w:sz w:val="15"/>
        </w:rPr>
        <w:t>Office of Device Evaluation</w:t>
      </w:r>
    </w:p>
    <w:p w:rsidR="00610434" w:rsidRPr="00610434" w:rsidRDefault="00610434" w:rsidP="00610434">
      <w:pPr>
        <w:widowControl/>
        <w:spacing w:before="330" w:after="330"/>
        <w:ind w:firstLine="0"/>
        <w:jc w:val="left"/>
        <w:rPr>
          <w:rFonts w:ascii="宋体" w:eastAsia="宋体" w:hAnsi="宋体" w:cs="宋体"/>
          <w:kern w:val="0"/>
          <w:sz w:val="24"/>
          <w:szCs w:val="24"/>
        </w:rPr>
      </w:pPr>
      <w:r w:rsidRPr="00610434">
        <w:rPr>
          <w:rFonts w:ascii="宋体" w:eastAsia="宋体" w:hAnsi="宋体" w:cs="宋体"/>
          <w:kern w:val="0"/>
          <w:sz w:val="24"/>
          <w:szCs w:val="24"/>
        </w:rPr>
        <w:pict>
          <v:rect id="_x0000_i1025" style="width:0;height:0" o:hralign="center" o:hrstd="t" o:hrnoshade="t" o:hr="t" fillcolor="#333" stroked="f"/>
        </w:pict>
      </w:r>
    </w:p>
    <w:p w:rsidR="00610434" w:rsidRPr="00610434" w:rsidRDefault="00610434" w:rsidP="00610434">
      <w:pPr>
        <w:widowControl/>
        <w:shd w:val="clear" w:color="auto" w:fill="FFFFFF"/>
        <w:spacing w:after="118"/>
        <w:ind w:firstLine="0"/>
        <w:jc w:val="center"/>
        <w:outlineLvl w:val="2"/>
        <w:rPr>
          <w:rFonts w:ascii="Helvetica" w:eastAsia="宋体" w:hAnsi="Helvetica" w:cs="Helvetica"/>
          <w:b/>
          <w:bCs/>
          <w:color w:val="333333"/>
          <w:kern w:val="0"/>
          <w:sz w:val="23"/>
          <w:szCs w:val="23"/>
        </w:rPr>
      </w:pPr>
      <w:r w:rsidRPr="00610434">
        <w:rPr>
          <w:rFonts w:ascii="Helvetica" w:eastAsia="宋体" w:hAnsi="Helvetica" w:cs="Helvetica"/>
          <w:b/>
          <w:bCs/>
          <w:color w:val="333333"/>
          <w:kern w:val="0"/>
          <w:sz w:val="23"/>
          <w:szCs w:val="23"/>
        </w:rPr>
        <w:t>Preface</w:t>
      </w:r>
    </w:p>
    <w:p w:rsidR="00610434" w:rsidRPr="00610434" w:rsidRDefault="00610434" w:rsidP="00610434">
      <w:pPr>
        <w:widowControl/>
        <w:shd w:val="clear" w:color="auto" w:fill="FFFFFF"/>
        <w:spacing w:before="236" w:after="118"/>
        <w:ind w:firstLine="0"/>
        <w:jc w:val="left"/>
        <w:outlineLvl w:val="3"/>
        <w:rPr>
          <w:rFonts w:ascii="Helvetica" w:eastAsia="宋体" w:hAnsi="Helvetica" w:cs="Helvetica"/>
          <w:b/>
          <w:bCs/>
          <w:color w:val="333333"/>
          <w:kern w:val="0"/>
          <w:sz w:val="19"/>
          <w:szCs w:val="19"/>
        </w:rPr>
      </w:pPr>
      <w:r w:rsidRPr="00610434">
        <w:rPr>
          <w:rFonts w:ascii="Helvetica" w:eastAsia="宋体" w:hAnsi="Helvetica" w:cs="Helvetica"/>
          <w:b/>
          <w:bCs/>
          <w:color w:val="333333"/>
          <w:kern w:val="0"/>
          <w:sz w:val="19"/>
          <w:szCs w:val="19"/>
        </w:rPr>
        <w:t>Public Comment</w:t>
      </w:r>
    </w:p>
    <w:p w:rsidR="00610434" w:rsidRPr="00610434" w:rsidRDefault="00610434" w:rsidP="00610434">
      <w:pPr>
        <w:widowControl/>
        <w:shd w:val="clear" w:color="auto" w:fill="FFFFFF"/>
        <w:spacing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Comments and suggestions may be submitted at any time for Agency consideration to Dockets Management Branch, Division of Management Systems and Policy, Office of Human Resources and Management Services, Food and Drug Administration, 5630 Fishers Lane, Room 1061, (HFA-305), Rockville, MD, 20852. Comments may not be acted upon by the Agency until the document is next revised or updated.</w:t>
      </w:r>
    </w:p>
    <w:p w:rsidR="00610434" w:rsidRPr="00610434" w:rsidRDefault="00610434" w:rsidP="00610434">
      <w:pPr>
        <w:widowControl/>
        <w:shd w:val="clear" w:color="auto" w:fill="FFFFFF"/>
        <w:spacing w:before="236" w:after="118"/>
        <w:ind w:firstLine="0"/>
        <w:jc w:val="left"/>
        <w:outlineLvl w:val="3"/>
        <w:rPr>
          <w:rFonts w:ascii="Helvetica" w:eastAsia="宋体" w:hAnsi="Helvetica" w:cs="Helvetica"/>
          <w:b/>
          <w:bCs/>
          <w:color w:val="333333"/>
          <w:kern w:val="0"/>
          <w:sz w:val="19"/>
          <w:szCs w:val="19"/>
        </w:rPr>
      </w:pPr>
      <w:r w:rsidRPr="00610434">
        <w:rPr>
          <w:rFonts w:ascii="Helvetica" w:eastAsia="宋体" w:hAnsi="Helvetica" w:cs="Helvetica"/>
          <w:b/>
          <w:bCs/>
          <w:color w:val="333333"/>
          <w:kern w:val="0"/>
          <w:sz w:val="19"/>
          <w:szCs w:val="19"/>
        </w:rPr>
        <w:t>Additional Copies:</w:t>
      </w:r>
    </w:p>
    <w:p w:rsidR="00610434" w:rsidRPr="00610434" w:rsidRDefault="00610434" w:rsidP="00610434">
      <w:pPr>
        <w:widowControl/>
        <w:shd w:val="clear" w:color="auto" w:fill="FFFFFF"/>
        <w:spacing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Additional copies are available from the Internet. You may also send an e-mail request to</w:t>
      </w:r>
      <w:r w:rsidRPr="00610434">
        <w:rPr>
          <w:rFonts w:ascii="Helvetica" w:eastAsia="宋体" w:hAnsi="Helvetica" w:cs="Helvetica"/>
          <w:color w:val="333333"/>
          <w:kern w:val="0"/>
          <w:sz w:val="15"/>
        </w:rPr>
        <w:t> </w:t>
      </w:r>
      <w:hyperlink r:id="rId9" w:history="1">
        <w:r w:rsidRPr="00610434">
          <w:rPr>
            <w:rFonts w:ascii="Helvetica" w:eastAsia="宋体" w:hAnsi="Helvetica" w:cs="Helvetica"/>
            <w:color w:val="005F9F"/>
            <w:kern w:val="0"/>
            <w:sz w:val="15"/>
            <w:u w:val="single"/>
          </w:rPr>
          <w:t>CDRH-Guidance@fda.hhs.gov</w:t>
        </w:r>
      </w:hyperlink>
      <w:r w:rsidRPr="00610434">
        <w:rPr>
          <w:rFonts w:ascii="Helvetica" w:eastAsia="宋体" w:hAnsi="Helvetica" w:cs="Helvetica"/>
          <w:color w:val="333333"/>
          <w:kern w:val="0"/>
          <w:sz w:val="15"/>
        </w:rPr>
        <w:t> </w:t>
      </w:r>
      <w:r w:rsidRPr="00610434">
        <w:rPr>
          <w:rFonts w:ascii="Helvetica" w:eastAsia="宋体" w:hAnsi="Helvetica" w:cs="Helvetica"/>
          <w:color w:val="333333"/>
          <w:kern w:val="0"/>
          <w:sz w:val="15"/>
          <w:szCs w:val="15"/>
        </w:rPr>
        <w:t>to receive a copy of the guidance. Please use the document number</w:t>
      </w:r>
      <w:r w:rsidRPr="00610434">
        <w:rPr>
          <w:rFonts w:ascii="Helvetica" w:eastAsia="宋体" w:hAnsi="Helvetica" w:cs="Helvetica"/>
          <w:color w:val="333333"/>
          <w:kern w:val="0"/>
          <w:sz w:val="15"/>
        </w:rPr>
        <w:t> </w:t>
      </w:r>
      <w:r w:rsidRPr="00610434">
        <w:rPr>
          <w:rFonts w:ascii="Helvetica" w:eastAsia="宋体" w:hAnsi="Helvetica" w:cs="Helvetica"/>
          <w:b/>
          <w:bCs/>
          <w:color w:val="333333"/>
          <w:kern w:val="0"/>
          <w:sz w:val="15"/>
        </w:rPr>
        <w:t>855</w:t>
      </w:r>
      <w:r w:rsidRPr="00610434">
        <w:rPr>
          <w:rFonts w:ascii="Helvetica" w:eastAsia="宋体" w:hAnsi="Helvetica" w:cs="Helvetica"/>
          <w:color w:val="333333"/>
          <w:kern w:val="0"/>
          <w:sz w:val="15"/>
        </w:rPr>
        <w:t> </w:t>
      </w:r>
      <w:r w:rsidRPr="00610434">
        <w:rPr>
          <w:rFonts w:ascii="Helvetica" w:eastAsia="宋体" w:hAnsi="Helvetica" w:cs="Helvetica"/>
          <w:color w:val="333333"/>
          <w:kern w:val="0"/>
          <w:sz w:val="15"/>
          <w:szCs w:val="15"/>
        </w:rPr>
        <w:t>to identify the guidance you are requesting</w:t>
      </w:r>
    </w:p>
    <w:p w:rsidR="00610434" w:rsidRPr="00610434" w:rsidRDefault="00610434" w:rsidP="00610434">
      <w:pPr>
        <w:widowControl/>
        <w:shd w:val="clear" w:color="auto" w:fill="FFFFFF"/>
        <w:spacing w:before="236" w:after="118"/>
        <w:ind w:firstLine="0"/>
        <w:jc w:val="center"/>
        <w:outlineLvl w:val="2"/>
        <w:rPr>
          <w:rFonts w:ascii="Helvetica" w:eastAsia="宋体" w:hAnsi="Helvetica" w:cs="Helvetica"/>
          <w:b/>
          <w:bCs/>
          <w:color w:val="333333"/>
          <w:kern w:val="0"/>
          <w:sz w:val="23"/>
          <w:szCs w:val="23"/>
        </w:rPr>
      </w:pPr>
      <w:r w:rsidRPr="00610434">
        <w:rPr>
          <w:rFonts w:ascii="Helvetica" w:eastAsia="宋体" w:hAnsi="Helvetica" w:cs="Helvetica"/>
          <w:b/>
          <w:bCs/>
          <w:color w:val="333333"/>
          <w:kern w:val="0"/>
          <w:sz w:val="23"/>
          <w:szCs w:val="23"/>
        </w:rPr>
        <w:t>Table of Contents</w:t>
      </w:r>
    </w:p>
    <w:p w:rsidR="00610434" w:rsidRPr="00610434" w:rsidRDefault="00610434" w:rsidP="00610434">
      <w:pPr>
        <w:widowControl/>
        <w:numPr>
          <w:ilvl w:val="0"/>
          <w:numId w:val="2"/>
        </w:numPr>
        <w:shd w:val="clear" w:color="auto" w:fill="FFFFFF"/>
        <w:spacing w:line="207" w:lineRule="atLeast"/>
        <w:ind w:left="480"/>
        <w:jc w:val="left"/>
        <w:rPr>
          <w:rFonts w:ascii="Helvetica" w:eastAsia="宋体" w:hAnsi="Helvetica" w:cs="Helvetica"/>
          <w:color w:val="333333"/>
          <w:kern w:val="0"/>
          <w:sz w:val="15"/>
          <w:szCs w:val="15"/>
        </w:rPr>
      </w:pPr>
      <w:hyperlink r:id="rId10" w:anchor="1" w:history="1">
        <w:r w:rsidRPr="00610434">
          <w:rPr>
            <w:rFonts w:ascii="Helvetica" w:eastAsia="宋体" w:hAnsi="Helvetica" w:cs="Helvetica"/>
            <w:color w:val="005F9F"/>
            <w:kern w:val="0"/>
            <w:sz w:val="15"/>
            <w:u w:val="single"/>
          </w:rPr>
          <w:t>Introduction</w:t>
        </w:r>
      </w:hyperlink>
    </w:p>
    <w:p w:rsidR="00610434" w:rsidRPr="00610434" w:rsidRDefault="00610434" w:rsidP="00610434">
      <w:pPr>
        <w:widowControl/>
        <w:numPr>
          <w:ilvl w:val="0"/>
          <w:numId w:val="2"/>
        </w:numPr>
        <w:shd w:val="clear" w:color="auto" w:fill="FFFFFF"/>
        <w:spacing w:before="120" w:line="207" w:lineRule="atLeast"/>
        <w:ind w:left="480"/>
        <w:jc w:val="left"/>
        <w:rPr>
          <w:rFonts w:ascii="Helvetica" w:eastAsia="宋体" w:hAnsi="Helvetica" w:cs="Helvetica"/>
          <w:color w:val="333333"/>
          <w:kern w:val="0"/>
          <w:sz w:val="15"/>
          <w:szCs w:val="15"/>
        </w:rPr>
      </w:pPr>
      <w:hyperlink r:id="rId11" w:anchor="2" w:history="1">
        <w:r w:rsidRPr="00610434">
          <w:rPr>
            <w:rFonts w:ascii="Helvetica" w:eastAsia="宋体" w:hAnsi="Helvetica" w:cs="Helvetica"/>
            <w:color w:val="005F9F"/>
            <w:kern w:val="0"/>
            <w:sz w:val="15"/>
            <w:u w:val="single"/>
          </w:rPr>
          <w:t>Background</w:t>
        </w:r>
      </w:hyperlink>
    </w:p>
    <w:p w:rsidR="00610434" w:rsidRPr="00610434" w:rsidRDefault="00610434" w:rsidP="00610434">
      <w:pPr>
        <w:widowControl/>
        <w:numPr>
          <w:ilvl w:val="0"/>
          <w:numId w:val="2"/>
        </w:numPr>
        <w:shd w:val="clear" w:color="auto" w:fill="FFFFFF"/>
        <w:spacing w:before="120" w:line="207" w:lineRule="atLeast"/>
        <w:ind w:left="480"/>
        <w:jc w:val="left"/>
        <w:rPr>
          <w:rFonts w:ascii="Helvetica" w:eastAsia="宋体" w:hAnsi="Helvetica" w:cs="Helvetica"/>
          <w:color w:val="333333"/>
          <w:kern w:val="0"/>
          <w:sz w:val="15"/>
          <w:szCs w:val="15"/>
        </w:rPr>
      </w:pPr>
      <w:hyperlink r:id="rId12" w:anchor="3" w:history="1">
        <w:r w:rsidRPr="00610434">
          <w:rPr>
            <w:rFonts w:ascii="Helvetica" w:eastAsia="宋体" w:hAnsi="Helvetica" w:cs="Helvetica"/>
            <w:color w:val="005F9F"/>
            <w:kern w:val="0"/>
            <w:sz w:val="15"/>
            <w:u w:val="single"/>
          </w:rPr>
          <w:t>The Content and Format of an Abbreviated 510(k) Submission</w:t>
        </w:r>
      </w:hyperlink>
    </w:p>
    <w:p w:rsidR="00610434" w:rsidRPr="00610434" w:rsidRDefault="00610434" w:rsidP="00610434">
      <w:pPr>
        <w:widowControl/>
        <w:numPr>
          <w:ilvl w:val="0"/>
          <w:numId w:val="2"/>
        </w:numPr>
        <w:shd w:val="clear" w:color="auto" w:fill="FFFFFF"/>
        <w:spacing w:before="120" w:line="207" w:lineRule="atLeast"/>
        <w:ind w:left="480"/>
        <w:jc w:val="left"/>
        <w:rPr>
          <w:rFonts w:ascii="Helvetica" w:eastAsia="宋体" w:hAnsi="Helvetica" w:cs="Helvetica"/>
          <w:color w:val="333333"/>
          <w:kern w:val="0"/>
          <w:sz w:val="15"/>
          <w:szCs w:val="15"/>
        </w:rPr>
      </w:pPr>
      <w:hyperlink r:id="rId13" w:anchor="4" w:history="1">
        <w:r w:rsidRPr="00610434">
          <w:rPr>
            <w:rFonts w:ascii="Helvetica" w:eastAsia="宋体" w:hAnsi="Helvetica" w:cs="Helvetica"/>
            <w:color w:val="005F9F"/>
            <w:kern w:val="0"/>
            <w:sz w:val="15"/>
            <w:u w:val="single"/>
          </w:rPr>
          <w:t>Scope</w:t>
        </w:r>
      </w:hyperlink>
    </w:p>
    <w:p w:rsidR="00610434" w:rsidRPr="00610434" w:rsidRDefault="00610434" w:rsidP="00610434">
      <w:pPr>
        <w:widowControl/>
        <w:numPr>
          <w:ilvl w:val="0"/>
          <w:numId w:val="2"/>
        </w:numPr>
        <w:shd w:val="clear" w:color="auto" w:fill="FFFFFF"/>
        <w:spacing w:before="120" w:line="207" w:lineRule="atLeast"/>
        <w:ind w:left="480"/>
        <w:jc w:val="left"/>
        <w:rPr>
          <w:rFonts w:ascii="Helvetica" w:eastAsia="宋体" w:hAnsi="Helvetica" w:cs="Helvetica"/>
          <w:color w:val="333333"/>
          <w:kern w:val="0"/>
          <w:sz w:val="15"/>
          <w:szCs w:val="15"/>
        </w:rPr>
      </w:pPr>
      <w:hyperlink r:id="rId14" w:anchor="5" w:history="1">
        <w:r w:rsidRPr="00610434">
          <w:rPr>
            <w:rFonts w:ascii="Helvetica" w:eastAsia="宋体" w:hAnsi="Helvetica" w:cs="Helvetica"/>
            <w:color w:val="005F9F"/>
            <w:kern w:val="0"/>
            <w:sz w:val="15"/>
            <w:u w:val="single"/>
          </w:rPr>
          <w:t>Risks to Health</w:t>
        </w:r>
      </w:hyperlink>
    </w:p>
    <w:p w:rsidR="00610434" w:rsidRPr="00610434" w:rsidRDefault="00610434" w:rsidP="00610434">
      <w:pPr>
        <w:widowControl/>
        <w:numPr>
          <w:ilvl w:val="0"/>
          <w:numId w:val="2"/>
        </w:numPr>
        <w:shd w:val="clear" w:color="auto" w:fill="FFFFFF"/>
        <w:spacing w:before="120" w:line="207" w:lineRule="atLeast"/>
        <w:ind w:left="480"/>
        <w:jc w:val="left"/>
        <w:rPr>
          <w:rFonts w:ascii="Helvetica" w:eastAsia="宋体" w:hAnsi="Helvetica" w:cs="Helvetica"/>
          <w:color w:val="333333"/>
          <w:kern w:val="0"/>
          <w:sz w:val="15"/>
          <w:szCs w:val="15"/>
        </w:rPr>
      </w:pPr>
      <w:hyperlink r:id="rId15" w:anchor="6" w:history="1">
        <w:r w:rsidRPr="00610434">
          <w:rPr>
            <w:rFonts w:ascii="Helvetica" w:eastAsia="宋体" w:hAnsi="Helvetica" w:cs="Helvetica"/>
            <w:color w:val="005F9F"/>
            <w:kern w:val="0"/>
            <w:sz w:val="15"/>
            <w:u w:val="single"/>
          </w:rPr>
          <w:t>Device Description</w:t>
        </w:r>
      </w:hyperlink>
    </w:p>
    <w:p w:rsidR="00610434" w:rsidRPr="00610434" w:rsidRDefault="00610434" w:rsidP="00610434">
      <w:pPr>
        <w:widowControl/>
        <w:numPr>
          <w:ilvl w:val="0"/>
          <w:numId w:val="2"/>
        </w:numPr>
        <w:shd w:val="clear" w:color="auto" w:fill="FFFFFF"/>
        <w:spacing w:before="120" w:line="207" w:lineRule="atLeast"/>
        <w:ind w:left="480"/>
        <w:jc w:val="left"/>
        <w:rPr>
          <w:rFonts w:ascii="Helvetica" w:eastAsia="宋体" w:hAnsi="Helvetica" w:cs="Helvetica"/>
          <w:color w:val="333333"/>
          <w:kern w:val="0"/>
          <w:sz w:val="15"/>
          <w:szCs w:val="15"/>
        </w:rPr>
      </w:pPr>
      <w:hyperlink r:id="rId16" w:anchor="7" w:history="1">
        <w:r w:rsidRPr="00610434">
          <w:rPr>
            <w:rFonts w:ascii="Helvetica" w:eastAsia="宋体" w:hAnsi="Helvetica" w:cs="Helvetica"/>
            <w:color w:val="005F9F"/>
            <w:kern w:val="0"/>
            <w:sz w:val="15"/>
            <w:u w:val="single"/>
          </w:rPr>
          <w:t>Device Performance Characteristics</w:t>
        </w:r>
      </w:hyperlink>
    </w:p>
    <w:p w:rsidR="00610434" w:rsidRPr="00610434" w:rsidRDefault="00610434" w:rsidP="00610434">
      <w:pPr>
        <w:widowControl/>
        <w:numPr>
          <w:ilvl w:val="0"/>
          <w:numId w:val="2"/>
        </w:numPr>
        <w:shd w:val="clear" w:color="auto" w:fill="FFFFFF"/>
        <w:spacing w:before="120" w:line="207" w:lineRule="atLeast"/>
        <w:ind w:left="480"/>
        <w:jc w:val="left"/>
        <w:rPr>
          <w:rFonts w:ascii="Helvetica" w:eastAsia="宋体" w:hAnsi="Helvetica" w:cs="Helvetica"/>
          <w:color w:val="333333"/>
          <w:kern w:val="0"/>
          <w:sz w:val="15"/>
          <w:szCs w:val="15"/>
        </w:rPr>
      </w:pPr>
      <w:hyperlink r:id="rId17" w:anchor="8" w:history="1">
        <w:r w:rsidRPr="00610434">
          <w:rPr>
            <w:rFonts w:ascii="Helvetica" w:eastAsia="宋体" w:hAnsi="Helvetica" w:cs="Helvetica"/>
            <w:color w:val="005F9F"/>
            <w:kern w:val="0"/>
            <w:sz w:val="15"/>
            <w:u w:val="single"/>
          </w:rPr>
          <w:t>Biocompatibility</w:t>
        </w:r>
      </w:hyperlink>
    </w:p>
    <w:p w:rsidR="00610434" w:rsidRPr="00610434" w:rsidRDefault="00610434" w:rsidP="00610434">
      <w:pPr>
        <w:widowControl/>
        <w:numPr>
          <w:ilvl w:val="0"/>
          <w:numId w:val="2"/>
        </w:numPr>
        <w:shd w:val="clear" w:color="auto" w:fill="FFFFFF"/>
        <w:spacing w:before="120" w:line="207" w:lineRule="atLeast"/>
        <w:ind w:left="480"/>
        <w:jc w:val="left"/>
        <w:rPr>
          <w:rFonts w:ascii="Helvetica" w:eastAsia="宋体" w:hAnsi="Helvetica" w:cs="Helvetica"/>
          <w:color w:val="333333"/>
          <w:kern w:val="0"/>
          <w:sz w:val="15"/>
          <w:szCs w:val="15"/>
        </w:rPr>
      </w:pPr>
      <w:hyperlink r:id="rId18" w:anchor="9" w:history="1">
        <w:r w:rsidRPr="00610434">
          <w:rPr>
            <w:rFonts w:ascii="Helvetica" w:eastAsia="宋体" w:hAnsi="Helvetica" w:cs="Helvetica"/>
            <w:color w:val="005F9F"/>
            <w:kern w:val="0"/>
            <w:sz w:val="15"/>
            <w:u w:val="single"/>
          </w:rPr>
          <w:t>Sterility</w:t>
        </w:r>
      </w:hyperlink>
    </w:p>
    <w:p w:rsidR="00610434" w:rsidRPr="00610434" w:rsidRDefault="00610434" w:rsidP="00610434">
      <w:pPr>
        <w:widowControl/>
        <w:numPr>
          <w:ilvl w:val="0"/>
          <w:numId w:val="2"/>
        </w:numPr>
        <w:shd w:val="clear" w:color="auto" w:fill="FFFFFF"/>
        <w:spacing w:before="120" w:line="207" w:lineRule="atLeast"/>
        <w:ind w:left="480"/>
        <w:jc w:val="left"/>
        <w:rPr>
          <w:rFonts w:ascii="Helvetica" w:eastAsia="宋体" w:hAnsi="Helvetica" w:cs="Helvetica"/>
          <w:color w:val="333333"/>
          <w:kern w:val="0"/>
          <w:sz w:val="15"/>
          <w:szCs w:val="15"/>
        </w:rPr>
      </w:pPr>
      <w:hyperlink r:id="rId19" w:anchor="10" w:history="1">
        <w:r w:rsidRPr="00610434">
          <w:rPr>
            <w:rFonts w:ascii="Helvetica" w:eastAsia="宋体" w:hAnsi="Helvetica" w:cs="Helvetica"/>
            <w:color w:val="005F9F"/>
            <w:kern w:val="0"/>
            <w:sz w:val="15"/>
            <w:u w:val="single"/>
          </w:rPr>
          <w:t>Labeling</w:t>
        </w:r>
      </w:hyperlink>
    </w:p>
    <w:p w:rsidR="00610434" w:rsidRPr="00610434" w:rsidRDefault="00610434" w:rsidP="00610434">
      <w:pPr>
        <w:widowControl/>
        <w:spacing w:before="330" w:after="330"/>
        <w:ind w:firstLine="0"/>
        <w:jc w:val="left"/>
        <w:rPr>
          <w:rFonts w:ascii="宋体" w:eastAsia="宋体" w:hAnsi="宋体" w:cs="宋体"/>
          <w:kern w:val="0"/>
          <w:sz w:val="24"/>
          <w:szCs w:val="24"/>
        </w:rPr>
      </w:pPr>
      <w:r w:rsidRPr="00610434">
        <w:rPr>
          <w:rFonts w:ascii="宋体" w:eastAsia="宋体" w:hAnsi="宋体" w:cs="宋体"/>
          <w:kern w:val="0"/>
          <w:sz w:val="24"/>
          <w:szCs w:val="24"/>
        </w:rPr>
        <w:pict>
          <v:rect id="_x0000_i1026" style="width:0;height:0" o:hralign="center" o:hrstd="t" o:hrnoshade="t" o:hr="t" fillcolor="#333" stroked="f"/>
        </w:pict>
      </w:r>
    </w:p>
    <w:p w:rsidR="00610434" w:rsidRPr="00610434" w:rsidRDefault="00610434" w:rsidP="00610434">
      <w:pPr>
        <w:widowControl/>
        <w:shd w:val="clear" w:color="auto" w:fill="FFFFFF"/>
        <w:spacing w:after="118"/>
        <w:ind w:firstLine="0"/>
        <w:jc w:val="center"/>
        <w:outlineLvl w:val="1"/>
        <w:rPr>
          <w:rFonts w:ascii="Helvetica" w:eastAsia="宋体" w:hAnsi="Helvetica" w:cs="Helvetica"/>
          <w:b/>
          <w:bCs/>
          <w:color w:val="333333"/>
          <w:kern w:val="0"/>
          <w:sz w:val="27"/>
          <w:szCs w:val="27"/>
        </w:rPr>
      </w:pPr>
      <w:r w:rsidRPr="00610434">
        <w:rPr>
          <w:rFonts w:ascii="Helvetica" w:eastAsia="宋体" w:hAnsi="Helvetica" w:cs="Helvetica"/>
          <w:b/>
          <w:bCs/>
          <w:color w:val="333333"/>
          <w:kern w:val="0"/>
          <w:sz w:val="27"/>
          <w:szCs w:val="27"/>
        </w:rPr>
        <w:t>Guidance for Industry and FDA Staff</w:t>
      </w:r>
      <w:r w:rsidRPr="00610434">
        <w:rPr>
          <w:rFonts w:ascii="Helvetica" w:eastAsia="宋体" w:hAnsi="Helvetica" w:cs="Helvetica"/>
          <w:b/>
          <w:bCs/>
          <w:color w:val="333333"/>
          <w:kern w:val="0"/>
          <w:sz w:val="27"/>
          <w:szCs w:val="27"/>
        </w:rPr>
        <w:br/>
        <w:t xml:space="preserve">Class II Special Controls Guidance Document: </w:t>
      </w:r>
      <w:proofErr w:type="spellStart"/>
      <w:r w:rsidRPr="00610434">
        <w:rPr>
          <w:rFonts w:ascii="Helvetica" w:eastAsia="宋体" w:hAnsi="Helvetica" w:cs="Helvetica"/>
          <w:b/>
          <w:bCs/>
          <w:color w:val="333333"/>
          <w:kern w:val="0"/>
          <w:sz w:val="27"/>
          <w:szCs w:val="27"/>
        </w:rPr>
        <w:t>Resorbable</w:t>
      </w:r>
      <w:proofErr w:type="spellEnd"/>
      <w:r w:rsidRPr="00610434">
        <w:rPr>
          <w:rFonts w:ascii="Helvetica" w:eastAsia="宋体" w:hAnsi="Helvetica" w:cs="Helvetica"/>
          <w:b/>
          <w:bCs/>
          <w:color w:val="333333"/>
          <w:kern w:val="0"/>
          <w:sz w:val="27"/>
          <w:szCs w:val="27"/>
        </w:rPr>
        <w:t xml:space="preserve"> Calcium Salt Bone Void Filler Device; Guidance for Industry and FDA</w:t>
      </w:r>
    </w:p>
    <w:p w:rsidR="00610434" w:rsidRPr="00610434" w:rsidRDefault="00610434" w:rsidP="00610434">
      <w:pPr>
        <w:widowControl/>
        <w:shd w:val="clear" w:color="auto" w:fill="FFFFFF"/>
        <w:spacing w:before="236" w:after="118"/>
        <w:ind w:firstLine="0"/>
        <w:jc w:val="left"/>
        <w:outlineLvl w:val="2"/>
        <w:rPr>
          <w:rFonts w:ascii="Helvetica" w:eastAsia="宋体" w:hAnsi="Helvetica" w:cs="Helvetica"/>
          <w:b/>
          <w:bCs/>
          <w:color w:val="333333"/>
          <w:kern w:val="0"/>
          <w:sz w:val="23"/>
          <w:szCs w:val="23"/>
        </w:rPr>
      </w:pPr>
      <w:r w:rsidRPr="00610434">
        <w:rPr>
          <w:rFonts w:ascii="Helvetica" w:eastAsia="宋体" w:hAnsi="Helvetica" w:cs="Helvetica"/>
          <w:b/>
          <w:bCs/>
          <w:color w:val="333333"/>
          <w:kern w:val="0"/>
          <w:sz w:val="23"/>
          <w:szCs w:val="23"/>
        </w:rPr>
        <w:t>1. Introduction</w:t>
      </w:r>
    </w:p>
    <w:p w:rsidR="00610434" w:rsidRPr="00610434" w:rsidRDefault="00610434" w:rsidP="00610434">
      <w:pPr>
        <w:widowControl/>
        <w:shd w:val="clear" w:color="auto" w:fill="FFFFFF"/>
        <w:spacing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 xml:space="preserve">This guidance document was developed as a special control guidance to support the classification of the </w:t>
      </w:r>
      <w:proofErr w:type="spellStart"/>
      <w:r w:rsidRPr="00610434">
        <w:rPr>
          <w:rFonts w:ascii="Helvetica" w:eastAsia="宋体" w:hAnsi="Helvetica" w:cs="Helvetica"/>
          <w:color w:val="333333"/>
          <w:kern w:val="0"/>
          <w:sz w:val="15"/>
          <w:szCs w:val="15"/>
        </w:rPr>
        <w:t>resorbable</w:t>
      </w:r>
      <w:proofErr w:type="spellEnd"/>
      <w:r w:rsidRPr="00610434">
        <w:rPr>
          <w:rFonts w:ascii="Helvetica" w:eastAsia="宋体" w:hAnsi="Helvetica" w:cs="Helvetica"/>
          <w:color w:val="333333"/>
          <w:kern w:val="0"/>
          <w:sz w:val="15"/>
          <w:szCs w:val="15"/>
        </w:rPr>
        <w:t xml:space="preserve"> calcium salt bone void filler device into class II (special controls). The device, as proposed, is intended to fill bony voids or gaps caused by trauma or surgery that are not intrinsic to the stability of the bony structure. This guidance is issued in conjunction with a Federal Register notice announcing the classification of the </w:t>
      </w:r>
      <w:proofErr w:type="spellStart"/>
      <w:r w:rsidRPr="00610434">
        <w:rPr>
          <w:rFonts w:ascii="Helvetica" w:eastAsia="宋体" w:hAnsi="Helvetica" w:cs="Helvetica"/>
          <w:color w:val="333333"/>
          <w:kern w:val="0"/>
          <w:sz w:val="15"/>
          <w:szCs w:val="15"/>
        </w:rPr>
        <w:t>resorbable</w:t>
      </w:r>
      <w:proofErr w:type="spellEnd"/>
      <w:r w:rsidRPr="00610434">
        <w:rPr>
          <w:rFonts w:ascii="Helvetica" w:eastAsia="宋体" w:hAnsi="Helvetica" w:cs="Helvetica"/>
          <w:color w:val="333333"/>
          <w:kern w:val="0"/>
          <w:sz w:val="15"/>
          <w:szCs w:val="15"/>
        </w:rPr>
        <w:t xml:space="preserve"> calcium salt bone void filler device.</w:t>
      </w:r>
    </w:p>
    <w:p w:rsidR="00610434" w:rsidRPr="00610434" w:rsidRDefault="00610434" w:rsidP="0061043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 xml:space="preserve">Following the effective date of this final classification rule, any firm submitting a 510(k) premarket notification for a </w:t>
      </w:r>
      <w:proofErr w:type="spellStart"/>
      <w:r w:rsidRPr="00610434">
        <w:rPr>
          <w:rFonts w:ascii="Helvetica" w:eastAsia="宋体" w:hAnsi="Helvetica" w:cs="Helvetica"/>
          <w:color w:val="333333"/>
          <w:kern w:val="0"/>
          <w:sz w:val="15"/>
          <w:szCs w:val="15"/>
        </w:rPr>
        <w:t>resorbable</w:t>
      </w:r>
      <w:proofErr w:type="spellEnd"/>
      <w:r w:rsidRPr="00610434">
        <w:rPr>
          <w:rFonts w:ascii="Helvetica" w:eastAsia="宋体" w:hAnsi="Helvetica" w:cs="Helvetica"/>
          <w:color w:val="333333"/>
          <w:kern w:val="0"/>
          <w:sz w:val="15"/>
          <w:szCs w:val="15"/>
        </w:rPr>
        <w:t xml:space="preserve"> calcium salt bone void filler device will need to address the issues covered in the special control guidance. However, the firm need only show that its device meets the recommendations of the guidance or in some other way provides equivalent assurances of safety and effectiveness.</w:t>
      </w:r>
    </w:p>
    <w:p w:rsidR="00610434" w:rsidRPr="00610434" w:rsidRDefault="00610434" w:rsidP="0061043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The firm must show that its device addresses the issues of safety and effectiveness identified in this guidance, either by meeting the recommendations of this guidance or by some other means that provides equivalent assurances of safety and effectiveness.</w:t>
      </w:r>
    </w:p>
    <w:p w:rsidR="00610434" w:rsidRPr="00610434" w:rsidRDefault="00610434" w:rsidP="0061043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20" w:anchor="top" w:history="1">
        <w:r w:rsidRPr="00610434">
          <w:rPr>
            <w:rFonts w:ascii="Helvetica" w:eastAsia="宋体" w:hAnsi="Helvetica" w:cs="Helvetica"/>
            <w:color w:val="005F9F"/>
            <w:kern w:val="0"/>
            <w:sz w:val="15"/>
            <w:u w:val="single"/>
          </w:rPr>
          <w:t>Back to the top</w:t>
        </w:r>
      </w:hyperlink>
    </w:p>
    <w:p w:rsidR="00610434" w:rsidRPr="00610434" w:rsidRDefault="00610434" w:rsidP="00610434">
      <w:pPr>
        <w:widowControl/>
        <w:spacing w:before="330" w:after="330"/>
        <w:ind w:firstLine="0"/>
        <w:jc w:val="left"/>
        <w:rPr>
          <w:rFonts w:ascii="宋体" w:eastAsia="宋体" w:hAnsi="宋体" w:cs="宋体"/>
          <w:kern w:val="0"/>
          <w:sz w:val="24"/>
          <w:szCs w:val="24"/>
        </w:rPr>
      </w:pPr>
      <w:r w:rsidRPr="00610434">
        <w:rPr>
          <w:rFonts w:ascii="宋体" w:eastAsia="宋体" w:hAnsi="宋体" w:cs="宋体"/>
          <w:kern w:val="0"/>
          <w:sz w:val="24"/>
          <w:szCs w:val="24"/>
        </w:rPr>
        <w:pict>
          <v:rect id="_x0000_i1027" style="width:0;height:0" o:hralign="center" o:hrstd="t" o:hrnoshade="t" o:hr="t" fillcolor="#333" stroked="f"/>
        </w:pict>
      </w:r>
    </w:p>
    <w:p w:rsidR="00610434" w:rsidRPr="00610434" w:rsidRDefault="00610434" w:rsidP="00610434">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610434">
        <w:rPr>
          <w:rFonts w:ascii="Helvetica" w:eastAsia="宋体" w:hAnsi="Helvetica" w:cs="Helvetica"/>
          <w:b/>
          <w:bCs/>
          <w:color w:val="333333"/>
          <w:kern w:val="0"/>
          <w:sz w:val="23"/>
          <w:szCs w:val="23"/>
        </w:rPr>
        <w:t>2. Background</w:t>
      </w:r>
    </w:p>
    <w:p w:rsidR="00610434" w:rsidRPr="00610434" w:rsidRDefault="00610434" w:rsidP="00610434">
      <w:pPr>
        <w:widowControl/>
        <w:shd w:val="clear" w:color="auto" w:fill="FFFFFF"/>
        <w:spacing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 xml:space="preserve">FDA believes that special controls, when combined with the general controls, will be sufficient to provide reasonable assurance of the safety and effectiveness of the </w:t>
      </w:r>
      <w:proofErr w:type="spellStart"/>
      <w:r w:rsidRPr="00610434">
        <w:rPr>
          <w:rFonts w:ascii="Helvetica" w:eastAsia="宋体" w:hAnsi="Helvetica" w:cs="Helvetica"/>
          <w:color w:val="333333"/>
          <w:kern w:val="0"/>
          <w:sz w:val="15"/>
          <w:szCs w:val="15"/>
        </w:rPr>
        <w:t>resorbable</w:t>
      </w:r>
      <w:proofErr w:type="spellEnd"/>
      <w:r w:rsidRPr="00610434">
        <w:rPr>
          <w:rFonts w:ascii="Helvetica" w:eastAsia="宋体" w:hAnsi="Helvetica" w:cs="Helvetica"/>
          <w:color w:val="333333"/>
          <w:kern w:val="0"/>
          <w:sz w:val="15"/>
          <w:szCs w:val="15"/>
        </w:rPr>
        <w:t xml:space="preserve"> calcium salt bone void filler device. Thus, a manufacturer who intends to market a device of this generic type should (1) conform to the general controls of the Federal Food, Drug &amp; Cosmetic Act (the Act), including the premarket notification requirements described in</w:t>
      </w:r>
      <w:hyperlink r:id="rId21" w:history="1">
        <w:r w:rsidRPr="00610434">
          <w:rPr>
            <w:rFonts w:ascii="Helvetica" w:eastAsia="宋体" w:hAnsi="Helvetica" w:cs="Helvetica"/>
            <w:color w:val="005F9F"/>
            <w:kern w:val="0"/>
            <w:sz w:val="15"/>
            <w:u w:val="single"/>
          </w:rPr>
          <w:t>21 CFR 807</w:t>
        </w:r>
      </w:hyperlink>
      <w:r w:rsidRPr="00610434">
        <w:rPr>
          <w:rFonts w:ascii="Helvetica" w:eastAsia="宋体" w:hAnsi="Helvetica" w:cs="Helvetica"/>
          <w:color w:val="333333"/>
          <w:kern w:val="0"/>
          <w:sz w:val="15"/>
        </w:rPr>
        <w:t> </w:t>
      </w:r>
      <w:r w:rsidRPr="00610434">
        <w:rPr>
          <w:rFonts w:ascii="Helvetica" w:eastAsia="宋体" w:hAnsi="Helvetica" w:cs="Helvetica"/>
          <w:color w:val="333333"/>
          <w:kern w:val="0"/>
          <w:sz w:val="15"/>
          <w:szCs w:val="15"/>
        </w:rPr>
        <w:t xml:space="preserve">Subpart E, (2) address the specific risks to health associated with the </w:t>
      </w:r>
      <w:proofErr w:type="spellStart"/>
      <w:r w:rsidRPr="00610434">
        <w:rPr>
          <w:rFonts w:ascii="Helvetica" w:eastAsia="宋体" w:hAnsi="Helvetica" w:cs="Helvetica"/>
          <w:color w:val="333333"/>
          <w:kern w:val="0"/>
          <w:sz w:val="15"/>
          <w:szCs w:val="15"/>
        </w:rPr>
        <w:t>resorbable</w:t>
      </w:r>
      <w:proofErr w:type="spellEnd"/>
      <w:r w:rsidRPr="00610434">
        <w:rPr>
          <w:rFonts w:ascii="Helvetica" w:eastAsia="宋体" w:hAnsi="Helvetica" w:cs="Helvetica"/>
          <w:color w:val="333333"/>
          <w:kern w:val="0"/>
          <w:sz w:val="15"/>
          <w:szCs w:val="15"/>
        </w:rPr>
        <w:t xml:space="preserve"> calcium salt bone void filler device identified in this guidance, and (3) obtain a substantial equivalence determination from FDA prior to marketing the device. (See also</w:t>
      </w:r>
      <w:r w:rsidRPr="00610434">
        <w:rPr>
          <w:rFonts w:ascii="Helvetica" w:eastAsia="宋体" w:hAnsi="Helvetica" w:cs="Helvetica"/>
          <w:color w:val="333333"/>
          <w:kern w:val="0"/>
          <w:sz w:val="15"/>
        </w:rPr>
        <w:t> </w:t>
      </w:r>
      <w:hyperlink r:id="rId22" w:history="1">
        <w:r w:rsidRPr="00610434">
          <w:rPr>
            <w:rFonts w:ascii="Helvetica" w:eastAsia="宋体" w:hAnsi="Helvetica" w:cs="Helvetica"/>
            <w:color w:val="005F9F"/>
            <w:kern w:val="0"/>
            <w:sz w:val="15"/>
            <w:u w:val="single"/>
          </w:rPr>
          <w:t>21 CFR 807.85</w:t>
        </w:r>
      </w:hyperlink>
      <w:r w:rsidRPr="00610434">
        <w:rPr>
          <w:rFonts w:ascii="Helvetica" w:eastAsia="宋体" w:hAnsi="Helvetica" w:cs="Helvetica"/>
          <w:color w:val="333333"/>
          <w:kern w:val="0"/>
          <w:sz w:val="15"/>
          <w:szCs w:val="15"/>
        </w:rPr>
        <w:t>).</w:t>
      </w:r>
    </w:p>
    <w:p w:rsidR="00610434" w:rsidRPr="00610434" w:rsidRDefault="00610434" w:rsidP="0061043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lastRenderedPageBreak/>
        <w:t xml:space="preserve">This special control guidance document identifies the classification regulation and product code for the </w:t>
      </w:r>
      <w:proofErr w:type="spellStart"/>
      <w:r w:rsidRPr="00610434">
        <w:rPr>
          <w:rFonts w:ascii="Helvetica" w:eastAsia="宋体" w:hAnsi="Helvetica" w:cs="Helvetica"/>
          <w:color w:val="333333"/>
          <w:kern w:val="0"/>
          <w:sz w:val="15"/>
          <w:szCs w:val="15"/>
        </w:rPr>
        <w:t>resorbable</w:t>
      </w:r>
      <w:proofErr w:type="spellEnd"/>
      <w:r w:rsidRPr="00610434">
        <w:rPr>
          <w:rFonts w:ascii="Helvetica" w:eastAsia="宋体" w:hAnsi="Helvetica" w:cs="Helvetica"/>
          <w:color w:val="333333"/>
          <w:kern w:val="0"/>
          <w:sz w:val="15"/>
          <w:szCs w:val="15"/>
        </w:rPr>
        <w:t xml:space="preserve"> calcium salt bone void filler device (Refer to</w:t>
      </w:r>
      <w:r w:rsidRPr="00610434">
        <w:rPr>
          <w:rFonts w:ascii="Helvetica" w:eastAsia="宋体" w:hAnsi="Helvetica" w:cs="Helvetica"/>
          <w:color w:val="333333"/>
          <w:kern w:val="0"/>
          <w:sz w:val="15"/>
        </w:rPr>
        <w:t> </w:t>
      </w:r>
      <w:hyperlink r:id="rId23" w:anchor="4" w:history="1">
        <w:r w:rsidRPr="00610434">
          <w:rPr>
            <w:rFonts w:ascii="Helvetica" w:eastAsia="宋体" w:hAnsi="Helvetica" w:cs="Helvetica"/>
            <w:color w:val="005F9F"/>
            <w:kern w:val="0"/>
            <w:sz w:val="15"/>
            <w:u w:val="single"/>
          </w:rPr>
          <w:t>Section 4</w:t>
        </w:r>
      </w:hyperlink>
      <w:r w:rsidRPr="00610434">
        <w:rPr>
          <w:rFonts w:ascii="Helvetica" w:eastAsia="宋体" w:hAnsi="Helvetica" w:cs="Helvetica"/>
          <w:color w:val="333333"/>
          <w:kern w:val="0"/>
          <w:sz w:val="15"/>
        </w:rPr>
        <w:t> </w:t>
      </w:r>
      <w:r w:rsidRPr="00610434">
        <w:rPr>
          <w:rFonts w:ascii="Helvetica" w:eastAsia="宋体" w:hAnsi="Helvetica" w:cs="Helvetica"/>
          <w:color w:val="333333"/>
          <w:kern w:val="0"/>
          <w:sz w:val="15"/>
          <w:szCs w:val="15"/>
        </w:rPr>
        <w:t>–</w:t>
      </w:r>
      <w:r w:rsidRPr="00610434">
        <w:rPr>
          <w:rFonts w:ascii="Helvetica" w:eastAsia="宋体" w:hAnsi="Helvetica" w:cs="Helvetica"/>
          <w:color w:val="333333"/>
          <w:kern w:val="0"/>
          <w:sz w:val="15"/>
        </w:rPr>
        <w:t> </w:t>
      </w:r>
      <w:r w:rsidRPr="00610434">
        <w:rPr>
          <w:rFonts w:ascii="Helvetica" w:eastAsia="宋体" w:hAnsi="Helvetica" w:cs="Helvetica"/>
          <w:b/>
          <w:bCs/>
          <w:color w:val="333333"/>
          <w:kern w:val="0"/>
          <w:sz w:val="15"/>
        </w:rPr>
        <w:t>Scope</w:t>
      </w:r>
      <w:r w:rsidRPr="00610434">
        <w:rPr>
          <w:rFonts w:ascii="Helvetica" w:eastAsia="宋体" w:hAnsi="Helvetica" w:cs="Helvetica"/>
          <w:color w:val="333333"/>
          <w:kern w:val="0"/>
          <w:sz w:val="15"/>
          <w:szCs w:val="15"/>
        </w:rPr>
        <w:t xml:space="preserve">). In addition, other sections of this special control guidance document list the risks to health identified by FDA and describe measures that, if followed by manufacturers and combined with the general controls, will generally address the risks associated with the </w:t>
      </w:r>
      <w:proofErr w:type="spellStart"/>
      <w:r w:rsidRPr="00610434">
        <w:rPr>
          <w:rFonts w:ascii="Helvetica" w:eastAsia="宋体" w:hAnsi="Helvetica" w:cs="Helvetica"/>
          <w:color w:val="333333"/>
          <w:kern w:val="0"/>
          <w:sz w:val="15"/>
          <w:szCs w:val="15"/>
        </w:rPr>
        <w:t>resorbable</w:t>
      </w:r>
      <w:proofErr w:type="spellEnd"/>
      <w:r w:rsidRPr="00610434">
        <w:rPr>
          <w:rFonts w:ascii="Helvetica" w:eastAsia="宋体" w:hAnsi="Helvetica" w:cs="Helvetica"/>
          <w:color w:val="333333"/>
          <w:kern w:val="0"/>
          <w:sz w:val="15"/>
          <w:szCs w:val="15"/>
        </w:rPr>
        <w:t xml:space="preserve"> calcium salt bone void filler device and lead to a timely premarket notification [510(k)] review and clearance. This document supplements other FDA documents regarding the specific content requirements of a premarket notification submission. You should also refer to</w:t>
      </w:r>
      <w:r w:rsidRPr="00610434">
        <w:rPr>
          <w:rFonts w:ascii="Helvetica" w:eastAsia="宋体" w:hAnsi="Helvetica" w:cs="Helvetica"/>
          <w:color w:val="333333"/>
          <w:kern w:val="0"/>
          <w:sz w:val="15"/>
        </w:rPr>
        <w:t> </w:t>
      </w:r>
      <w:hyperlink r:id="rId24" w:history="1">
        <w:r w:rsidRPr="00610434">
          <w:rPr>
            <w:rFonts w:ascii="Helvetica" w:eastAsia="宋体" w:hAnsi="Helvetica" w:cs="Helvetica"/>
            <w:color w:val="005F9F"/>
            <w:kern w:val="0"/>
            <w:sz w:val="15"/>
            <w:u w:val="single"/>
          </w:rPr>
          <w:t>21 CFR 807.87</w:t>
        </w:r>
        <w:r w:rsidRPr="00610434">
          <w:rPr>
            <w:rFonts w:ascii="Helvetica" w:eastAsia="宋体" w:hAnsi="Helvetica" w:cs="Helvetica"/>
            <w:color w:val="005F9F"/>
            <w:kern w:val="0"/>
            <w:sz w:val="15"/>
          </w:rPr>
          <w:t> </w:t>
        </w:r>
      </w:hyperlink>
      <w:r w:rsidRPr="00610434">
        <w:rPr>
          <w:rFonts w:ascii="Helvetica" w:eastAsia="宋体" w:hAnsi="Helvetica" w:cs="Helvetica"/>
          <w:color w:val="333333"/>
          <w:kern w:val="0"/>
          <w:sz w:val="15"/>
          <w:szCs w:val="15"/>
        </w:rPr>
        <w:t>and other FDA documents on this topic, such as</w:t>
      </w:r>
      <w:r w:rsidRPr="00610434">
        <w:rPr>
          <w:rFonts w:ascii="Helvetica" w:eastAsia="宋体" w:hAnsi="Helvetica" w:cs="Helvetica"/>
          <w:color w:val="333333"/>
          <w:kern w:val="0"/>
          <w:sz w:val="15"/>
        </w:rPr>
        <w:t> </w:t>
      </w:r>
      <w:hyperlink r:id="rId25" w:history="1">
        <w:r w:rsidRPr="00610434">
          <w:rPr>
            <w:rFonts w:ascii="Helvetica" w:eastAsia="宋体" w:hAnsi="Helvetica" w:cs="Helvetica"/>
            <w:b/>
            <w:bCs/>
            <w:color w:val="005F9F"/>
            <w:kern w:val="0"/>
            <w:sz w:val="15"/>
          </w:rPr>
          <w:t>Premarket Notification 510(k)</w:t>
        </w:r>
      </w:hyperlink>
      <w:r w:rsidRPr="00610434">
        <w:rPr>
          <w:rFonts w:ascii="Helvetica" w:eastAsia="宋体" w:hAnsi="Helvetica" w:cs="Helvetica"/>
          <w:color w:val="333333"/>
          <w:kern w:val="0"/>
          <w:sz w:val="15"/>
          <w:szCs w:val="15"/>
        </w:rPr>
        <w:t>.</w:t>
      </w:r>
    </w:p>
    <w:p w:rsidR="00610434" w:rsidRPr="00610434" w:rsidRDefault="00610434" w:rsidP="0061043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Under “</w:t>
      </w:r>
      <w:r w:rsidRPr="00610434">
        <w:rPr>
          <w:rFonts w:ascii="Helvetica" w:eastAsia="宋体" w:hAnsi="Helvetica" w:cs="Helvetica"/>
          <w:b/>
          <w:bCs/>
          <w:color w:val="333333"/>
          <w:kern w:val="0"/>
          <w:sz w:val="15"/>
        </w:rPr>
        <w:t xml:space="preserve">The New 510(k) Paradigm - Alternate Approaches to Demonstrating Substantial Equivalence in Premarket Notifications; Final </w:t>
      </w:r>
      <w:proofErr w:type="gramStart"/>
      <w:r w:rsidRPr="00610434">
        <w:rPr>
          <w:rFonts w:ascii="Helvetica" w:eastAsia="宋体" w:hAnsi="Helvetica" w:cs="Helvetica"/>
          <w:b/>
          <w:bCs/>
          <w:color w:val="333333"/>
          <w:kern w:val="0"/>
          <w:sz w:val="15"/>
        </w:rPr>
        <w:t>Guidance</w:t>
      </w:r>
      <w:r w:rsidRPr="00610434">
        <w:rPr>
          <w:rFonts w:ascii="Helvetica" w:eastAsia="宋体" w:hAnsi="Helvetica" w:cs="Helvetica"/>
          <w:b/>
          <w:bCs/>
          <w:color w:val="333333"/>
          <w:kern w:val="0"/>
          <w:sz w:val="13"/>
          <w:vertAlign w:val="superscript"/>
        </w:rPr>
        <w:t>1</w:t>
      </w:r>
      <w:r w:rsidRPr="00610434">
        <w:rPr>
          <w:rFonts w:ascii="Helvetica" w:eastAsia="宋体" w:hAnsi="Helvetica" w:cs="Helvetica"/>
          <w:color w:val="333333"/>
          <w:kern w:val="0"/>
          <w:sz w:val="15"/>
        </w:rPr>
        <w:t> </w:t>
      </w:r>
      <w:r w:rsidRPr="00610434">
        <w:rPr>
          <w:rFonts w:ascii="Helvetica" w:eastAsia="宋体" w:hAnsi="Helvetica" w:cs="Helvetica"/>
          <w:color w:val="333333"/>
          <w:kern w:val="0"/>
          <w:sz w:val="15"/>
          <w:szCs w:val="15"/>
        </w:rPr>
        <w:t>,</w:t>
      </w:r>
      <w:proofErr w:type="gramEnd"/>
      <w:r w:rsidRPr="00610434">
        <w:rPr>
          <w:rFonts w:ascii="Helvetica" w:eastAsia="宋体" w:hAnsi="Helvetica" w:cs="Helvetica"/>
          <w:color w:val="333333"/>
          <w:kern w:val="0"/>
          <w:sz w:val="15"/>
          <w:szCs w:val="15"/>
        </w:rPr>
        <w:t>” a manufacturer may submit a Traditional 510(k) or has the option of submitting either an Abbreviated 510(k) or a Special 510(k). FDA believes an Abbreviated 510(k) provides the least burdensome means of demonstrating substantial equivalence for a new device, particularly once a special controls guidance document has been issued. Manufacturers considering modifications to their own cleared devices may lessen the regulatory burden by submitting a Special 510(k).</w:t>
      </w:r>
    </w:p>
    <w:p w:rsidR="00610434" w:rsidRPr="00610434" w:rsidRDefault="00610434" w:rsidP="00610434">
      <w:pPr>
        <w:widowControl/>
        <w:shd w:val="clear" w:color="auto" w:fill="FFFFFF"/>
        <w:spacing w:before="236" w:after="118"/>
        <w:ind w:firstLine="0"/>
        <w:jc w:val="left"/>
        <w:outlineLvl w:val="3"/>
        <w:rPr>
          <w:rFonts w:ascii="Helvetica" w:eastAsia="宋体" w:hAnsi="Helvetica" w:cs="Helvetica"/>
          <w:b/>
          <w:bCs/>
          <w:color w:val="333333"/>
          <w:kern w:val="0"/>
          <w:sz w:val="19"/>
          <w:szCs w:val="19"/>
        </w:rPr>
      </w:pPr>
      <w:r w:rsidRPr="00610434">
        <w:rPr>
          <w:rFonts w:ascii="Helvetica" w:eastAsia="宋体" w:hAnsi="Helvetica" w:cs="Helvetica"/>
          <w:b/>
          <w:bCs/>
          <w:color w:val="333333"/>
          <w:kern w:val="0"/>
          <w:sz w:val="19"/>
          <w:szCs w:val="19"/>
        </w:rPr>
        <w:t>The Least Burdensome Approach</w:t>
      </w:r>
    </w:p>
    <w:p w:rsidR="00610434" w:rsidRPr="00610434" w:rsidRDefault="00610434" w:rsidP="00610434">
      <w:pPr>
        <w:widowControl/>
        <w:shd w:val="clear" w:color="auto" w:fill="FFFFFF"/>
        <w:spacing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The issues identified in this guidance document represent those that we believe need to be addressed before your device can be marketed. In developing the guidance, we carefully considered the relevant statutory criteria for Agency decision-making. We also considered the burden that may be incurred in your attempt to comply with the statutory and regulatory criteria in the manner suggested by the guidance and in your attempt to address the issues we have identified. We believe that we have considered the least burdensome approach to resolving the issues presented in the guidance document. If, however, you believe that there is a less burdensome way to address the issues, you should follow the procedures outlined in the “</w:t>
      </w:r>
      <w:hyperlink r:id="rId26" w:history="1">
        <w:r w:rsidRPr="00610434">
          <w:rPr>
            <w:rFonts w:ascii="Helvetica" w:eastAsia="宋体" w:hAnsi="Helvetica" w:cs="Helvetica"/>
            <w:b/>
            <w:bCs/>
            <w:color w:val="005F9F"/>
            <w:kern w:val="0"/>
            <w:sz w:val="15"/>
          </w:rPr>
          <w:t>A Suggested Approach to Resolving Least Burdensome Issues</w:t>
        </w:r>
      </w:hyperlink>
      <w:r w:rsidRPr="00610434">
        <w:rPr>
          <w:rFonts w:ascii="Helvetica" w:eastAsia="宋体" w:hAnsi="Helvetica" w:cs="Helvetica"/>
          <w:color w:val="333333"/>
          <w:kern w:val="0"/>
          <w:sz w:val="15"/>
          <w:szCs w:val="15"/>
        </w:rPr>
        <w:t>” document.</w:t>
      </w:r>
    </w:p>
    <w:p w:rsidR="00610434" w:rsidRPr="00610434" w:rsidRDefault="00610434" w:rsidP="0061043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27" w:anchor="top" w:history="1">
        <w:r w:rsidRPr="00610434">
          <w:rPr>
            <w:rFonts w:ascii="Helvetica" w:eastAsia="宋体" w:hAnsi="Helvetica" w:cs="Helvetica"/>
            <w:color w:val="005F9F"/>
            <w:kern w:val="0"/>
            <w:sz w:val="15"/>
            <w:u w:val="single"/>
          </w:rPr>
          <w:t>Back to the top</w:t>
        </w:r>
      </w:hyperlink>
    </w:p>
    <w:p w:rsidR="00610434" w:rsidRPr="00610434" w:rsidRDefault="00610434" w:rsidP="00610434">
      <w:pPr>
        <w:widowControl/>
        <w:spacing w:before="330" w:after="330"/>
        <w:ind w:firstLine="0"/>
        <w:jc w:val="left"/>
        <w:rPr>
          <w:rFonts w:ascii="宋体" w:eastAsia="宋体" w:hAnsi="宋体" w:cs="宋体"/>
          <w:kern w:val="0"/>
          <w:sz w:val="24"/>
          <w:szCs w:val="24"/>
        </w:rPr>
      </w:pPr>
      <w:r w:rsidRPr="00610434">
        <w:rPr>
          <w:rFonts w:ascii="宋体" w:eastAsia="宋体" w:hAnsi="宋体" w:cs="宋体"/>
          <w:kern w:val="0"/>
          <w:sz w:val="24"/>
          <w:szCs w:val="24"/>
        </w:rPr>
        <w:pict>
          <v:rect id="_x0000_i1028" style="width:0;height:0" o:hralign="center" o:hrstd="t" o:hrnoshade="t" o:hr="t" fillcolor="#333" stroked="f"/>
        </w:pict>
      </w:r>
    </w:p>
    <w:p w:rsidR="00610434" w:rsidRPr="00610434" w:rsidRDefault="00610434" w:rsidP="00610434">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610434">
        <w:rPr>
          <w:rFonts w:ascii="Helvetica" w:eastAsia="宋体" w:hAnsi="Helvetica" w:cs="Helvetica"/>
          <w:b/>
          <w:bCs/>
          <w:color w:val="333333"/>
          <w:kern w:val="0"/>
          <w:sz w:val="23"/>
          <w:szCs w:val="23"/>
        </w:rPr>
        <w:t>3. The Content and Format of an Abbreviated 510(k) Submission</w:t>
      </w:r>
    </w:p>
    <w:p w:rsidR="00610434" w:rsidRPr="00610434" w:rsidRDefault="00610434" w:rsidP="00610434">
      <w:pPr>
        <w:widowControl/>
        <w:shd w:val="clear" w:color="auto" w:fill="FFFFFF"/>
        <w:spacing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An Abbreviated 510(k) submission must include the required elements identified in 21 CFR 807.87, including the proposed labeling for the device sufficient to describe the device, its intended use, and the directions for its use. In an Abbreviated 510(k), FDA may consider the contents of a summary report to be appropriate supporting data within the meaning of 21 CFR 807.87(f) or (g); therefore, we recommend that you include a summary report. The report should describe how this special control guidance document was used during the device development and testing and should briefly describe the methods or tests used and a summary of the test data or description of the acceptance criteria applied to address the risks identified in this guidance document, as well as any additional risks specific to your device. This section suggests information to fulfill some of the requirements of 807.87 as well as some other items that we recommend you include in an Abbreviated 510(k).</w:t>
      </w:r>
    </w:p>
    <w:p w:rsidR="00610434" w:rsidRPr="00610434" w:rsidRDefault="00610434" w:rsidP="0061043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b/>
          <w:bCs/>
          <w:color w:val="333333"/>
          <w:kern w:val="0"/>
          <w:sz w:val="15"/>
        </w:rPr>
        <w:t>Coversheet</w:t>
      </w:r>
    </w:p>
    <w:p w:rsidR="00610434" w:rsidRPr="00610434" w:rsidRDefault="00610434" w:rsidP="0061043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The coversheet should prominently identify the submission as an Abbreviated 510(k) and cite the title of this class II special controls guidance document.</w:t>
      </w:r>
    </w:p>
    <w:p w:rsidR="00610434" w:rsidRPr="00610434" w:rsidRDefault="00610434" w:rsidP="0061043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b/>
          <w:bCs/>
          <w:color w:val="333333"/>
          <w:kern w:val="0"/>
          <w:sz w:val="15"/>
        </w:rPr>
        <w:t>Proposed labeling</w:t>
      </w:r>
    </w:p>
    <w:p w:rsidR="00610434" w:rsidRPr="00610434" w:rsidRDefault="00610434" w:rsidP="0061043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lastRenderedPageBreak/>
        <w:t>Proposed labeling should be sufficient to describe the device, its intended use, and the directions for its use. (Refer to</w:t>
      </w:r>
      <w:r w:rsidRPr="00610434">
        <w:rPr>
          <w:rFonts w:ascii="Helvetica" w:eastAsia="宋体" w:hAnsi="Helvetica" w:cs="Helvetica"/>
          <w:color w:val="333333"/>
          <w:kern w:val="0"/>
          <w:sz w:val="15"/>
        </w:rPr>
        <w:t> </w:t>
      </w:r>
      <w:hyperlink r:id="rId28" w:anchor="8" w:history="1">
        <w:r w:rsidRPr="00610434">
          <w:rPr>
            <w:rFonts w:ascii="Helvetica" w:eastAsia="宋体" w:hAnsi="Helvetica" w:cs="Helvetica"/>
            <w:color w:val="005F9F"/>
            <w:kern w:val="0"/>
            <w:sz w:val="15"/>
            <w:u w:val="single"/>
          </w:rPr>
          <w:t>Section 8</w:t>
        </w:r>
      </w:hyperlink>
      <w:r w:rsidRPr="00610434">
        <w:rPr>
          <w:rFonts w:ascii="Helvetica" w:eastAsia="宋体" w:hAnsi="Helvetica" w:cs="Helvetica"/>
          <w:color w:val="333333"/>
          <w:kern w:val="0"/>
          <w:sz w:val="15"/>
        </w:rPr>
        <w:t> </w:t>
      </w:r>
      <w:r w:rsidRPr="00610434">
        <w:rPr>
          <w:rFonts w:ascii="Helvetica" w:eastAsia="宋体" w:hAnsi="Helvetica" w:cs="Helvetica"/>
          <w:color w:val="333333"/>
          <w:kern w:val="0"/>
          <w:sz w:val="15"/>
          <w:szCs w:val="15"/>
        </w:rPr>
        <w:t>for specific information that should be included in the labeling for devices of the types covered by this document.)</w:t>
      </w:r>
    </w:p>
    <w:p w:rsidR="00610434" w:rsidRPr="00610434" w:rsidRDefault="00610434" w:rsidP="0061043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b/>
          <w:bCs/>
          <w:color w:val="333333"/>
          <w:kern w:val="0"/>
          <w:sz w:val="15"/>
        </w:rPr>
        <w:t>Summary report</w:t>
      </w:r>
    </w:p>
    <w:p w:rsidR="00610434" w:rsidRPr="00610434" w:rsidRDefault="00610434" w:rsidP="0061043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We recommend that the summary report contain:</w:t>
      </w:r>
    </w:p>
    <w:p w:rsidR="00610434" w:rsidRPr="00610434" w:rsidRDefault="00610434" w:rsidP="00610434">
      <w:pPr>
        <w:widowControl/>
        <w:numPr>
          <w:ilvl w:val="0"/>
          <w:numId w:val="3"/>
        </w:numPr>
        <w:shd w:val="clear" w:color="auto" w:fill="FFFFFF"/>
        <w:spacing w:line="207" w:lineRule="atLeast"/>
        <w:ind w:left="30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Description of the device and its intended use. We recommend that the description include a complete discussion of the performance specifications and, when appropriate, detailed, labeled drawings of the device. You should also submit an "indications for use" enclosure</w:t>
      </w:r>
      <w:r w:rsidRPr="00610434">
        <w:rPr>
          <w:rFonts w:ascii="Helvetica" w:eastAsia="宋体" w:hAnsi="Helvetica" w:cs="Helvetica"/>
          <w:color w:val="333333"/>
          <w:kern w:val="0"/>
          <w:sz w:val="13"/>
          <w:szCs w:val="13"/>
          <w:vertAlign w:val="superscript"/>
        </w:rPr>
        <w:t>2</w:t>
      </w:r>
      <w:r w:rsidRPr="00610434">
        <w:rPr>
          <w:rFonts w:ascii="Helvetica" w:eastAsia="宋体" w:hAnsi="Helvetica" w:cs="Helvetica"/>
          <w:color w:val="333333"/>
          <w:kern w:val="0"/>
          <w:sz w:val="15"/>
          <w:szCs w:val="15"/>
        </w:rPr>
        <w:t>.</w:t>
      </w:r>
    </w:p>
    <w:p w:rsidR="00610434" w:rsidRPr="00610434" w:rsidRDefault="00610434" w:rsidP="00610434">
      <w:pPr>
        <w:widowControl/>
        <w:numPr>
          <w:ilvl w:val="0"/>
          <w:numId w:val="3"/>
        </w:numPr>
        <w:shd w:val="clear" w:color="auto" w:fill="FFFFFF"/>
        <w:spacing w:before="120" w:line="207" w:lineRule="atLeast"/>
        <w:ind w:left="30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Description of device design requirements.</w:t>
      </w:r>
    </w:p>
    <w:p w:rsidR="00610434" w:rsidRPr="00610434" w:rsidRDefault="00610434" w:rsidP="00610434">
      <w:pPr>
        <w:widowControl/>
        <w:numPr>
          <w:ilvl w:val="0"/>
          <w:numId w:val="3"/>
        </w:numPr>
        <w:shd w:val="clear" w:color="auto" w:fill="FFFFFF"/>
        <w:spacing w:before="120" w:line="207" w:lineRule="atLeast"/>
        <w:ind w:left="30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Identification of the Risk Analysis method(s) used to assess the risk profile in general as well as the specific device’s design and the results of this analysis. (Refer to</w:t>
      </w:r>
      <w:r w:rsidRPr="00610434">
        <w:rPr>
          <w:rFonts w:ascii="Helvetica" w:eastAsia="宋体" w:hAnsi="Helvetica" w:cs="Helvetica"/>
          <w:color w:val="333333"/>
          <w:kern w:val="0"/>
          <w:sz w:val="15"/>
        </w:rPr>
        <w:t> </w:t>
      </w:r>
      <w:hyperlink r:id="rId29" w:anchor="5" w:history="1">
        <w:r w:rsidRPr="00610434">
          <w:rPr>
            <w:rFonts w:ascii="Helvetica" w:eastAsia="宋体" w:hAnsi="Helvetica" w:cs="Helvetica"/>
            <w:color w:val="005F9F"/>
            <w:kern w:val="0"/>
            <w:sz w:val="15"/>
            <w:u w:val="single"/>
          </w:rPr>
          <w:t>Section 5</w:t>
        </w:r>
      </w:hyperlink>
      <w:r w:rsidRPr="00610434">
        <w:rPr>
          <w:rFonts w:ascii="Helvetica" w:eastAsia="宋体" w:hAnsi="Helvetica" w:cs="Helvetica"/>
          <w:color w:val="333333"/>
          <w:kern w:val="0"/>
          <w:sz w:val="15"/>
        </w:rPr>
        <w:t> </w:t>
      </w:r>
      <w:r w:rsidRPr="00610434">
        <w:rPr>
          <w:rFonts w:ascii="Helvetica" w:eastAsia="宋体" w:hAnsi="Helvetica" w:cs="Helvetica"/>
          <w:color w:val="333333"/>
          <w:kern w:val="0"/>
          <w:sz w:val="15"/>
          <w:szCs w:val="15"/>
        </w:rPr>
        <w:t>for the risks to health generally associated with the use of this device that FDA has identified.)</w:t>
      </w:r>
    </w:p>
    <w:p w:rsidR="00610434" w:rsidRPr="00610434" w:rsidRDefault="00610434" w:rsidP="00610434">
      <w:pPr>
        <w:widowControl/>
        <w:numPr>
          <w:ilvl w:val="0"/>
          <w:numId w:val="3"/>
        </w:numPr>
        <w:shd w:val="clear" w:color="auto" w:fill="FFFFFF"/>
        <w:spacing w:before="120" w:line="207" w:lineRule="atLeast"/>
        <w:ind w:left="30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Discussion of the device characteristics that address the risks identified in this class II special controls guidance document, as well as any additional risks identified in your risk analysis.</w:t>
      </w:r>
    </w:p>
    <w:p w:rsidR="00610434" w:rsidRPr="00610434" w:rsidRDefault="00610434" w:rsidP="00610434">
      <w:pPr>
        <w:widowControl/>
        <w:numPr>
          <w:ilvl w:val="0"/>
          <w:numId w:val="3"/>
        </w:numPr>
        <w:shd w:val="clear" w:color="auto" w:fill="FFFFFF"/>
        <w:spacing w:before="120" w:line="207" w:lineRule="atLeast"/>
        <w:ind w:left="30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A brief description of the test method(s) you have used or intend to use to address each performance aspect identified in Sections 6-8 of this class II special controls guidance document. If you follow a suggested test method, you may cite the method rather than describing it. If you modify a suggested test method, you may cite the method but should provide sufficient information to explain the nature of and reason for the modification. For each test, you may either (1) briefly present the data resulting from the test in clear and concise form, such as a table,</w:t>
      </w:r>
      <w:r w:rsidRPr="00610434">
        <w:rPr>
          <w:rFonts w:ascii="Helvetica" w:eastAsia="宋体" w:hAnsi="Helvetica" w:cs="Helvetica"/>
          <w:color w:val="333333"/>
          <w:kern w:val="0"/>
          <w:sz w:val="15"/>
        </w:rPr>
        <w:t> </w:t>
      </w:r>
      <w:r w:rsidRPr="00610434">
        <w:rPr>
          <w:rFonts w:ascii="Helvetica" w:eastAsia="宋体" w:hAnsi="Helvetica" w:cs="Helvetica"/>
          <w:b/>
          <w:bCs/>
          <w:color w:val="333333"/>
          <w:kern w:val="0"/>
          <w:sz w:val="15"/>
        </w:rPr>
        <w:t>or</w:t>
      </w:r>
      <w:r w:rsidRPr="00610434">
        <w:rPr>
          <w:rFonts w:ascii="Helvetica" w:eastAsia="宋体" w:hAnsi="Helvetica" w:cs="Helvetica"/>
          <w:color w:val="333333"/>
          <w:kern w:val="0"/>
          <w:sz w:val="15"/>
        </w:rPr>
        <w:t> </w:t>
      </w:r>
      <w:r w:rsidRPr="00610434">
        <w:rPr>
          <w:rFonts w:ascii="Helvetica" w:eastAsia="宋体" w:hAnsi="Helvetica" w:cs="Helvetica"/>
          <w:color w:val="333333"/>
          <w:kern w:val="0"/>
          <w:sz w:val="15"/>
          <w:szCs w:val="15"/>
        </w:rPr>
        <w:t>(2) describe the acceptance criteria that you will apply to your test results</w:t>
      </w:r>
      <w:r w:rsidRPr="00610434">
        <w:rPr>
          <w:rFonts w:ascii="Helvetica" w:eastAsia="宋体" w:hAnsi="Helvetica" w:cs="Helvetica"/>
          <w:color w:val="333333"/>
          <w:kern w:val="0"/>
          <w:sz w:val="13"/>
          <w:szCs w:val="13"/>
          <w:vertAlign w:val="superscript"/>
        </w:rPr>
        <w:t>3</w:t>
      </w:r>
      <w:r w:rsidRPr="00610434">
        <w:rPr>
          <w:rFonts w:ascii="Helvetica" w:eastAsia="宋体" w:hAnsi="Helvetica" w:cs="Helvetica"/>
          <w:color w:val="333333"/>
          <w:kern w:val="0"/>
          <w:sz w:val="15"/>
          <w:szCs w:val="15"/>
        </w:rPr>
        <w:t>. (See also</w:t>
      </w:r>
      <w:r w:rsidRPr="00610434">
        <w:rPr>
          <w:rFonts w:ascii="Helvetica" w:eastAsia="宋体" w:hAnsi="Helvetica" w:cs="Helvetica"/>
          <w:color w:val="333333"/>
          <w:kern w:val="0"/>
          <w:sz w:val="15"/>
        </w:rPr>
        <w:t> </w:t>
      </w:r>
      <w:hyperlink r:id="rId30" w:history="1">
        <w:r w:rsidRPr="00610434">
          <w:rPr>
            <w:rFonts w:ascii="Helvetica" w:eastAsia="宋体" w:hAnsi="Helvetica" w:cs="Helvetica"/>
            <w:color w:val="005F9F"/>
            <w:kern w:val="0"/>
            <w:sz w:val="15"/>
            <w:u w:val="single"/>
          </w:rPr>
          <w:t>21 CFR 820.30</w:t>
        </w:r>
      </w:hyperlink>
      <w:r w:rsidRPr="00610434">
        <w:rPr>
          <w:rFonts w:ascii="Helvetica" w:eastAsia="宋体" w:hAnsi="Helvetica" w:cs="Helvetica"/>
          <w:color w:val="333333"/>
          <w:kern w:val="0"/>
          <w:sz w:val="15"/>
          <w:szCs w:val="15"/>
        </w:rPr>
        <w:t>, Subpart C - Design Controls for the Quality System Regulation.)</w:t>
      </w:r>
    </w:p>
    <w:p w:rsidR="00610434" w:rsidRPr="00610434" w:rsidRDefault="00610434" w:rsidP="00610434">
      <w:pPr>
        <w:widowControl/>
        <w:numPr>
          <w:ilvl w:val="0"/>
          <w:numId w:val="3"/>
        </w:numPr>
        <w:shd w:val="clear" w:color="auto" w:fill="FFFFFF"/>
        <w:spacing w:before="120" w:line="207" w:lineRule="atLeast"/>
        <w:ind w:left="30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If any part of the device design or testing relies on a recognized standard, (1) a statement that testing will be conducted and meet specified acceptance criteria before the product is marketed, or (2) a declaration of conformity to the standard</w:t>
      </w:r>
      <w:r w:rsidRPr="00610434">
        <w:rPr>
          <w:rFonts w:ascii="Helvetica" w:eastAsia="宋体" w:hAnsi="Helvetica" w:cs="Helvetica"/>
          <w:color w:val="333333"/>
          <w:kern w:val="0"/>
          <w:sz w:val="13"/>
          <w:szCs w:val="13"/>
          <w:vertAlign w:val="superscript"/>
        </w:rPr>
        <w:t>4</w:t>
      </w:r>
      <w:r w:rsidRPr="00610434">
        <w:rPr>
          <w:rFonts w:ascii="Helvetica" w:eastAsia="宋体" w:hAnsi="Helvetica" w:cs="Helvetica"/>
          <w:color w:val="333333"/>
          <w:kern w:val="0"/>
          <w:sz w:val="15"/>
          <w:szCs w:val="15"/>
        </w:rPr>
        <w:t>.</w:t>
      </w:r>
      <w:r w:rsidRPr="00610434">
        <w:rPr>
          <w:rFonts w:ascii="Helvetica" w:eastAsia="宋体" w:hAnsi="Helvetica" w:cs="Helvetica"/>
          <w:color w:val="333333"/>
          <w:kern w:val="0"/>
          <w:sz w:val="15"/>
        </w:rPr>
        <w:t> </w:t>
      </w:r>
      <w:r w:rsidRPr="00610434">
        <w:rPr>
          <w:rFonts w:ascii="Helvetica" w:eastAsia="宋体" w:hAnsi="Helvetica" w:cs="Helvetica"/>
          <w:b/>
          <w:bCs/>
          <w:color w:val="333333"/>
          <w:kern w:val="0"/>
          <w:sz w:val="15"/>
        </w:rPr>
        <w:t>Please note that testing must be completed before submitting a declaration of conformity to a recognized standard.</w:t>
      </w:r>
      <w:r w:rsidRPr="00610434">
        <w:rPr>
          <w:rFonts w:ascii="Helvetica" w:eastAsia="宋体" w:hAnsi="Helvetica" w:cs="Helvetica"/>
          <w:color w:val="333333"/>
          <w:kern w:val="0"/>
          <w:sz w:val="15"/>
        </w:rPr>
        <w:t> </w:t>
      </w:r>
      <w:r w:rsidRPr="00610434">
        <w:rPr>
          <w:rFonts w:ascii="Helvetica" w:eastAsia="宋体" w:hAnsi="Helvetica" w:cs="Helvetica"/>
          <w:color w:val="333333"/>
          <w:kern w:val="0"/>
          <w:sz w:val="15"/>
          <w:szCs w:val="15"/>
        </w:rPr>
        <w:t>(21 USC 514(c</w:t>
      </w:r>
      <w:proofErr w:type="gramStart"/>
      <w:r w:rsidRPr="00610434">
        <w:rPr>
          <w:rFonts w:ascii="Helvetica" w:eastAsia="宋体" w:hAnsi="Helvetica" w:cs="Helvetica"/>
          <w:color w:val="333333"/>
          <w:kern w:val="0"/>
          <w:sz w:val="15"/>
          <w:szCs w:val="15"/>
        </w:rPr>
        <w:t>)(</w:t>
      </w:r>
      <w:proofErr w:type="gramEnd"/>
      <w:r w:rsidRPr="00610434">
        <w:rPr>
          <w:rFonts w:ascii="Helvetica" w:eastAsia="宋体" w:hAnsi="Helvetica" w:cs="Helvetica"/>
          <w:color w:val="333333"/>
          <w:kern w:val="0"/>
          <w:sz w:val="15"/>
          <w:szCs w:val="15"/>
        </w:rPr>
        <w:t>2)(B)). For more information refer to the FDA guidance,</w:t>
      </w:r>
      <w:r w:rsidRPr="00610434">
        <w:rPr>
          <w:rFonts w:ascii="Helvetica" w:eastAsia="宋体" w:hAnsi="Helvetica" w:cs="Helvetica"/>
          <w:color w:val="333333"/>
          <w:kern w:val="0"/>
          <w:sz w:val="15"/>
        </w:rPr>
        <w:t> </w:t>
      </w:r>
      <w:hyperlink r:id="rId31" w:history="1">
        <w:r w:rsidRPr="00610434">
          <w:rPr>
            <w:rFonts w:ascii="Helvetica" w:eastAsia="宋体" w:hAnsi="Helvetica" w:cs="Helvetica"/>
            <w:b/>
            <w:bCs/>
            <w:color w:val="005F9F"/>
            <w:kern w:val="0"/>
            <w:sz w:val="15"/>
          </w:rPr>
          <w:t>Use of Standards in Substantial Equivalence Determinations; Final Guidance for Industry and FDA</w:t>
        </w:r>
      </w:hyperlink>
      <w:r w:rsidRPr="00610434">
        <w:rPr>
          <w:rFonts w:ascii="Helvetica" w:eastAsia="宋体" w:hAnsi="Helvetica" w:cs="Helvetica"/>
          <w:color w:val="333333"/>
          <w:kern w:val="0"/>
          <w:sz w:val="15"/>
          <w:szCs w:val="15"/>
        </w:rPr>
        <w:t>.</w:t>
      </w:r>
    </w:p>
    <w:p w:rsidR="00610434" w:rsidRPr="00610434" w:rsidRDefault="00610434" w:rsidP="00610434">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If it is not clear how you have addressed the risks identified by FDA or additional risks identified through your risk analysis, we may request additional information about aspects of the device’s performance characteristics. We may also request additional information if we need it to assess the adequacy of your acceptance criteria. (Under 21 CFR 807.87(l), we may request any additional information that is necessary to reach a determination regarding substantial equivalence.)</w:t>
      </w:r>
    </w:p>
    <w:p w:rsidR="00610434" w:rsidRPr="00610434" w:rsidRDefault="00610434" w:rsidP="0061043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 xml:space="preserve">As an alternative to submitting an Abbreviated 510(k), you can submit a Traditional 510(k) that provides all of the information and data required </w:t>
      </w:r>
      <w:proofErr w:type="gramStart"/>
      <w:r w:rsidRPr="00610434">
        <w:rPr>
          <w:rFonts w:ascii="Helvetica" w:eastAsia="宋体" w:hAnsi="Helvetica" w:cs="Helvetica"/>
          <w:color w:val="333333"/>
          <w:kern w:val="0"/>
          <w:sz w:val="15"/>
          <w:szCs w:val="15"/>
        </w:rPr>
        <w:t>under</w:t>
      </w:r>
      <w:proofErr w:type="gramEnd"/>
      <w:r w:rsidRPr="00610434">
        <w:rPr>
          <w:rFonts w:ascii="Helvetica" w:eastAsia="宋体" w:hAnsi="Helvetica" w:cs="Helvetica"/>
          <w:color w:val="333333"/>
          <w:kern w:val="0"/>
          <w:sz w:val="15"/>
          <w:szCs w:val="15"/>
        </w:rPr>
        <w:t xml:space="preserve"> 21 CFR 807.87 and described in this guidance. A Traditional 510(k) should include all of your methods, data, acceptance criteria, and conclusions. Manufacturers considering modifications to their own cleared devices should consider submitting Special 510(k</w:t>
      </w:r>
      <w:proofErr w:type="gramStart"/>
      <w:r w:rsidRPr="00610434">
        <w:rPr>
          <w:rFonts w:ascii="Helvetica" w:eastAsia="宋体" w:hAnsi="Helvetica" w:cs="Helvetica"/>
          <w:color w:val="333333"/>
          <w:kern w:val="0"/>
          <w:sz w:val="15"/>
          <w:szCs w:val="15"/>
        </w:rPr>
        <w:t>)s</w:t>
      </w:r>
      <w:proofErr w:type="gramEnd"/>
      <w:r w:rsidRPr="00610434">
        <w:rPr>
          <w:rFonts w:ascii="Helvetica" w:eastAsia="宋体" w:hAnsi="Helvetica" w:cs="Helvetica"/>
          <w:color w:val="333333"/>
          <w:kern w:val="0"/>
          <w:sz w:val="15"/>
          <w:szCs w:val="15"/>
        </w:rPr>
        <w:t>.</w:t>
      </w:r>
    </w:p>
    <w:p w:rsidR="00610434" w:rsidRPr="00610434" w:rsidRDefault="00610434" w:rsidP="0061043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 xml:space="preserve">The general discussion above applies to any device subject to a special controls guidance document. The following is a specific discussion of how you should apply this special controls guidance document to a premarket notification for a </w:t>
      </w:r>
      <w:proofErr w:type="spellStart"/>
      <w:r w:rsidRPr="00610434">
        <w:rPr>
          <w:rFonts w:ascii="Helvetica" w:eastAsia="宋体" w:hAnsi="Helvetica" w:cs="Helvetica"/>
          <w:color w:val="333333"/>
          <w:kern w:val="0"/>
          <w:sz w:val="15"/>
          <w:szCs w:val="15"/>
        </w:rPr>
        <w:t>resorbable</w:t>
      </w:r>
      <w:proofErr w:type="spellEnd"/>
      <w:r w:rsidRPr="00610434">
        <w:rPr>
          <w:rFonts w:ascii="Helvetica" w:eastAsia="宋体" w:hAnsi="Helvetica" w:cs="Helvetica"/>
          <w:color w:val="333333"/>
          <w:kern w:val="0"/>
          <w:sz w:val="15"/>
          <w:szCs w:val="15"/>
        </w:rPr>
        <w:t xml:space="preserve"> calcium salt bone void filler device.</w:t>
      </w:r>
    </w:p>
    <w:p w:rsidR="00610434" w:rsidRPr="00610434" w:rsidRDefault="00610434" w:rsidP="0061043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32" w:anchor="top" w:history="1">
        <w:r w:rsidRPr="00610434">
          <w:rPr>
            <w:rFonts w:ascii="Helvetica" w:eastAsia="宋体" w:hAnsi="Helvetica" w:cs="Helvetica"/>
            <w:color w:val="005F9F"/>
            <w:kern w:val="0"/>
            <w:sz w:val="15"/>
            <w:u w:val="single"/>
          </w:rPr>
          <w:t>Back to the top</w:t>
        </w:r>
      </w:hyperlink>
    </w:p>
    <w:p w:rsidR="00610434" w:rsidRPr="00610434" w:rsidRDefault="00610434" w:rsidP="00610434">
      <w:pPr>
        <w:widowControl/>
        <w:spacing w:before="330" w:after="330"/>
        <w:ind w:firstLine="0"/>
        <w:jc w:val="left"/>
        <w:rPr>
          <w:rFonts w:ascii="宋体" w:eastAsia="宋体" w:hAnsi="宋体" w:cs="宋体"/>
          <w:kern w:val="0"/>
          <w:sz w:val="24"/>
          <w:szCs w:val="24"/>
        </w:rPr>
      </w:pPr>
      <w:r w:rsidRPr="00610434">
        <w:rPr>
          <w:rFonts w:ascii="宋体" w:eastAsia="宋体" w:hAnsi="宋体" w:cs="宋体"/>
          <w:kern w:val="0"/>
          <w:sz w:val="24"/>
          <w:szCs w:val="24"/>
        </w:rPr>
        <w:lastRenderedPageBreak/>
        <w:pict>
          <v:rect id="_x0000_i1029" style="width:0;height:0" o:hralign="center" o:hrstd="t" o:hrnoshade="t" o:hr="t" fillcolor="#333" stroked="f"/>
        </w:pict>
      </w:r>
    </w:p>
    <w:p w:rsidR="00610434" w:rsidRPr="00610434" w:rsidRDefault="00610434" w:rsidP="00610434">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610434">
        <w:rPr>
          <w:rFonts w:ascii="Helvetica" w:eastAsia="宋体" w:hAnsi="Helvetica" w:cs="Helvetica"/>
          <w:b/>
          <w:bCs/>
          <w:color w:val="333333"/>
          <w:kern w:val="0"/>
          <w:sz w:val="23"/>
          <w:szCs w:val="23"/>
        </w:rPr>
        <w:t>4. Scope</w:t>
      </w:r>
    </w:p>
    <w:p w:rsidR="00610434" w:rsidRPr="00610434" w:rsidRDefault="00610434" w:rsidP="00610434">
      <w:pPr>
        <w:widowControl/>
        <w:shd w:val="clear" w:color="auto" w:fill="FFFFFF"/>
        <w:spacing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The scope of this document is limited to the following devices as described in 21 CFR 888.3045 (product code: MQV). The classification identification below identifies the device as it existed prior to May 28, 1976.</w:t>
      </w:r>
    </w:p>
    <w:p w:rsidR="00610434" w:rsidRPr="00610434" w:rsidRDefault="00610434" w:rsidP="0061043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proofErr w:type="gramStart"/>
      <w:r w:rsidRPr="00610434">
        <w:rPr>
          <w:rFonts w:ascii="Helvetica" w:eastAsia="宋体" w:hAnsi="Helvetica" w:cs="Helvetica"/>
          <w:b/>
          <w:bCs/>
          <w:color w:val="333333"/>
          <w:kern w:val="0"/>
          <w:sz w:val="15"/>
        </w:rPr>
        <w:t xml:space="preserve">§888.3045 </w:t>
      </w:r>
      <w:proofErr w:type="spellStart"/>
      <w:r w:rsidRPr="00610434">
        <w:rPr>
          <w:rFonts w:ascii="Helvetica" w:eastAsia="宋体" w:hAnsi="Helvetica" w:cs="Helvetica"/>
          <w:b/>
          <w:bCs/>
          <w:color w:val="333333"/>
          <w:kern w:val="0"/>
          <w:sz w:val="15"/>
        </w:rPr>
        <w:t>Resorbable</w:t>
      </w:r>
      <w:proofErr w:type="spellEnd"/>
      <w:r w:rsidRPr="00610434">
        <w:rPr>
          <w:rFonts w:ascii="Helvetica" w:eastAsia="宋体" w:hAnsi="Helvetica" w:cs="Helvetica"/>
          <w:b/>
          <w:bCs/>
          <w:color w:val="333333"/>
          <w:kern w:val="0"/>
          <w:sz w:val="15"/>
        </w:rPr>
        <w:t xml:space="preserve"> calcium salt bone</w:t>
      </w:r>
      <w:proofErr w:type="gramEnd"/>
      <w:r w:rsidRPr="00610434">
        <w:rPr>
          <w:rFonts w:ascii="Helvetica" w:eastAsia="宋体" w:hAnsi="Helvetica" w:cs="Helvetica"/>
          <w:b/>
          <w:bCs/>
          <w:color w:val="333333"/>
          <w:kern w:val="0"/>
          <w:sz w:val="15"/>
        </w:rPr>
        <w:t xml:space="preserve"> void filler device.</w:t>
      </w:r>
    </w:p>
    <w:p w:rsidR="00610434" w:rsidRPr="00610434" w:rsidRDefault="00610434" w:rsidP="00610434">
      <w:pPr>
        <w:widowControl/>
        <w:shd w:val="clear" w:color="auto" w:fill="FFFFFF"/>
        <w:spacing w:before="240" w:after="240" w:line="207" w:lineRule="atLeast"/>
        <w:ind w:left="600" w:firstLine="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(a)</w:t>
      </w:r>
      <w:r w:rsidRPr="00610434">
        <w:rPr>
          <w:rFonts w:ascii="Helvetica" w:eastAsia="宋体" w:hAnsi="Helvetica" w:cs="Helvetica"/>
          <w:color w:val="333333"/>
          <w:kern w:val="0"/>
          <w:sz w:val="15"/>
        </w:rPr>
        <w:t> </w:t>
      </w:r>
      <w:r w:rsidRPr="00610434">
        <w:rPr>
          <w:rFonts w:ascii="Helvetica" w:eastAsia="宋体" w:hAnsi="Helvetica" w:cs="Helvetica"/>
          <w:i/>
          <w:iCs/>
          <w:color w:val="333333"/>
          <w:kern w:val="0"/>
          <w:sz w:val="15"/>
        </w:rPr>
        <w:t>Identification</w:t>
      </w:r>
      <w:r w:rsidRPr="00610434">
        <w:rPr>
          <w:rFonts w:ascii="Helvetica" w:eastAsia="宋体" w:hAnsi="Helvetica" w:cs="Helvetica"/>
          <w:color w:val="333333"/>
          <w:kern w:val="0"/>
          <w:sz w:val="15"/>
          <w:szCs w:val="15"/>
        </w:rPr>
        <w:t xml:space="preserve">. A </w:t>
      </w:r>
      <w:proofErr w:type="spellStart"/>
      <w:r w:rsidRPr="00610434">
        <w:rPr>
          <w:rFonts w:ascii="Helvetica" w:eastAsia="宋体" w:hAnsi="Helvetica" w:cs="Helvetica"/>
          <w:color w:val="333333"/>
          <w:kern w:val="0"/>
          <w:sz w:val="15"/>
          <w:szCs w:val="15"/>
        </w:rPr>
        <w:t>resorbable</w:t>
      </w:r>
      <w:proofErr w:type="spellEnd"/>
      <w:r w:rsidRPr="00610434">
        <w:rPr>
          <w:rFonts w:ascii="Helvetica" w:eastAsia="宋体" w:hAnsi="Helvetica" w:cs="Helvetica"/>
          <w:color w:val="333333"/>
          <w:kern w:val="0"/>
          <w:sz w:val="15"/>
          <w:szCs w:val="15"/>
        </w:rPr>
        <w:t xml:space="preserve"> calcium salt bone void filler device is a </w:t>
      </w:r>
      <w:proofErr w:type="spellStart"/>
      <w:r w:rsidRPr="00610434">
        <w:rPr>
          <w:rFonts w:ascii="Helvetica" w:eastAsia="宋体" w:hAnsi="Helvetica" w:cs="Helvetica"/>
          <w:color w:val="333333"/>
          <w:kern w:val="0"/>
          <w:sz w:val="15"/>
          <w:szCs w:val="15"/>
        </w:rPr>
        <w:t>resorbable</w:t>
      </w:r>
      <w:proofErr w:type="spellEnd"/>
      <w:r w:rsidRPr="00610434">
        <w:rPr>
          <w:rFonts w:ascii="Helvetica" w:eastAsia="宋体" w:hAnsi="Helvetica" w:cs="Helvetica"/>
          <w:color w:val="333333"/>
          <w:kern w:val="0"/>
          <w:sz w:val="15"/>
          <w:szCs w:val="15"/>
        </w:rPr>
        <w:t xml:space="preserve"> implant intended to fill bony voids or gaps of the extremities, spine, and pelvis that are caused by trauma or surgery and are not intrinsic to the stability of the bony structure.</w:t>
      </w:r>
    </w:p>
    <w:p w:rsidR="00610434" w:rsidRPr="00610434" w:rsidRDefault="00610434" w:rsidP="00610434">
      <w:pPr>
        <w:widowControl/>
        <w:shd w:val="clear" w:color="auto" w:fill="FFFFFF"/>
        <w:spacing w:before="240" w:after="240" w:line="207" w:lineRule="atLeast"/>
        <w:ind w:left="600" w:firstLine="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(b)</w:t>
      </w:r>
      <w:r w:rsidRPr="00610434">
        <w:rPr>
          <w:rFonts w:ascii="Helvetica" w:eastAsia="宋体" w:hAnsi="Helvetica" w:cs="Helvetica"/>
          <w:color w:val="333333"/>
          <w:kern w:val="0"/>
          <w:sz w:val="15"/>
        </w:rPr>
        <w:t> </w:t>
      </w:r>
      <w:r w:rsidRPr="00610434">
        <w:rPr>
          <w:rFonts w:ascii="Helvetica" w:eastAsia="宋体" w:hAnsi="Helvetica" w:cs="Helvetica"/>
          <w:i/>
          <w:iCs/>
          <w:color w:val="333333"/>
          <w:kern w:val="0"/>
          <w:sz w:val="15"/>
        </w:rPr>
        <w:t>Classification</w:t>
      </w:r>
      <w:r w:rsidRPr="00610434">
        <w:rPr>
          <w:rFonts w:ascii="Helvetica" w:eastAsia="宋体" w:hAnsi="Helvetica" w:cs="Helvetica"/>
          <w:color w:val="333333"/>
          <w:kern w:val="0"/>
          <w:sz w:val="15"/>
          <w:szCs w:val="15"/>
        </w:rPr>
        <w:t xml:space="preserve">. </w:t>
      </w:r>
      <w:proofErr w:type="gramStart"/>
      <w:r w:rsidRPr="00610434">
        <w:rPr>
          <w:rFonts w:ascii="Helvetica" w:eastAsia="宋体" w:hAnsi="Helvetica" w:cs="Helvetica"/>
          <w:color w:val="333333"/>
          <w:kern w:val="0"/>
          <w:sz w:val="15"/>
          <w:szCs w:val="15"/>
        </w:rPr>
        <w:t>Class II (special controls).</w:t>
      </w:r>
      <w:proofErr w:type="gramEnd"/>
      <w:r w:rsidRPr="00610434">
        <w:rPr>
          <w:rFonts w:ascii="Helvetica" w:eastAsia="宋体" w:hAnsi="Helvetica" w:cs="Helvetica"/>
          <w:color w:val="333333"/>
          <w:kern w:val="0"/>
          <w:sz w:val="15"/>
          <w:szCs w:val="15"/>
        </w:rPr>
        <w:t xml:space="preserve"> The special control for this device is the FDA guidance document entitled "Class II Special Controls Guidance Document: </w:t>
      </w:r>
      <w:proofErr w:type="spellStart"/>
      <w:r w:rsidRPr="00610434">
        <w:rPr>
          <w:rFonts w:ascii="Helvetica" w:eastAsia="宋体" w:hAnsi="Helvetica" w:cs="Helvetica"/>
          <w:color w:val="333333"/>
          <w:kern w:val="0"/>
          <w:sz w:val="15"/>
          <w:szCs w:val="15"/>
        </w:rPr>
        <w:t>Resorbable</w:t>
      </w:r>
      <w:proofErr w:type="spellEnd"/>
      <w:r w:rsidRPr="00610434">
        <w:rPr>
          <w:rFonts w:ascii="Helvetica" w:eastAsia="宋体" w:hAnsi="Helvetica" w:cs="Helvetica"/>
          <w:color w:val="333333"/>
          <w:kern w:val="0"/>
          <w:sz w:val="15"/>
          <w:szCs w:val="15"/>
        </w:rPr>
        <w:t xml:space="preserve"> Calcium Salt Bone Void Filler Device; Guidance for Industry and FDA."</w:t>
      </w:r>
    </w:p>
    <w:p w:rsidR="00610434" w:rsidRPr="00610434" w:rsidRDefault="00610434" w:rsidP="0061043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 xml:space="preserve">Bone void filler devices composed of alternate materials may be demonstrated to be substantially equivalent under section 510(k) of the Act to the </w:t>
      </w:r>
      <w:proofErr w:type="spellStart"/>
      <w:r w:rsidRPr="00610434">
        <w:rPr>
          <w:rFonts w:ascii="Helvetica" w:eastAsia="宋体" w:hAnsi="Helvetica" w:cs="Helvetica"/>
          <w:color w:val="333333"/>
          <w:kern w:val="0"/>
          <w:sz w:val="15"/>
          <w:szCs w:val="15"/>
        </w:rPr>
        <w:t>resorbable</w:t>
      </w:r>
      <w:proofErr w:type="spellEnd"/>
      <w:r w:rsidRPr="00610434">
        <w:rPr>
          <w:rFonts w:ascii="Helvetica" w:eastAsia="宋体" w:hAnsi="Helvetica" w:cs="Helvetica"/>
          <w:color w:val="333333"/>
          <w:kern w:val="0"/>
          <w:sz w:val="15"/>
          <w:szCs w:val="15"/>
        </w:rPr>
        <w:t xml:space="preserve"> calcium salt bone void filler device identified in this guidance document. However, this guidance document does not specifically address the type of other information that may be applicable to devices composed of alternative materials.</w:t>
      </w:r>
    </w:p>
    <w:p w:rsidR="00610434" w:rsidRPr="00610434" w:rsidRDefault="00610434" w:rsidP="0061043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This guidance document is not intended to address devices composed of calcium salts derived from a biological source (e.g., either animal or human tissue), or calcium salt additives derived from a biological source. This guidance document is also not intended to address use of the device in filling bony voids or gaps that, in the absence of the bone void filler, would require stabilization or fixation for stabilization (e.g., cast, internal fixation, external fixation, or other internal or external stabilization methods) to prevent collapse.</w:t>
      </w:r>
    </w:p>
    <w:p w:rsidR="00610434" w:rsidRPr="00610434" w:rsidRDefault="00610434" w:rsidP="0061043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33" w:anchor="top" w:history="1">
        <w:r w:rsidRPr="00610434">
          <w:rPr>
            <w:rFonts w:ascii="Helvetica" w:eastAsia="宋体" w:hAnsi="Helvetica" w:cs="Helvetica"/>
            <w:color w:val="005F9F"/>
            <w:kern w:val="0"/>
            <w:sz w:val="15"/>
            <w:u w:val="single"/>
          </w:rPr>
          <w:t>Back to the top</w:t>
        </w:r>
      </w:hyperlink>
    </w:p>
    <w:p w:rsidR="00610434" w:rsidRPr="00610434" w:rsidRDefault="00610434" w:rsidP="00610434">
      <w:pPr>
        <w:widowControl/>
        <w:spacing w:before="330" w:after="330"/>
        <w:ind w:firstLine="0"/>
        <w:jc w:val="left"/>
        <w:rPr>
          <w:rFonts w:ascii="宋体" w:eastAsia="宋体" w:hAnsi="宋体" w:cs="宋体"/>
          <w:kern w:val="0"/>
          <w:sz w:val="24"/>
          <w:szCs w:val="24"/>
        </w:rPr>
      </w:pPr>
      <w:r w:rsidRPr="00610434">
        <w:rPr>
          <w:rFonts w:ascii="宋体" w:eastAsia="宋体" w:hAnsi="宋体" w:cs="宋体"/>
          <w:kern w:val="0"/>
          <w:sz w:val="24"/>
          <w:szCs w:val="24"/>
        </w:rPr>
        <w:pict>
          <v:rect id="_x0000_i1030" style="width:0;height:0" o:hralign="center" o:hrstd="t" o:hrnoshade="t" o:hr="t" fillcolor="#333" stroked="f"/>
        </w:pict>
      </w:r>
    </w:p>
    <w:p w:rsidR="00610434" w:rsidRPr="00610434" w:rsidRDefault="00610434" w:rsidP="00610434">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610434">
        <w:rPr>
          <w:rFonts w:ascii="Helvetica" w:eastAsia="宋体" w:hAnsi="Helvetica" w:cs="Helvetica"/>
          <w:b/>
          <w:bCs/>
          <w:color w:val="333333"/>
          <w:kern w:val="0"/>
          <w:sz w:val="23"/>
          <w:szCs w:val="23"/>
        </w:rPr>
        <w:t>5. Risks to Health</w:t>
      </w:r>
    </w:p>
    <w:p w:rsidR="00610434" w:rsidRPr="00610434" w:rsidRDefault="00610434" w:rsidP="00610434">
      <w:pPr>
        <w:widowControl/>
        <w:shd w:val="clear" w:color="auto" w:fill="FFFFFF"/>
        <w:spacing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 xml:space="preserve">In the table below, FDA has identified the risks to health generally associated with the use of the </w:t>
      </w:r>
      <w:proofErr w:type="spellStart"/>
      <w:r w:rsidRPr="00610434">
        <w:rPr>
          <w:rFonts w:ascii="Helvetica" w:eastAsia="宋体" w:hAnsi="Helvetica" w:cs="Helvetica"/>
          <w:color w:val="333333"/>
          <w:kern w:val="0"/>
          <w:sz w:val="15"/>
          <w:szCs w:val="15"/>
        </w:rPr>
        <w:t>resorbable</w:t>
      </w:r>
      <w:proofErr w:type="spellEnd"/>
      <w:r w:rsidRPr="00610434">
        <w:rPr>
          <w:rFonts w:ascii="Helvetica" w:eastAsia="宋体" w:hAnsi="Helvetica" w:cs="Helvetica"/>
          <w:color w:val="333333"/>
          <w:kern w:val="0"/>
          <w:sz w:val="15"/>
          <w:szCs w:val="15"/>
        </w:rPr>
        <w:t xml:space="preserve"> calcium salt bone void filler device addressed in this document. The measures recommended to mitigate these identified risks are given in this guidance document, as shown in the table below. You should also conduct a risk analysis, prior to submitting your premarket notification, to identify any other risks specific to your device. The premarket notification should describe the risk analysis method. If you elect to use an alternative approach to address a particular risk identified in this guidance document, or have identified risks additional to those in the guidance, you should provide sufficient detail to support the approach you have used to address that risk.</w:t>
      </w:r>
    </w:p>
    <w:tbl>
      <w:tblPr>
        <w:tblW w:w="7651" w:type="dxa"/>
        <w:tblBorders>
          <w:top w:val="single" w:sz="4" w:space="0" w:color="DDDDDD"/>
          <w:left w:val="single" w:sz="4" w:space="0" w:color="DDDDDD"/>
          <w:bottom w:val="single" w:sz="4" w:space="0" w:color="DDDDDD"/>
          <w:right w:val="single" w:sz="4" w:space="0" w:color="DDDDDD"/>
        </w:tblBorders>
        <w:tblCellMar>
          <w:top w:w="15" w:type="dxa"/>
          <w:left w:w="15" w:type="dxa"/>
          <w:bottom w:w="15" w:type="dxa"/>
          <w:right w:w="15" w:type="dxa"/>
        </w:tblCellMar>
        <w:tblLook w:val="04A0"/>
      </w:tblPr>
      <w:tblGrid>
        <w:gridCol w:w="5119"/>
        <w:gridCol w:w="2532"/>
      </w:tblGrid>
      <w:tr w:rsidR="00610434" w:rsidRPr="00610434" w:rsidTr="00610434">
        <w:trPr>
          <w:tblHeader/>
        </w:trPr>
        <w:tc>
          <w:tcPr>
            <w:tcW w:w="0" w:type="auto"/>
            <w:tcBorders>
              <w:top w:val="nil"/>
              <w:left w:val="single" w:sz="4" w:space="0" w:color="DDDDDD"/>
              <w:bottom w:val="single" w:sz="8" w:space="0" w:color="DDDDDD"/>
              <w:right w:val="single" w:sz="4" w:space="0" w:color="DDDDDD"/>
            </w:tcBorders>
            <w:shd w:val="clear" w:color="auto" w:fill="CCCCCC"/>
            <w:tcMar>
              <w:top w:w="54" w:type="dxa"/>
              <w:left w:w="54" w:type="dxa"/>
              <w:bottom w:w="54" w:type="dxa"/>
              <w:right w:w="54" w:type="dxa"/>
            </w:tcMar>
            <w:vAlign w:val="bottom"/>
            <w:hideMark/>
          </w:tcPr>
          <w:p w:rsidR="00610434" w:rsidRPr="00610434" w:rsidRDefault="00610434" w:rsidP="00610434">
            <w:pPr>
              <w:widowControl/>
              <w:spacing w:before="285" w:after="285"/>
              <w:ind w:firstLine="0"/>
              <w:jc w:val="left"/>
              <w:rPr>
                <w:rFonts w:ascii="宋体" w:eastAsia="宋体" w:hAnsi="宋体" w:cs="宋体"/>
                <w:b/>
                <w:bCs/>
                <w:kern w:val="0"/>
                <w:szCs w:val="21"/>
              </w:rPr>
            </w:pPr>
            <w:r w:rsidRPr="00610434">
              <w:rPr>
                <w:rFonts w:ascii="宋体" w:eastAsia="宋体" w:hAnsi="宋体" w:cs="宋体"/>
                <w:b/>
                <w:bCs/>
                <w:kern w:val="0"/>
                <w:szCs w:val="21"/>
              </w:rPr>
              <w:t>Identified risk</w:t>
            </w:r>
          </w:p>
        </w:tc>
        <w:tc>
          <w:tcPr>
            <w:tcW w:w="0" w:type="auto"/>
            <w:tcBorders>
              <w:top w:val="nil"/>
              <w:left w:val="single" w:sz="4" w:space="0" w:color="DDDDDD"/>
              <w:bottom w:val="single" w:sz="8" w:space="0" w:color="DDDDDD"/>
              <w:right w:val="single" w:sz="4" w:space="0" w:color="DDDDDD"/>
            </w:tcBorders>
            <w:shd w:val="clear" w:color="auto" w:fill="CCCCCC"/>
            <w:tcMar>
              <w:top w:w="54" w:type="dxa"/>
              <w:left w:w="54" w:type="dxa"/>
              <w:bottom w:w="54" w:type="dxa"/>
              <w:right w:w="54" w:type="dxa"/>
            </w:tcMar>
            <w:vAlign w:val="bottom"/>
            <w:hideMark/>
          </w:tcPr>
          <w:p w:rsidR="00610434" w:rsidRPr="00610434" w:rsidRDefault="00610434" w:rsidP="00610434">
            <w:pPr>
              <w:widowControl/>
              <w:spacing w:before="285" w:after="285"/>
              <w:ind w:firstLine="0"/>
              <w:jc w:val="left"/>
              <w:rPr>
                <w:rFonts w:ascii="宋体" w:eastAsia="宋体" w:hAnsi="宋体" w:cs="宋体"/>
                <w:b/>
                <w:bCs/>
                <w:kern w:val="0"/>
                <w:szCs w:val="21"/>
              </w:rPr>
            </w:pPr>
            <w:r w:rsidRPr="00610434">
              <w:rPr>
                <w:rFonts w:ascii="宋体" w:eastAsia="宋体" w:hAnsi="宋体" w:cs="宋体"/>
                <w:b/>
                <w:bCs/>
                <w:kern w:val="0"/>
                <w:szCs w:val="21"/>
              </w:rPr>
              <w:t>Recommended mitigation measures</w:t>
            </w:r>
          </w:p>
        </w:tc>
      </w:tr>
      <w:tr w:rsidR="00610434" w:rsidRPr="00610434" w:rsidTr="00610434">
        <w:tc>
          <w:tcPr>
            <w:tcW w:w="0" w:type="auto"/>
            <w:tcBorders>
              <w:top w:val="single" w:sz="4" w:space="0" w:color="DDDDDD"/>
              <w:left w:val="single" w:sz="4" w:space="0" w:color="DDDDDD"/>
              <w:bottom w:val="single" w:sz="4" w:space="0" w:color="DDDDDD"/>
              <w:right w:val="single" w:sz="4" w:space="0" w:color="DDDDDD"/>
            </w:tcBorders>
            <w:shd w:val="clear" w:color="auto" w:fill="auto"/>
            <w:tcMar>
              <w:top w:w="54" w:type="dxa"/>
              <w:left w:w="54" w:type="dxa"/>
              <w:bottom w:w="54" w:type="dxa"/>
              <w:right w:w="54" w:type="dxa"/>
            </w:tcMar>
            <w:hideMark/>
          </w:tcPr>
          <w:p w:rsidR="00610434" w:rsidRPr="00610434" w:rsidRDefault="00610434" w:rsidP="00610434">
            <w:pPr>
              <w:widowControl/>
              <w:spacing w:before="285" w:after="285"/>
              <w:ind w:firstLine="0"/>
              <w:jc w:val="left"/>
              <w:rPr>
                <w:rFonts w:ascii="宋体" w:eastAsia="宋体" w:hAnsi="宋体" w:cs="宋体"/>
                <w:kern w:val="0"/>
                <w:szCs w:val="21"/>
              </w:rPr>
            </w:pPr>
            <w:r w:rsidRPr="00610434">
              <w:rPr>
                <w:rFonts w:ascii="宋体" w:eastAsia="宋体" w:hAnsi="宋体" w:cs="宋体"/>
                <w:kern w:val="0"/>
                <w:szCs w:val="21"/>
              </w:rPr>
              <w:lastRenderedPageBreak/>
              <w:t>infection of the soft tissue and/or bone (</w:t>
            </w:r>
            <w:proofErr w:type="spellStart"/>
            <w:r w:rsidRPr="00610434">
              <w:rPr>
                <w:rFonts w:ascii="宋体" w:eastAsia="宋体" w:hAnsi="宋体" w:cs="宋体"/>
                <w:kern w:val="0"/>
                <w:szCs w:val="21"/>
              </w:rPr>
              <w:t>osteomyelitis</w:t>
            </w:r>
            <w:proofErr w:type="spellEnd"/>
            <w:r w:rsidRPr="00610434">
              <w:rPr>
                <w:rFonts w:ascii="宋体" w:eastAsia="宋体" w:hAnsi="宋体" w:cs="宋体"/>
                <w:kern w:val="0"/>
                <w:szCs w:val="21"/>
              </w:rPr>
              <w:t>)</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54" w:type="dxa"/>
              <w:left w:w="54" w:type="dxa"/>
              <w:bottom w:w="54" w:type="dxa"/>
              <w:right w:w="54" w:type="dxa"/>
            </w:tcMar>
            <w:hideMark/>
          </w:tcPr>
          <w:p w:rsidR="00610434" w:rsidRPr="00610434" w:rsidRDefault="00610434" w:rsidP="00610434">
            <w:pPr>
              <w:widowControl/>
              <w:spacing w:before="285" w:after="285"/>
              <w:ind w:firstLine="0"/>
              <w:jc w:val="left"/>
              <w:rPr>
                <w:rFonts w:ascii="宋体" w:eastAsia="宋体" w:hAnsi="宋体" w:cs="宋体"/>
                <w:kern w:val="0"/>
                <w:szCs w:val="21"/>
              </w:rPr>
            </w:pPr>
            <w:hyperlink r:id="rId34" w:anchor="9" w:history="1">
              <w:r w:rsidRPr="00610434">
                <w:rPr>
                  <w:rFonts w:ascii="宋体" w:eastAsia="宋体" w:hAnsi="宋体" w:cs="宋体"/>
                  <w:color w:val="005F9F"/>
                  <w:kern w:val="0"/>
                  <w:u w:val="single"/>
                </w:rPr>
                <w:t>Section 9</w:t>
              </w:r>
            </w:hyperlink>
          </w:p>
        </w:tc>
      </w:tr>
      <w:tr w:rsidR="00610434" w:rsidRPr="00610434" w:rsidTr="00610434">
        <w:tc>
          <w:tcPr>
            <w:tcW w:w="0" w:type="auto"/>
            <w:tcBorders>
              <w:top w:val="single" w:sz="4" w:space="0" w:color="DDDDDD"/>
              <w:left w:val="single" w:sz="4" w:space="0" w:color="DDDDDD"/>
              <w:bottom w:val="single" w:sz="4" w:space="0" w:color="DDDDDD"/>
              <w:right w:val="single" w:sz="4" w:space="0" w:color="DDDDDD"/>
            </w:tcBorders>
            <w:shd w:val="clear" w:color="auto" w:fill="auto"/>
            <w:tcMar>
              <w:top w:w="54" w:type="dxa"/>
              <w:left w:w="54" w:type="dxa"/>
              <w:bottom w:w="54" w:type="dxa"/>
              <w:right w:w="54" w:type="dxa"/>
            </w:tcMar>
            <w:hideMark/>
          </w:tcPr>
          <w:p w:rsidR="00610434" w:rsidRPr="00610434" w:rsidRDefault="00610434" w:rsidP="00610434">
            <w:pPr>
              <w:widowControl/>
              <w:spacing w:before="285" w:after="285"/>
              <w:ind w:firstLine="0"/>
              <w:jc w:val="left"/>
              <w:rPr>
                <w:rFonts w:ascii="宋体" w:eastAsia="宋体" w:hAnsi="宋体" w:cs="宋体"/>
                <w:kern w:val="0"/>
                <w:szCs w:val="21"/>
              </w:rPr>
            </w:pPr>
            <w:r w:rsidRPr="00610434">
              <w:rPr>
                <w:rFonts w:ascii="宋体" w:eastAsia="宋体" w:hAnsi="宋体" w:cs="宋体"/>
                <w:kern w:val="0"/>
                <w:szCs w:val="21"/>
              </w:rPr>
              <w:t>adverse tissue reaction</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54" w:type="dxa"/>
              <w:left w:w="54" w:type="dxa"/>
              <w:bottom w:w="54" w:type="dxa"/>
              <w:right w:w="54" w:type="dxa"/>
            </w:tcMar>
            <w:hideMark/>
          </w:tcPr>
          <w:p w:rsidR="00610434" w:rsidRPr="00610434" w:rsidRDefault="00610434" w:rsidP="00610434">
            <w:pPr>
              <w:widowControl/>
              <w:spacing w:before="285" w:after="285"/>
              <w:ind w:firstLine="0"/>
              <w:jc w:val="left"/>
              <w:rPr>
                <w:rFonts w:ascii="宋体" w:eastAsia="宋体" w:hAnsi="宋体" w:cs="宋体"/>
                <w:kern w:val="0"/>
                <w:szCs w:val="21"/>
              </w:rPr>
            </w:pPr>
            <w:hyperlink r:id="rId35" w:anchor="8" w:history="1">
              <w:r w:rsidRPr="00610434">
                <w:rPr>
                  <w:rFonts w:ascii="宋体" w:eastAsia="宋体" w:hAnsi="宋体" w:cs="宋体"/>
                  <w:color w:val="005F9F"/>
                  <w:kern w:val="0"/>
                  <w:u w:val="single"/>
                </w:rPr>
                <w:t>Section 8</w:t>
              </w:r>
            </w:hyperlink>
          </w:p>
        </w:tc>
      </w:tr>
      <w:tr w:rsidR="00610434" w:rsidRPr="00610434" w:rsidTr="00610434">
        <w:tc>
          <w:tcPr>
            <w:tcW w:w="0" w:type="auto"/>
            <w:tcBorders>
              <w:top w:val="single" w:sz="4" w:space="0" w:color="DDDDDD"/>
              <w:left w:val="single" w:sz="4" w:space="0" w:color="DDDDDD"/>
              <w:bottom w:val="single" w:sz="4" w:space="0" w:color="DDDDDD"/>
              <w:right w:val="single" w:sz="4" w:space="0" w:color="DDDDDD"/>
            </w:tcBorders>
            <w:shd w:val="clear" w:color="auto" w:fill="auto"/>
            <w:tcMar>
              <w:top w:w="54" w:type="dxa"/>
              <w:left w:w="54" w:type="dxa"/>
              <w:bottom w:w="54" w:type="dxa"/>
              <w:right w:w="54" w:type="dxa"/>
            </w:tcMar>
            <w:hideMark/>
          </w:tcPr>
          <w:p w:rsidR="00610434" w:rsidRPr="00610434" w:rsidRDefault="00610434" w:rsidP="00610434">
            <w:pPr>
              <w:widowControl/>
              <w:spacing w:before="285" w:after="285"/>
              <w:ind w:firstLine="0"/>
              <w:jc w:val="left"/>
              <w:rPr>
                <w:rFonts w:ascii="宋体" w:eastAsia="宋体" w:hAnsi="宋体" w:cs="宋体"/>
                <w:kern w:val="0"/>
                <w:szCs w:val="21"/>
              </w:rPr>
            </w:pPr>
            <w:r w:rsidRPr="00610434">
              <w:rPr>
                <w:rFonts w:ascii="宋体" w:eastAsia="宋体" w:hAnsi="宋体" w:cs="宋体"/>
                <w:kern w:val="0"/>
                <w:szCs w:val="21"/>
              </w:rPr>
              <w:t xml:space="preserve">transient </w:t>
            </w:r>
            <w:proofErr w:type="spellStart"/>
            <w:r w:rsidRPr="00610434">
              <w:rPr>
                <w:rFonts w:ascii="宋体" w:eastAsia="宋体" w:hAnsi="宋体" w:cs="宋体"/>
                <w:kern w:val="0"/>
                <w:szCs w:val="21"/>
              </w:rPr>
              <w:t>hypercalcemia</w:t>
            </w:r>
            <w:proofErr w:type="spellEnd"/>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54" w:type="dxa"/>
              <w:left w:w="54" w:type="dxa"/>
              <w:bottom w:w="54" w:type="dxa"/>
              <w:right w:w="54" w:type="dxa"/>
            </w:tcMar>
            <w:hideMark/>
          </w:tcPr>
          <w:p w:rsidR="00610434" w:rsidRPr="00610434" w:rsidRDefault="00610434" w:rsidP="00610434">
            <w:pPr>
              <w:widowControl/>
              <w:spacing w:before="285" w:after="285"/>
              <w:ind w:firstLine="0"/>
              <w:jc w:val="left"/>
              <w:rPr>
                <w:rFonts w:ascii="宋体" w:eastAsia="宋体" w:hAnsi="宋体" w:cs="宋体"/>
                <w:kern w:val="0"/>
                <w:szCs w:val="21"/>
              </w:rPr>
            </w:pPr>
            <w:hyperlink r:id="rId36" w:anchor="7" w:history="1">
              <w:r w:rsidRPr="00610434">
                <w:rPr>
                  <w:rFonts w:ascii="宋体" w:eastAsia="宋体" w:hAnsi="宋体" w:cs="宋体"/>
                  <w:color w:val="005F9F"/>
                  <w:kern w:val="0"/>
                  <w:u w:val="single"/>
                </w:rPr>
                <w:t>Sections 7</w:t>
              </w:r>
            </w:hyperlink>
            <w:r w:rsidRPr="00610434">
              <w:rPr>
                <w:rFonts w:ascii="宋体" w:eastAsia="宋体" w:hAnsi="宋体" w:cs="宋体"/>
                <w:kern w:val="0"/>
                <w:szCs w:val="21"/>
              </w:rPr>
              <w:t>,</w:t>
            </w:r>
            <w:r w:rsidRPr="00610434">
              <w:rPr>
                <w:rFonts w:ascii="宋体" w:eastAsia="宋体" w:hAnsi="宋体" w:cs="宋体"/>
                <w:kern w:val="0"/>
              </w:rPr>
              <w:t> </w:t>
            </w:r>
            <w:hyperlink r:id="rId37" w:anchor="10" w:history="1">
              <w:r w:rsidRPr="00610434">
                <w:rPr>
                  <w:rFonts w:ascii="宋体" w:eastAsia="宋体" w:hAnsi="宋体" w:cs="宋体"/>
                  <w:color w:val="005F9F"/>
                  <w:kern w:val="0"/>
                  <w:u w:val="single"/>
                </w:rPr>
                <w:t>10</w:t>
              </w:r>
            </w:hyperlink>
          </w:p>
        </w:tc>
      </w:tr>
      <w:tr w:rsidR="00610434" w:rsidRPr="00610434" w:rsidTr="00610434">
        <w:tc>
          <w:tcPr>
            <w:tcW w:w="0" w:type="auto"/>
            <w:tcBorders>
              <w:top w:val="single" w:sz="4" w:space="0" w:color="DDDDDD"/>
              <w:left w:val="single" w:sz="4" w:space="0" w:color="DDDDDD"/>
              <w:bottom w:val="single" w:sz="4" w:space="0" w:color="DDDDDD"/>
              <w:right w:val="single" w:sz="4" w:space="0" w:color="DDDDDD"/>
            </w:tcBorders>
            <w:shd w:val="clear" w:color="auto" w:fill="auto"/>
            <w:tcMar>
              <w:top w:w="54" w:type="dxa"/>
              <w:left w:w="54" w:type="dxa"/>
              <w:bottom w:w="54" w:type="dxa"/>
              <w:right w:w="54" w:type="dxa"/>
            </w:tcMar>
            <w:hideMark/>
          </w:tcPr>
          <w:p w:rsidR="00610434" w:rsidRPr="00610434" w:rsidRDefault="00610434" w:rsidP="00610434">
            <w:pPr>
              <w:widowControl/>
              <w:spacing w:before="285" w:after="285"/>
              <w:ind w:firstLine="0"/>
              <w:jc w:val="left"/>
              <w:rPr>
                <w:rFonts w:ascii="宋体" w:eastAsia="宋体" w:hAnsi="宋体" w:cs="宋体"/>
                <w:kern w:val="0"/>
                <w:szCs w:val="21"/>
              </w:rPr>
            </w:pPr>
            <w:r w:rsidRPr="00610434">
              <w:rPr>
                <w:rFonts w:ascii="宋体" w:eastAsia="宋体" w:hAnsi="宋体" w:cs="宋体"/>
                <w:kern w:val="0"/>
                <w:szCs w:val="21"/>
              </w:rPr>
              <w:t>incomplete bone formation or lack of bone formation</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54" w:type="dxa"/>
              <w:left w:w="54" w:type="dxa"/>
              <w:bottom w:w="54" w:type="dxa"/>
              <w:right w:w="54" w:type="dxa"/>
            </w:tcMar>
            <w:hideMark/>
          </w:tcPr>
          <w:p w:rsidR="00610434" w:rsidRPr="00610434" w:rsidRDefault="00610434" w:rsidP="00610434">
            <w:pPr>
              <w:widowControl/>
              <w:spacing w:before="285" w:after="285"/>
              <w:ind w:firstLine="0"/>
              <w:jc w:val="left"/>
              <w:rPr>
                <w:rFonts w:ascii="宋体" w:eastAsia="宋体" w:hAnsi="宋体" w:cs="宋体"/>
                <w:kern w:val="0"/>
                <w:szCs w:val="21"/>
              </w:rPr>
            </w:pPr>
            <w:hyperlink r:id="rId38" w:anchor="7" w:history="1">
              <w:r w:rsidRPr="00610434">
                <w:rPr>
                  <w:rFonts w:ascii="宋体" w:eastAsia="宋体" w:hAnsi="宋体" w:cs="宋体"/>
                  <w:color w:val="005F9F"/>
                  <w:kern w:val="0"/>
                  <w:u w:val="single"/>
                </w:rPr>
                <w:t>Sections 7</w:t>
              </w:r>
            </w:hyperlink>
            <w:r w:rsidRPr="00610434">
              <w:rPr>
                <w:rFonts w:ascii="宋体" w:eastAsia="宋体" w:hAnsi="宋体" w:cs="宋体"/>
                <w:kern w:val="0"/>
                <w:szCs w:val="21"/>
              </w:rPr>
              <w:t>,</w:t>
            </w:r>
            <w:r w:rsidRPr="00610434">
              <w:rPr>
                <w:rFonts w:ascii="宋体" w:eastAsia="宋体" w:hAnsi="宋体" w:cs="宋体"/>
                <w:kern w:val="0"/>
              </w:rPr>
              <w:t> </w:t>
            </w:r>
            <w:hyperlink r:id="rId39" w:anchor="10" w:history="1">
              <w:r w:rsidRPr="00610434">
                <w:rPr>
                  <w:rFonts w:ascii="宋体" w:eastAsia="宋体" w:hAnsi="宋体" w:cs="宋体"/>
                  <w:color w:val="005F9F"/>
                  <w:kern w:val="0"/>
                  <w:u w:val="single"/>
                </w:rPr>
                <w:t>10</w:t>
              </w:r>
            </w:hyperlink>
          </w:p>
        </w:tc>
      </w:tr>
      <w:tr w:rsidR="00610434" w:rsidRPr="00610434" w:rsidTr="00610434">
        <w:tc>
          <w:tcPr>
            <w:tcW w:w="0" w:type="auto"/>
            <w:tcBorders>
              <w:top w:val="single" w:sz="4" w:space="0" w:color="DDDDDD"/>
              <w:left w:val="single" w:sz="4" w:space="0" w:color="DDDDDD"/>
              <w:bottom w:val="single" w:sz="4" w:space="0" w:color="DDDDDD"/>
              <w:right w:val="single" w:sz="4" w:space="0" w:color="DDDDDD"/>
            </w:tcBorders>
            <w:shd w:val="clear" w:color="auto" w:fill="auto"/>
            <w:tcMar>
              <w:top w:w="54" w:type="dxa"/>
              <w:left w:w="54" w:type="dxa"/>
              <w:bottom w:w="54" w:type="dxa"/>
              <w:right w:w="54" w:type="dxa"/>
            </w:tcMar>
            <w:hideMark/>
          </w:tcPr>
          <w:p w:rsidR="00610434" w:rsidRPr="00610434" w:rsidRDefault="00610434" w:rsidP="00610434">
            <w:pPr>
              <w:widowControl/>
              <w:spacing w:before="285" w:after="285"/>
              <w:ind w:firstLine="0"/>
              <w:jc w:val="left"/>
              <w:rPr>
                <w:rFonts w:ascii="宋体" w:eastAsia="宋体" w:hAnsi="宋体" w:cs="宋体"/>
                <w:kern w:val="0"/>
                <w:szCs w:val="21"/>
              </w:rPr>
            </w:pPr>
            <w:r w:rsidRPr="00610434">
              <w:rPr>
                <w:rFonts w:ascii="宋体" w:eastAsia="宋体" w:hAnsi="宋体" w:cs="宋体"/>
                <w:kern w:val="0"/>
                <w:szCs w:val="21"/>
              </w:rPr>
              <w:t>delayed union</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54" w:type="dxa"/>
              <w:left w:w="54" w:type="dxa"/>
              <w:bottom w:w="54" w:type="dxa"/>
              <w:right w:w="54" w:type="dxa"/>
            </w:tcMar>
            <w:hideMark/>
          </w:tcPr>
          <w:p w:rsidR="00610434" w:rsidRPr="00610434" w:rsidRDefault="00610434" w:rsidP="00610434">
            <w:pPr>
              <w:widowControl/>
              <w:spacing w:before="285" w:after="285"/>
              <w:ind w:firstLine="0"/>
              <w:jc w:val="left"/>
              <w:rPr>
                <w:rFonts w:ascii="宋体" w:eastAsia="宋体" w:hAnsi="宋体" w:cs="宋体"/>
                <w:kern w:val="0"/>
                <w:szCs w:val="21"/>
              </w:rPr>
            </w:pPr>
            <w:hyperlink r:id="rId40" w:anchor="7" w:history="1">
              <w:r w:rsidRPr="00610434">
                <w:rPr>
                  <w:rFonts w:ascii="宋体" w:eastAsia="宋体" w:hAnsi="宋体" w:cs="宋体"/>
                  <w:color w:val="005F9F"/>
                  <w:kern w:val="0"/>
                  <w:u w:val="single"/>
                </w:rPr>
                <w:t>Sections 7</w:t>
              </w:r>
            </w:hyperlink>
            <w:r w:rsidRPr="00610434">
              <w:rPr>
                <w:rFonts w:ascii="宋体" w:eastAsia="宋体" w:hAnsi="宋体" w:cs="宋体"/>
                <w:kern w:val="0"/>
                <w:szCs w:val="21"/>
              </w:rPr>
              <w:t>,</w:t>
            </w:r>
            <w:r w:rsidRPr="00610434">
              <w:rPr>
                <w:rFonts w:ascii="宋体" w:eastAsia="宋体" w:hAnsi="宋体" w:cs="宋体"/>
                <w:kern w:val="0"/>
              </w:rPr>
              <w:t> </w:t>
            </w:r>
            <w:hyperlink r:id="rId41" w:anchor="10" w:history="1">
              <w:r w:rsidRPr="00610434">
                <w:rPr>
                  <w:rFonts w:ascii="宋体" w:eastAsia="宋体" w:hAnsi="宋体" w:cs="宋体"/>
                  <w:color w:val="005F9F"/>
                  <w:kern w:val="0"/>
                  <w:u w:val="single"/>
                </w:rPr>
                <w:t>10</w:t>
              </w:r>
            </w:hyperlink>
          </w:p>
        </w:tc>
      </w:tr>
      <w:tr w:rsidR="00610434" w:rsidRPr="00610434" w:rsidTr="00610434">
        <w:tc>
          <w:tcPr>
            <w:tcW w:w="0" w:type="auto"/>
            <w:tcBorders>
              <w:top w:val="single" w:sz="4" w:space="0" w:color="DDDDDD"/>
              <w:left w:val="single" w:sz="4" w:space="0" w:color="DDDDDD"/>
              <w:bottom w:val="single" w:sz="4" w:space="0" w:color="DDDDDD"/>
              <w:right w:val="single" w:sz="4" w:space="0" w:color="DDDDDD"/>
            </w:tcBorders>
            <w:shd w:val="clear" w:color="auto" w:fill="auto"/>
            <w:tcMar>
              <w:top w:w="54" w:type="dxa"/>
              <w:left w:w="54" w:type="dxa"/>
              <w:bottom w:w="54" w:type="dxa"/>
              <w:right w:w="54" w:type="dxa"/>
            </w:tcMar>
            <w:hideMark/>
          </w:tcPr>
          <w:p w:rsidR="00610434" w:rsidRPr="00610434" w:rsidRDefault="00610434" w:rsidP="00610434">
            <w:pPr>
              <w:widowControl/>
              <w:spacing w:before="285" w:after="285"/>
              <w:ind w:firstLine="0"/>
              <w:jc w:val="left"/>
              <w:rPr>
                <w:rFonts w:ascii="宋体" w:eastAsia="宋体" w:hAnsi="宋体" w:cs="宋体"/>
                <w:kern w:val="0"/>
                <w:szCs w:val="21"/>
              </w:rPr>
            </w:pPr>
            <w:r w:rsidRPr="00610434">
              <w:rPr>
                <w:rFonts w:ascii="宋体" w:eastAsia="宋体" w:hAnsi="宋体" w:cs="宋体"/>
                <w:kern w:val="0"/>
                <w:szCs w:val="21"/>
              </w:rPr>
              <w:t>nonunion</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54" w:type="dxa"/>
              <w:left w:w="54" w:type="dxa"/>
              <w:bottom w:w="54" w:type="dxa"/>
              <w:right w:w="54" w:type="dxa"/>
            </w:tcMar>
            <w:hideMark/>
          </w:tcPr>
          <w:p w:rsidR="00610434" w:rsidRPr="00610434" w:rsidRDefault="00610434" w:rsidP="00610434">
            <w:pPr>
              <w:widowControl/>
              <w:spacing w:before="285" w:after="285"/>
              <w:ind w:firstLine="0"/>
              <w:jc w:val="left"/>
              <w:rPr>
                <w:rFonts w:ascii="宋体" w:eastAsia="宋体" w:hAnsi="宋体" w:cs="宋体"/>
                <w:kern w:val="0"/>
                <w:szCs w:val="21"/>
              </w:rPr>
            </w:pPr>
            <w:hyperlink r:id="rId42" w:anchor="7" w:history="1">
              <w:r w:rsidRPr="00610434">
                <w:rPr>
                  <w:rFonts w:ascii="宋体" w:eastAsia="宋体" w:hAnsi="宋体" w:cs="宋体"/>
                  <w:color w:val="005F9F"/>
                  <w:kern w:val="0"/>
                  <w:u w:val="single"/>
                </w:rPr>
                <w:t>Sections 7</w:t>
              </w:r>
            </w:hyperlink>
            <w:r w:rsidRPr="00610434">
              <w:rPr>
                <w:rFonts w:ascii="宋体" w:eastAsia="宋体" w:hAnsi="宋体" w:cs="宋体"/>
                <w:kern w:val="0"/>
                <w:szCs w:val="21"/>
              </w:rPr>
              <w:t>,</w:t>
            </w:r>
            <w:r w:rsidRPr="00610434">
              <w:rPr>
                <w:rFonts w:ascii="宋体" w:eastAsia="宋体" w:hAnsi="宋体" w:cs="宋体"/>
                <w:kern w:val="0"/>
              </w:rPr>
              <w:t> </w:t>
            </w:r>
            <w:hyperlink r:id="rId43" w:anchor="10" w:history="1">
              <w:r w:rsidRPr="00610434">
                <w:rPr>
                  <w:rFonts w:ascii="宋体" w:eastAsia="宋体" w:hAnsi="宋体" w:cs="宋体"/>
                  <w:color w:val="005F9F"/>
                  <w:kern w:val="0"/>
                  <w:u w:val="single"/>
                </w:rPr>
                <w:t>10</w:t>
              </w:r>
            </w:hyperlink>
          </w:p>
        </w:tc>
      </w:tr>
      <w:tr w:rsidR="00610434" w:rsidRPr="00610434" w:rsidTr="00610434">
        <w:tc>
          <w:tcPr>
            <w:tcW w:w="0" w:type="auto"/>
            <w:tcBorders>
              <w:top w:val="single" w:sz="4" w:space="0" w:color="DDDDDD"/>
              <w:left w:val="single" w:sz="4" w:space="0" w:color="DDDDDD"/>
              <w:bottom w:val="single" w:sz="4" w:space="0" w:color="DDDDDD"/>
              <w:right w:val="single" w:sz="4" w:space="0" w:color="DDDDDD"/>
            </w:tcBorders>
            <w:shd w:val="clear" w:color="auto" w:fill="auto"/>
            <w:tcMar>
              <w:top w:w="54" w:type="dxa"/>
              <w:left w:w="54" w:type="dxa"/>
              <w:bottom w:w="54" w:type="dxa"/>
              <w:right w:w="54" w:type="dxa"/>
            </w:tcMar>
            <w:hideMark/>
          </w:tcPr>
          <w:p w:rsidR="00610434" w:rsidRPr="00610434" w:rsidRDefault="00610434" w:rsidP="00610434">
            <w:pPr>
              <w:widowControl/>
              <w:spacing w:before="285" w:after="285"/>
              <w:ind w:firstLine="0"/>
              <w:jc w:val="left"/>
              <w:rPr>
                <w:rFonts w:ascii="宋体" w:eastAsia="宋体" w:hAnsi="宋体" w:cs="宋体"/>
                <w:kern w:val="0"/>
                <w:szCs w:val="21"/>
              </w:rPr>
            </w:pPr>
            <w:r w:rsidRPr="00610434">
              <w:rPr>
                <w:rFonts w:ascii="宋体" w:eastAsia="宋体" w:hAnsi="宋体" w:cs="宋体"/>
                <w:kern w:val="0"/>
                <w:szCs w:val="21"/>
              </w:rPr>
              <w:t>fracture of the bone void filler with or without particulate formation</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54" w:type="dxa"/>
              <w:left w:w="54" w:type="dxa"/>
              <w:bottom w:w="54" w:type="dxa"/>
              <w:right w:w="54" w:type="dxa"/>
            </w:tcMar>
            <w:hideMark/>
          </w:tcPr>
          <w:p w:rsidR="00610434" w:rsidRPr="00610434" w:rsidRDefault="00610434" w:rsidP="00610434">
            <w:pPr>
              <w:widowControl/>
              <w:spacing w:before="285" w:after="285"/>
              <w:ind w:firstLine="0"/>
              <w:jc w:val="left"/>
              <w:rPr>
                <w:rFonts w:ascii="宋体" w:eastAsia="宋体" w:hAnsi="宋体" w:cs="宋体"/>
                <w:kern w:val="0"/>
                <w:szCs w:val="21"/>
              </w:rPr>
            </w:pPr>
            <w:hyperlink r:id="rId44" w:anchor="7" w:history="1">
              <w:r w:rsidRPr="00610434">
                <w:rPr>
                  <w:rFonts w:ascii="宋体" w:eastAsia="宋体" w:hAnsi="宋体" w:cs="宋体"/>
                  <w:color w:val="005F9F"/>
                  <w:kern w:val="0"/>
                  <w:u w:val="single"/>
                </w:rPr>
                <w:t>Sections 7</w:t>
              </w:r>
            </w:hyperlink>
            <w:r w:rsidRPr="00610434">
              <w:rPr>
                <w:rFonts w:ascii="宋体" w:eastAsia="宋体" w:hAnsi="宋体" w:cs="宋体"/>
                <w:kern w:val="0"/>
                <w:szCs w:val="21"/>
              </w:rPr>
              <w:t>,</w:t>
            </w:r>
            <w:r w:rsidRPr="00610434">
              <w:rPr>
                <w:rFonts w:ascii="宋体" w:eastAsia="宋体" w:hAnsi="宋体" w:cs="宋体"/>
                <w:kern w:val="0"/>
              </w:rPr>
              <w:t> </w:t>
            </w:r>
            <w:hyperlink r:id="rId45" w:anchor="10" w:history="1">
              <w:r w:rsidRPr="00610434">
                <w:rPr>
                  <w:rFonts w:ascii="宋体" w:eastAsia="宋体" w:hAnsi="宋体" w:cs="宋体"/>
                  <w:color w:val="005F9F"/>
                  <w:kern w:val="0"/>
                  <w:u w:val="single"/>
                </w:rPr>
                <w:t>10</w:t>
              </w:r>
            </w:hyperlink>
          </w:p>
        </w:tc>
      </w:tr>
      <w:tr w:rsidR="00610434" w:rsidRPr="00610434" w:rsidTr="00610434">
        <w:tc>
          <w:tcPr>
            <w:tcW w:w="0" w:type="auto"/>
            <w:tcBorders>
              <w:top w:val="single" w:sz="4" w:space="0" w:color="DDDDDD"/>
              <w:left w:val="single" w:sz="4" w:space="0" w:color="DDDDDD"/>
              <w:bottom w:val="single" w:sz="4" w:space="0" w:color="DDDDDD"/>
              <w:right w:val="single" w:sz="4" w:space="0" w:color="DDDDDD"/>
            </w:tcBorders>
            <w:shd w:val="clear" w:color="auto" w:fill="auto"/>
            <w:tcMar>
              <w:top w:w="54" w:type="dxa"/>
              <w:left w:w="54" w:type="dxa"/>
              <w:bottom w:w="54" w:type="dxa"/>
              <w:right w:w="54" w:type="dxa"/>
            </w:tcMar>
            <w:hideMark/>
          </w:tcPr>
          <w:p w:rsidR="00610434" w:rsidRPr="00610434" w:rsidRDefault="00610434" w:rsidP="00610434">
            <w:pPr>
              <w:widowControl/>
              <w:spacing w:before="285" w:after="285"/>
              <w:ind w:firstLine="0"/>
              <w:jc w:val="left"/>
              <w:rPr>
                <w:rFonts w:ascii="宋体" w:eastAsia="宋体" w:hAnsi="宋体" w:cs="宋体"/>
                <w:kern w:val="0"/>
                <w:szCs w:val="21"/>
              </w:rPr>
            </w:pPr>
            <w:r w:rsidRPr="00610434">
              <w:rPr>
                <w:rFonts w:ascii="宋体" w:eastAsia="宋体" w:hAnsi="宋体" w:cs="宋体"/>
                <w:kern w:val="0"/>
                <w:szCs w:val="21"/>
              </w:rPr>
              <w:t>device migration or extrusion</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54" w:type="dxa"/>
              <w:left w:w="54" w:type="dxa"/>
              <w:bottom w:w="54" w:type="dxa"/>
              <w:right w:w="54" w:type="dxa"/>
            </w:tcMar>
            <w:hideMark/>
          </w:tcPr>
          <w:p w:rsidR="00610434" w:rsidRPr="00610434" w:rsidRDefault="00610434" w:rsidP="00610434">
            <w:pPr>
              <w:widowControl/>
              <w:spacing w:before="285" w:after="285"/>
              <w:ind w:firstLine="0"/>
              <w:jc w:val="left"/>
              <w:rPr>
                <w:rFonts w:ascii="宋体" w:eastAsia="宋体" w:hAnsi="宋体" w:cs="宋体"/>
                <w:kern w:val="0"/>
                <w:szCs w:val="21"/>
              </w:rPr>
            </w:pPr>
            <w:hyperlink r:id="rId46" w:anchor="7" w:history="1">
              <w:r w:rsidRPr="00610434">
                <w:rPr>
                  <w:rFonts w:ascii="宋体" w:eastAsia="宋体" w:hAnsi="宋体" w:cs="宋体"/>
                  <w:color w:val="005F9F"/>
                  <w:kern w:val="0"/>
                  <w:u w:val="single"/>
                </w:rPr>
                <w:t>Sections 7</w:t>
              </w:r>
            </w:hyperlink>
            <w:r w:rsidRPr="00610434">
              <w:rPr>
                <w:rFonts w:ascii="宋体" w:eastAsia="宋体" w:hAnsi="宋体" w:cs="宋体"/>
                <w:kern w:val="0"/>
                <w:szCs w:val="21"/>
              </w:rPr>
              <w:t>,</w:t>
            </w:r>
            <w:r w:rsidRPr="00610434">
              <w:rPr>
                <w:rFonts w:ascii="宋体" w:eastAsia="宋体" w:hAnsi="宋体" w:cs="宋体"/>
                <w:kern w:val="0"/>
              </w:rPr>
              <w:t> </w:t>
            </w:r>
            <w:hyperlink r:id="rId47" w:anchor="10" w:history="1">
              <w:r w:rsidRPr="00610434">
                <w:rPr>
                  <w:rFonts w:ascii="宋体" w:eastAsia="宋体" w:hAnsi="宋体" w:cs="宋体"/>
                  <w:color w:val="005F9F"/>
                  <w:kern w:val="0"/>
                  <w:u w:val="single"/>
                </w:rPr>
                <w:t>10</w:t>
              </w:r>
            </w:hyperlink>
          </w:p>
        </w:tc>
      </w:tr>
      <w:tr w:rsidR="00610434" w:rsidRPr="00610434" w:rsidTr="00610434">
        <w:tc>
          <w:tcPr>
            <w:tcW w:w="0" w:type="auto"/>
            <w:tcBorders>
              <w:top w:val="single" w:sz="4" w:space="0" w:color="DDDDDD"/>
              <w:left w:val="single" w:sz="4" w:space="0" w:color="DDDDDD"/>
              <w:bottom w:val="single" w:sz="4" w:space="0" w:color="DDDDDD"/>
              <w:right w:val="single" w:sz="4" w:space="0" w:color="DDDDDD"/>
            </w:tcBorders>
            <w:shd w:val="clear" w:color="auto" w:fill="auto"/>
            <w:tcMar>
              <w:top w:w="54" w:type="dxa"/>
              <w:left w:w="54" w:type="dxa"/>
              <w:bottom w:w="54" w:type="dxa"/>
              <w:right w:w="54" w:type="dxa"/>
            </w:tcMar>
            <w:hideMark/>
          </w:tcPr>
          <w:p w:rsidR="00610434" w:rsidRPr="00610434" w:rsidRDefault="00610434" w:rsidP="00610434">
            <w:pPr>
              <w:widowControl/>
              <w:spacing w:before="285" w:after="285"/>
              <w:ind w:firstLine="0"/>
              <w:jc w:val="left"/>
              <w:rPr>
                <w:rFonts w:ascii="宋体" w:eastAsia="宋体" w:hAnsi="宋体" w:cs="宋体"/>
                <w:kern w:val="0"/>
                <w:szCs w:val="21"/>
              </w:rPr>
            </w:pPr>
            <w:r w:rsidRPr="00610434">
              <w:rPr>
                <w:rFonts w:ascii="宋体" w:eastAsia="宋体" w:hAnsi="宋体" w:cs="宋体"/>
                <w:kern w:val="0"/>
                <w:szCs w:val="21"/>
              </w:rPr>
              <w:t>fracture of the newly formed bone</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54" w:type="dxa"/>
              <w:left w:w="54" w:type="dxa"/>
              <w:bottom w:w="54" w:type="dxa"/>
              <w:right w:w="54" w:type="dxa"/>
            </w:tcMar>
            <w:hideMark/>
          </w:tcPr>
          <w:p w:rsidR="00610434" w:rsidRPr="00610434" w:rsidRDefault="00610434" w:rsidP="00610434">
            <w:pPr>
              <w:widowControl/>
              <w:spacing w:before="285" w:after="285"/>
              <w:ind w:firstLine="0"/>
              <w:jc w:val="left"/>
              <w:rPr>
                <w:rFonts w:ascii="宋体" w:eastAsia="宋体" w:hAnsi="宋体" w:cs="宋体"/>
                <w:kern w:val="0"/>
                <w:szCs w:val="21"/>
              </w:rPr>
            </w:pPr>
            <w:hyperlink r:id="rId48" w:anchor="7" w:history="1">
              <w:r w:rsidRPr="00610434">
                <w:rPr>
                  <w:rFonts w:ascii="宋体" w:eastAsia="宋体" w:hAnsi="宋体" w:cs="宋体"/>
                  <w:color w:val="005F9F"/>
                  <w:kern w:val="0"/>
                  <w:u w:val="single"/>
                </w:rPr>
                <w:t>Sections 7</w:t>
              </w:r>
            </w:hyperlink>
            <w:r w:rsidRPr="00610434">
              <w:rPr>
                <w:rFonts w:ascii="宋体" w:eastAsia="宋体" w:hAnsi="宋体" w:cs="宋体"/>
                <w:kern w:val="0"/>
                <w:szCs w:val="21"/>
              </w:rPr>
              <w:t>,</w:t>
            </w:r>
            <w:r w:rsidRPr="00610434">
              <w:rPr>
                <w:rFonts w:ascii="宋体" w:eastAsia="宋体" w:hAnsi="宋体" w:cs="宋体"/>
                <w:kern w:val="0"/>
              </w:rPr>
              <w:t> </w:t>
            </w:r>
            <w:hyperlink r:id="rId49" w:anchor="10" w:history="1">
              <w:r w:rsidRPr="00610434">
                <w:rPr>
                  <w:rFonts w:ascii="宋体" w:eastAsia="宋体" w:hAnsi="宋体" w:cs="宋体"/>
                  <w:color w:val="005F9F"/>
                  <w:kern w:val="0"/>
                  <w:u w:val="single"/>
                </w:rPr>
                <w:t>10</w:t>
              </w:r>
            </w:hyperlink>
          </w:p>
        </w:tc>
      </w:tr>
    </w:tbl>
    <w:p w:rsidR="00610434" w:rsidRPr="00610434" w:rsidRDefault="00610434" w:rsidP="00610434">
      <w:pPr>
        <w:widowControl/>
        <w:shd w:val="clear" w:color="auto" w:fill="FFFFFF"/>
        <w:spacing w:line="207" w:lineRule="atLeast"/>
        <w:ind w:firstLine="0"/>
        <w:jc w:val="left"/>
        <w:rPr>
          <w:rFonts w:ascii="Helvetica" w:eastAsia="宋体" w:hAnsi="Helvetica" w:cs="Helvetica"/>
          <w:color w:val="333333"/>
          <w:kern w:val="0"/>
          <w:sz w:val="15"/>
          <w:szCs w:val="15"/>
        </w:rPr>
      </w:pPr>
      <w:hyperlink r:id="rId50" w:anchor="top" w:history="1">
        <w:r w:rsidRPr="00610434">
          <w:rPr>
            <w:rFonts w:ascii="Helvetica" w:eastAsia="宋体" w:hAnsi="Helvetica" w:cs="Helvetica"/>
            <w:color w:val="005F9F"/>
            <w:kern w:val="0"/>
            <w:sz w:val="15"/>
            <w:u w:val="single"/>
          </w:rPr>
          <w:t>Back to the top</w:t>
        </w:r>
      </w:hyperlink>
    </w:p>
    <w:p w:rsidR="00610434" w:rsidRPr="00610434" w:rsidRDefault="00610434" w:rsidP="00610434">
      <w:pPr>
        <w:widowControl/>
        <w:spacing w:before="330" w:after="330"/>
        <w:ind w:firstLine="0"/>
        <w:jc w:val="left"/>
        <w:rPr>
          <w:rFonts w:ascii="宋体" w:eastAsia="宋体" w:hAnsi="宋体" w:cs="宋体"/>
          <w:kern w:val="0"/>
          <w:sz w:val="24"/>
          <w:szCs w:val="24"/>
        </w:rPr>
      </w:pPr>
      <w:r w:rsidRPr="00610434">
        <w:rPr>
          <w:rFonts w:ascii="宋体" w:eastAsia="宋体" w:hAnsi="宋体" w:cs="宋体"/>
          <w:kern w:val="0"/>
          <w:sz w:val="24"/>
          <w:szCs w:val="24"/>
        </w:rPr>
        <w:pict>
          <v:rect id="_x0000_i1031" style="width:0;height:0" o:hralign="center" o:hrstd="t" o:hrnoshade="t" o:hr="t" fillcolor="#333" stroked="f"/>
        </w:pict>
      </w:r>
    </w:p>
    <w:p w:rsidR="00610434" w:rsidRPr="00610434" w:rsidRDefault="00610434" w:rsidP="00610434">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610434">
        <w:rPr>
          <w:rFonts w:ascii="Helvetica" w:eastAsia="宋体" w:hAnsi="Helvetica" w:cs="Helvetica"/>
          <w:b/>
          <w:bCs/>
          <w:color w:val="333333"/>
          <w:kern w:val="0"/>
          <w:sz w:val="23"/>
          <w:szCs w:val="23"/>
        </w:rPr>
        <w:t>6. Device Description</w:t>
      </w:r>
    </w:p>
    <w:p w:rsidR="00610434" w:rsidRPr="00610434" w:rsidRDefault="00610434" w:rsidP="00610434">
      <w:pPr>
        <w:widowControl/>
        <w:shd w:val="clear" w:color="auto" w:fill="FFFFFF"/>
        <w:spacing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FDA recommends that you provide the following to describe your device.</w:t>
      </w:r>
    </w:p>
    <w:p w:rsidR="00610434" w:rsidRPr="00610434" w:rsidRDefault="00610434" w:rsidP="0061043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b/>
          <w:bCs/>
          <w:color w:val="333333"/>
          <w:kern w:val="0"/>
          <w:sz w:val="15"/>
        </w:rPr>
        <w:t>A. Chemical Composition of Device</w:t>
      </w:r>
    </w:p>
    <w:p w:rsidR="00610434" w:rsidRPr="00610434" w:rsidRDefault="00610434" w:rsidP="0061043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lastRenderedPageBreak/>
        <w:t>We recommend that you provide the following information about the chemical composition of the device:</w:t>
      </w:r>
    </w:p>
    <w:p w:rsidR="00610434" w:rsidRPr="00610434" w:rsidRDefault="00610434" w:rsidP="00610434">
      <w:pPr>
        <w:widowControl/>
        <w:numPr>
          <w:ilvl w:val="0"/>
          <w:numId w:val="4"/>
        </w:numPr>
        <w:shd w:val="clear" w:color="auto" w:fill="FFFFFF"/>
        <w:spacing w:line="207" w:lineRule="atLeast"/>
        <w:ind w:left="30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identification of the device material(s), including all additives, along with their respective amounts</w:t>
      </w:r>
    </w:p>
    <w:p w:rsidR="00610434" w:rsidRPr="00610434" w:rsidRDefault="00610434" w:rsidP="00610434">
      <w:pPr>
        <w:widowControl/>
        <w:numPr>
          <w:ilvl w:val="0"/>
          <w:numId w:val="4"/>
        </w:numPr>
        <w:shd w:val="clear" w:color="auto" w:fill="FFFFFF"/>
        <w:spacing w:before="120" w:line="207" w:lineRule="atLeast"/>
        <w:ind w:left="30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identification of the crystalline and non-crystalline phases, phase purity, and the weight percentage of phases, using X-ray diffraction (XRD) and Fourier Transform Infrared Spectroscopy (FTIR)</w:t>
      </w:r>
    </w:p>
    <w:p w:rsidR="00610434" w:rsidRPr="00610434" w:rsidRDefault="00610434" w:rsidP="00610434">
      <w:pPr>
        <w:widowControl/>
        <w:numPr>
          <w:ilvl w:val="0"/>
          <w:numId w:val="4"/>
        </w:numPr>
        <w:shd w:val="clear" w:color="auto" w:fill="FFFFFF"/>
        <w:spacing w:before="120" w:line="207" w:lineRule="atLeast"/>
        <w:ind w:left="30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 xml:space="preserve">elemental analysis, identifying the </w:t>
      </w:r>
      <w:proofErr w:type="spellStart"/>
      <w:r w:rsidRPr="00610434">
        <w:rPr>
          <w:rFonts w:ascii="Helvetica" w:eastAsia="宋体" w:hAnsi="Helvetica" w:cs="Helvetica"/>
          <w:color w:val="333333"/>
          <w:kern w:val="0"/>
          <w:sz w:val="15"/>
          <w:szCs w:val="15"/>
        </w:rPr>
        <w:t>cation</w:t>
      </w:r>
      <w:proofErr w:type="spellEnd"/>
      <w:r w:rsidRPr="00610434">
        <w:rPr>
          <w:rFonts w:ascii="Helvetica" w:eastAsia="宋体" w:hAnsi="Helvetica" w:cs="Helvetica"/>
          <w:color w:val="333333"/>
          <w:kern w:val="0"/>
          <w:sz w:val="15"/>
          <w:szCs w:val="15"/>
        </w:rPr>
        <w:t xml:space="preserve"> to anion ratio (e.g., Ca/P, Ca/S) and all trace impurities</w:t>
      </w:r>
    </w:p>
    <w:p w:rsidR="00610434" w:rsidRPr="00610434" w:rsidRDefault="00610434" w:rsidP="00610434">
      <w:pPr>
        <w:widowControl/>
        <w:numPr>
          <w:ilvl w:val="0"/>
          <w:numId w:val="4"/>
        </w:numPr>
        <w:shd w:val="clear" w:color="auto" w:fill="FFFFFF"/>
        <w:spacing w:before="120" w:line="207" w:lineRule="atLeast"/>
        <w:ind w:left="300"/>
        <w:jc w:val="left"/>
        <w:rPr>
          <w:rFonts w:ascii="Helvetica" w:eastAsia="宋体" w:hAnsi="Helvetica" w:cs="Helvetica"/>
          <w:color w:val="333333"/>
          <w:kern w:val="0"/>
          <w:sz w:val="15"/>
          <w:szCs w:val="15"/>
        </w:rPr>
      </w:pPr>
      <w:proofErr w:type="gramStart"/>
      <w:r w:rsidRPr="00610434">
        <w:rPr>
          <w:rFonts w:ascii="Helvetica" w:eastAsia="宋体" w:hAnsi="Helvetica" w:cs="Helvetica"/>
          <w:color w:val="333333"/>
          <w:kern w:val="0"/>
          <w:sz w:val="15"/>
          <w:szCs w:val="15"/>
        </w:rPr>
        <w:t>diffraction</w:t>
      </w:r>
      <w:proofErr w:type="gramEnd"/>
      <w:r w:rsidRPr="00610434">
        <w:rPr>
          <w:rFonts w:ascii="Helvetica" w:eastAsia="宋体" w:hAnsi="Helvetica" w:cs="Helvetica"/>
          <w:color w:val="333333"/>
          <w:kern w:val="0"/>
          <w:sz w:val="15"/>
          <w:szCs w:val="15"/>
        </w:rPr>
        <w:t xml:space="preserve"> patterns along with superimposed patterns of each phase as given for the relevant calcium salt available from the International Center for Diffraction Data/ Joint Committee on Powder Diffraction Standards (ICDD/JCPDS).</w:t>
      </w:r>
    </w:p>
    <w:p w:rsidR="00610434" w:rsidRPr="00610434" w:rsidRDefault="00610434" w:rsidP="00610434">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We recommend that you use the applicable voluntary consensus standards listed below to establish the material characteristics of your device:</w:t>
      </w:r>
    </w:p>
    <w:p w:rsidR="00610434" w:rsidRPr="00610434" w:rsidRDefault="00610434" w:rsidP="00610434">
      <w:pPr>
        <w:widowControl/>
        <w:numPr>
          <w:ilvl w:val="0"/>
          <w:numId w:val="5"/>
        </w:numPr>
        <w:shd w:val="clear" w:color="auto" w:fill="FFFFFF"/>
        <w:spacing w:line="207" w:lineRule="atLeast"/>
        <w:ind w:left="30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 xml:space="preserve">ASTM F1185, “Standard Specification for Composition of Ceramic </w:t>
      </w:r>
      <w:proofErr w:type="spellStart"/>
      <w:r w:rsidRPr="00610434">
        <w:rPr>
          <w:rFonts w:ascii="Helvetica" w:eastAsia="宋体" w:hAnsi="Helvetica" w:cs="Helvetica"/>
          <w:color w:val="333333"/>
          <w:kern w:val="0"/>
          <w:sz w:val="15"/>
          <w:szCs w:val="15"/>
        </w:rPr>
        <w:t>Hydroxylapatite</w:t>
      </w:r>
      <w:proofErr w:type="spellEnd"/>
      <w:r w:rsidRPr="00610434">
        <w:rPr>
          <w:rFonts w:ascii="Helvetica" w:eastAsia="宋体" w:hAnsi="Helvetica" w:cs="Helvetica"/>
          <w:color w:val="333333"/>
          <w:kern w:val="0"/>
          <w:sz w:val="15"/>
          <w:szCs w:val="15"/>
        </w:rPr>
        <w:t xml:space="preserve"> for Surgical Implants”</w:t>
      </w:r>
    </w:p>
    <w:p w:rsidR="00610434" w:rsidRPr="00610434" w:rsidRDefault="00610434" w:rsidP="00610434">
      <w:pPr>
        <w:widowControl/>
        <w:numPr>
          <w:ilvl w:val="0"/>
          <w:numId w:val="5"/>
        </w:numPr>
        <w:shd w:val="clear" w:color="auto" w:fill="FFFFFF"/>
        <w:spacing w:before="120" w:line="207" w:lineRule="atLeast"/>
        <w:ind w:left="30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ASTM F1088, “Standard Specification for Composition of Beta-</w:t>
      </w:r>
      <w:proofErr w:type="spellStart"/>
      <w:r w:rsidRPr="00610434">
        <w:rPr>
          <w:rFonts w:ascii="Helvetica" w:eastAsia="宋体" w:hAnsi="Helvetica" w:cs="Helvetica"/>
          <w:color w:val="333333"/>
          <w:kern w:val="0"/>
          <w:sz w:val="15"/>
          <w:szCs w:val="15"/>
        </w:rPr>
        <w:t>Tricalcium</w:t>
      </w:r>
      <w:proofErr w:type="spellEnd"/>
      <w:r w:rsidRPr="00610434">
        <w:rPr>
          <w:rFonts w:ascii="Helvetica" w:eastAsia="宋体" w:hAnsi="Helvetica" w:cs="Helvetica"/>
          <w:color w:val="333333"/>
          <w:kern w:val="0"/>
          <w:sz w:val="15"/>
          <w:szCs w:val="15"/>
        </w:rPr>
        <w:t xml:space="preserve"> Phosphate for Surgical Implantation”</w:t>
      </w:r>
    </w:p>
    <w:p w:rsidR="00610434" w:rsidRPr="00610434" w:rsidRDefault="00610434" w:rsidP="00610434">
      <w:pPr>
        <w:widowControl/>
        <w:numPr>
          <w:ilvl w:val="0"/>
          <w:numId w:val="5"/>
        </w:numPr>
        <w:shd w:val="clear" w:color="auto" w:fill="FFFFFF"/>
        <w:spacing w:before="120" w:line="207" w:lineRule="atLeast"/>
        <w:ind w:left="30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United States Pharmacopoeia (USP) National Formulary (NF) “Official Monograph for Calcium Sulfate”</w:t>
      </w:r>
    </w:p>
    <w:p w:rsidR="00610434" w:rsidRPr="00610434" w:rsidRDefault="00610434" w:rsidP="00610434">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B.</w:t>
      </w:r>
      <w:r w:rsidRPr="00610434">
        <w:rPr>
          <w:rFonts w:ascii="Helvetica" w:eastAsia="宋体" w:hAnsi="Helvetica" w:cs="Helvetica"/>
          <w:color w:val="333333"/>
          <w:kern w:val="0"/>
          <w:sz w:val="15"/>
        </w:rPr>
        <w:t> </w:t>
      </w:r>
      <w:r w:rsidRPr="00610434">
        <w:rPr>
          <w:rFonts w:ascii="Helvetica" w:eastAsia="宋体" w:hAnsi="Helvetica" w:cs="Helvetica"/>
          <w:b/>
          <w:bCs/>
          <w:color w:val="333333"/>
          <w:kern w:val="0"/>
          <w:sz w:val="15"/>
        </w:rPr>
        <w:t>Physical Properties of Device</w:t>
      </w:r>
    </w:p>
    <w:p w:rsidR="00610434" w:rsidRPr="00610434" w:rsidRDefault="00610434" w:rsidP="0061043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We recommend that you provide the following information about the physical properties of the device:</w:t>
      </w:r>
    </w:p>
    <w:p w:rsidR="00610434" w:rsidRPr="00610434" w:rsidRDefault="00610434" w:rsidP="00610434">
      <w:pPr>
        <w:widowControl/>
        <w:numPr>
          <w:ilvl w:val="0"/>
          <w:numId w:val="6"/>
        </w:numPr>
        <w:shd w:val="clear" w:color="auto" w:fill="FFFFFF"/>
        <w:spacing w:line="207" w:lineRule="atLeast"/>
        <w:ind w:left="30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identification of the physical form of the device (e.g., granules, pre-formed block, or putty/paste intended to set ex-vivo or in-vivo)</w:t>
      </w:r>
    </w:p>
    <w:p w:rsidR="00610434" w:rsidRPr="00610434" w:rsidRDefault="00610434" w:rsidP="00610434">
      <w:pPr>
        <w:widowControl/>
        <w:numPr>
          <w:ilvl w:val="0"/>
          <w:numId w:val="6"/>
        </w:numPr>
        <w:shd w:val="clear" w:color="auto" w:fill="FFFFFF"/>
        <w:spacing w:before="120" w:line="207" w:lineRule="atLeast"/>
        <w:ind w:left="30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dimensional specifications for all device</w:t>
      </w:r>
    </w:p>
    <w:p w:rsidR="00610434" w:rsidRPr="00610434" w:rsidRDefault="00610434" w:rsidP="00610434">
      <w:pPr>
        <w:widowControl/>
        <w:numPr>
          <w:ilvl w:val="0"/>
          <w:numId w:val="6"/>
        </w:numPr>
        <w:shd w:val="clear" w:color="auto" w:fill="FFFFFF"/>
        <w:spacing w:before="120" w:line="207" w:lineRule="atLeast"/>
        <w:ind w:left="30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irregularly shaped devices (other than irregularly shaped granules), device drawings or</w:t>
      </w:r>
    </w:p>
    <w:p w:rsidR="00610434" w:rsidRPr="00610434" w:rsidRDefault="00610434" w:rsidP="00610434">
      <w:pPr>
        <w:widowControl/>
        <w:numPr>
          <w:ilvl w:val="0"/>
          <w:numId w:val="6"/>
        </w:numPr>
        <w:shd w:val="clear" w:color="auto" w:fill="FFFFFF"/>
        <w:spacing w:before="120" w:line="207" w:lineRule="atLeast"/>
        <w:ind w:left="30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specification of device mass, volume and density</w:t>
      </w:r>
    </w:p>
    <w:p w:rsidR="00610434" w:rsidRPr="00610434" w:rsidRDefault="00610434" w:rsidP="00610434">
      <w:pPr>
        <w:widowControl/>
        <w:numPr>
          <w:ilvl w:val="0"/>
          <w:numId w:val="6"/>
        </w:numPr>
        <w:shd w:val="clear" w:color="auto" w:fill="FFFFFF"/>
        <w:spacing w:before="120" w:line="207" w:lineRule="atLeast"/>
        <w:ind w:left="300"/>
        <w:jc w:val="left"/>
        <w:rPr>
          <w:rFonts w:ascii="Helvetica" w:eastAsia="宋体" w:hAnsi="Helvetica" w:cs="Helvetica"/>
          <w:color w:val="333333"/>
          <w:kern w:val="0"/>
          <w:sz w:val="15"/>
          <w:szCs w:val="15"/>
        </w:rPr>
      </w:pPr>
      <w:proofErr w:type="gramStart"/>
      <w:r w:rsidRPr="00610434">
        <w:rPr>
          <w:rFonts w:ascii="Helvetica" w:eastAsia="宋体" w:hAnsi="Helvetica" w:cs="Helvetica"/>
          <w:color w:val="333333"/>
          <w:kern w:val="0"/>
          <w:sz w:val="15"/>
          <w:szCs w:val="15"/>
        </w:rPr>
        <w:t>specification</w:t>
      </w:r>
      <w:proofErr w:type="gramEnd"/>
      <w:r w:rsidRPr="00610434">
        <w:rPr>
          <w:rFonts w:ascii="Helvetica" w:eastAsia="宋体" w:hAnsi="Helvetica" w:cs="Helvetica"/>
          <w:color w:val="333333"/>
          <w:kern w:val="0"/>
          <w:sz w:val="15"/>
          <w:szCs w:val="15"/>
        </w:rPr>
        <w:t xml:space="preserve"> of device porosity (e.g., total porous volume, pore diameter, interconnectedness).</w:t>
      </w:r>
    </w:p>
    <w:p w:rsidR="00610434" w:rsidRPr="00610434" w:rsidRDefault="00610434" w:rsidP="00610434">
      <w:pPr>
        <w:widowControl/>
        <w:shd w:val="clear" w:color="auto" w:fill="FFFFFF"/>
        <w:spacing w:before="240" w:line="207" w:lineRule="atLeast"/>
        <w:ind w:firstLine="0"/>
        <w:jc w:val="left"/>
        <w:rPr>
          <w:rFonts w:ascii="Helvetica" w:eastAsia="宋体" w:hAnsi="Helvetica" w:cs="Helvetica"/>
          <w:color w:val="333333"/>
          <w:kern w:val="0"/>
          <w:sz w:val="15"/>
          <w:szCs w:val="15"/>
        </w:rPr>
      </w:pPr>
      <w:hyperlink r:id="rId51" w:anchor="top" w:history="1">
        <w:r w:rsidRPr="00610434">
          <w:rPr>
            <w:rFonts w:ascii="Helvetica" w:eastAsia="宋体" w:hAnsi="Helvetica" w:cs="Helvetica"/>
            <w:color w:val="005F9F"/>
            <w:kern w:val="0"/>
            <w:sz w:val="15"/>
            <w:u w:val="single"/>
          </w:rPr>
          <w:t>Back to the top</w:t>
        </w:r>
      </w:hyperlink>
    </w:p>
    <w:p w:rsidR="00610434" w:rsidRPr="00610434" w:rsidRDefault="00610434" w:rsidP="00610434">
      <w:pPr>
        <w:widowControl/>
        <w:spacing w:before="330" w:after="330"/>
        <w:ind w:firstLine="0"/>
        <w:jc w:val="left"/>
        <w:rPr>
          <w:rFonts w:ascii="宋体" w:eastAsia="宋体" w:hAnsi="宋体" w:cs="宋体"/>
          <w:kern w:val="0"/>
          <w:sz w:val="24"/>
          <w:szCs w:val="24"/>
        </w:rPr>
      </w:pPr>
      <w:r w:rsidRPr="00610434">
        <w:rPr>
          <w:rFonts w:ascii="宋体" w:eastAsia="宋体" w:hAnsi="宋体" w:cs="宋体"/>
          <w:kern w:val="0"/>
          <w:sz w:val="24"/>
          <w:szCs w:val="24"/>
        </w:rPr>
        <w:pict>
          <v:rect id="_x0000_i1032" style="width:0;height:0" o:hralign="center" o:hrstd="t" o:hrnoshade="t" o:hr="t" fillcolor="#333" stroked="f"/>
        </w:pict>
      </w:r>
    </w:p>
    <w:p w:rsidR="00610434" w:rsidRPr="00610434" w:rsidRDefault="00610434" w:rsidP="00610434">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610434">
        <w:rPr>
          <w:rFonts w:ascii="Helvetica" w:eastAsia="宋体" w:hAnsi="Helvetica" w:cs="Helvetica"/>
          <w:b/>
          <w:bCs/>
          <w:color w:val="333333"/>
          <w:kern w:val="0"/>
          <w:sz w:val="23"/>
          <w:szCs w:val="23"/>
        </w:rPr>
        <w:t>7. Device Performance Characteristics</w:t>
      </w:r>
    </w:p>
    <w:p w:rsidR="00610434" w:rsidRPr="00610434" w:rsidRDefault="00610434" w:rsidP="00610434">
      <w:pPr>
        <w:widowControl/>
        <w:shd w:val="clear" w:color="auto" w:fill="FFFFFF"/>
        <w:spacing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FDA recommends that you provide the information below to evaluate the device performance characteristics.</w:t>
      </w:r>
    </w:p>
    <w:p w:rsidR="00610434" w:rsidRPr="00610434" w:rsidRDefault="00610434" w:rsidP="0061043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b/>
          <w:bCs/>
          <w:color w:val="333333"/>
          <w:kern w:val="0"/>
          <w:sz w:val="15"/>
        </w:rPr>
        <w:t>A. Performance Testing - Bench</w:t>
      </w:r>
    </w:p>
    <w:p w:rsidR="00610434" w:rsidRPr="00610434" w:rsidRDefault="00610434" w:rsidP="0061043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We recommend the following performance tests using final, sterilized devices and simulating the intended physiological environment:</w:t>
      </w:r>
    </w:p>
    <w:p w:rsidR="00610434" w:rsidRPr="00610434" w:rsidRDefault="00610434" w:rsidP="00610434">
      <w:pPr>
        <w:widowControl/>
        <w:numPr>
          <w:ilvl w:val="0"/>
          <w:numId w:val="7"/>
        </w:numPr>
        <w:shd w:val="clear" w:color="auto" w:fill="FFFFFF"/>
        <w:spacing w:line="207" w:lineRule="atLeast"/>
        <w:ind w:left="30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pH testing</w:t>
      </w:r>
    </w:p>
    <w:p w:rsidR="00610434" w:rsidRPr="00610434" w:rsidRDefault="00610434" w:rsidP="00610434">
      <w:pPr>
        <w:widowControl/>
        <w:numPr>
          <w:ilvl w:val="0"/>
          <w:numId w:val="7"/>
        </w:numPr>
        <w:shd w:val="clear" w:color="auto" w:fill="FFFFFF"/>
        <w:spacing w:before="120" w:line="207" w:lineRule="atLeast"/>
        <w:ind w:left="30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dissolution/solubility testing compared to the predicate device</w:t>
      </w:r>
      <w:r w:rsidRPr="00610434">
        <w:rPr>
          <w:rFonts w:ascii="Helvetica" w:eastAsia="宋体" w:hAnsi="Helvetica" w:cs="Helvetica"/>
          <w:color w:val="333333"/>
          <w:kern w:val="0"/>
          <w:sz w:val="13"/>
          <w:szCs w:val="13"/>
          <w:vertAlign w:val="superscript"/>
        </w:rPr>
        <w:t>5</w:t>
      </w:r>
    </w:p>
    <w:p w:rsidR="00610434" w:rsidRPr="00610434" w:rsidRDefault="00610434" w:rsidP="00610434">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For a device intended to set in-vivo, we recommend that you also evaluate:</w:t>
      </w:r>
    </w:p>
    <w:p w:rsidR="00610434" w:rsidRPr="00610434" w:rsidRDefault="00610434" w:rsidP="00610434">
      <w:pPr>
        <w:widowControl/>
        <w:numPr>
          <w:ilvl w:val="0"/>
          <w:numId w:val="8"/>
        </w:numPr>
        <w:shd w:val="clear" w:color="auto" w:fill="FFFFFF"/>
        <w:spacing w:line="207" w:lineRule="atLeast"/>
        <w:ind w:left="30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lastRenderedPageBreak/>
        <w:t>working time</w:t>
      </w:r>
    </w:p>
    <w:p w:rsidR="00610434" w:rsidRPr="00610434" w:rsidRDefault="00610434" w:rsidP="00610434">
      <w:pPr>
        <w:widowControl/>
        <w:numPr>
          <w:ilvl w:val="0"/>
          <w:numId w:val="8"/>
        </w:numPr>
        <w:shd w:val="clear" w:color="auto" w:fill="FFFFFF"/>
        <w:spacing w:before="120" w:line="207" w:lineRule="atLeast"/>
        <w:ind w:left="30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setting time</w:t>
      </w:r>
    </w:p>
    <w:p w:rsidR="00610434" w:rsidRPr="00610434" w:rsidRDefault="00610434" w:rsidP="00610434">
      <w:pPr>
        <w:widowControl/>
        <w:numPr>
          <w:ilvl w:val="0"/>
          <w:numId w:val="8"/>
        </w:numPr>
        <w:shd w:val="clear" w:color="auto" w:fill="FFFFFF"/>
        <w:spacing w:before="120" w:line="207" w:lineRule="atLeast"/>
        <w:ind w:left="30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dimensional stability</w:t>
      </w:r>
    </w:p>
    <w:p w:rsidR="00610434" w:rsidRPr="00610434" w:rsidRDefault="00610434" w:rsidP="00610434">
      <w:pPr>
        <w:widowControl/>
        <w:numPr>
          <w:ilvl w:val="0"/>
          <w:numId w:val="8"/>
        </w:numPr>
        <w:shd w:val="clear" w:color="auto" w:fill="FFFFFF"/>
        <w:spacing w:before="120" w:line="207" w:lineRule="atLeast"/>
        <w:ind w:left="30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setting reaction temperature</w:t>
      </w:r>
    </w:p>
    <w:p w:rsidR="00610434" w:rsidRPr="00610434" w:rsidRDefault="00610434" w:rsidP="00610434">
      <w:pPr>
        <w:widowControl/>
        <w:numPr>
          <w:ilvl w:val="0"/>
          <w:numId w:val="8"/>
        </w:numPr>
        <w:shd w:val="clear" w:color="auto" w:fill="FFFFFF"/>
        <w:spacing w:before="120" w:line="207" w:lineRule="atLeast"/>
        <w:ind w:left="30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pH</w:t>
      </w:r>
    </w:p>
    <w:p w:rsidR="00610434" w:rsidRPr="00610434" w:rsidRDefault="00610434" w:rsidP="00610434">
      <w:pPr>
        <w:widowControl/>
        <w:numPr>
          <w:ilvl w:val="0"/>
          <w:numId w:val="8"/>
        </w:numPr>
        <w:shd w:val="clear" w:color="auto" w:fill="FFFFFF"/>
        <w:spacing w:before="120" w:line="207" w:lineRule="atLeast"/>
        <w:ind w:left="300"/>
        <w:jc w:val="left"/>
        <w:rPr>
          <w:rFonts w:ascii="Helvetica" w:eastAsia="宋体" w:hAnsi="Helvetica" w:cs="Helvetica"/>
          <w:color w:val="333333"/>
          <w:kern w:val="0"/>
          <w:sz w:val="15"/>
          <w:szCs w:val="15"/>
        </w:rPr>
      </w:pPr>
      <w:proofErr w:type="gramStart"/>
      <w:r w:rsidRPr="00610434">
        <w:rPr>
          <w:rFonts w:ascii="Helvetica" w:eastAsia="宋体" w:hAnsi="Helvetica" w:cs="Helvetica"/>
          <w:color w:val="333333"/>
          <w:kern w:val="0"/>
          <w:sz w:val="15"/>
          <w:szCs w:val="15"/>
        </w:rPr>
        <w:t>chemical</w:t>
      </w:r>
      <w:proofErr w:type="gramEnd"/>
      <w:r w:rsidRPr="00610434">
        <w:rPr>
          <w:rFonts w:ascii="Helvetica" w:eastAsia="宋体" w:hAnsi="Helvetica" w:cs="Helvetica"/>
          <w:color w:val="333333"/>
          <w:kern w:val="0"/>
          <w:sz w:val="15"/>
          <w:szCs w:val="15"/>
        </w:rPr>
        <w:t xml:space="preserve"> analysis of the final device.</w:t>
      </w:r>
    </w:p>
    <w:p w:rsidR="00610434" w:rsidRPr="00610434" w:rsidRDefault="00610434" w:rsidP="00610434">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 xml:space="preserve">For </w:t>
      </w:r>
      <w:proofErr w:type="spellStart"/>
      <w:r w:rsidRPr="00610434">
        <w:rPr>
          <w:rFonts w:ascii="Helvetica" w:eastAsia="宋体" w:hAnsi="Helvetica" w:cs="Helvetica"/>
          <w:color w:val="333333"/>
          <w:kern w:val="0"/>
          <w:sz w:val="15"/>
          <w:szCs w:val="15"/>
        </w:rPr>
        <w:t>injectable</w:t>
      </w:r>
      <w:proofErr w:type="spellEnd"/>
      <w:r w:rsidRPr="00610434">
        <w:rPr>
          <w:rFonts w:ascii="Helvetica" w:eastAsia="宋体" w:hAnsi="Helvetica" w:cs="Helvetica"/>
          <w:color w:val="333333"/>
          <w:kern w:val="0"/>
          <w:sz w:val="15"/>
          <w:szCs w:val="15"/>
        </w:rPr>
        <w:t xml:space="preserve"> devices, we recommend that you also evaluate </w:t>
      </w:r>
      <w:proofErr w:type="spellStart"/>
      <w:r w:rsidRPr="00610434">
        <w:rPr>
          <w:rFonts w:ascii="Helvetica" w:eastAsia="宋体" w:hAnsi="Helvetica" w:cs="Helvetica"/>
          <w:color w:val="333333"/>
          <w:kern w:val="0"/>
          <w:sz w:val="15"/>
          <w:szCs w:val="15"/>
        </w:rPr>
        <w:t>injectability</w:t>
      </w:r>
      <w:proofErr w:type="spellEnd"/>
      <w:r w:rsidRPr="00610434">
        <w:rPr>
          <w:rFonts w:ascii="Helvetica" w:eastAsia="宋体" w:hAnsi="Helvetica" w:cs="Helvetica"/>
          <w:color w:val="333333"/>
          <w:kern w:val="0"/>
          <w:sz w:val="15"/>
          <w:szCs w:val="15"/>
        </w:rPr>
        <w:t xml:space="preserve"> testing and pressure testing or analytical assessment of pressures expected upon injection of the device into the defect site.</w:t>
      </w:r>
    </w:p>
    <w:p w:rsidR="00610434" w:rsidRPr="00610434" w:rsidRDefault="00610434" w:rsidP="0061043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b/>
          <w:bCs/>
          <w:color w:val="333333"/>
          <w:kern w:val="0"/>
          <w:sz w:val="15"/>
        </w:rPr>
        <w:t>B. Performance Testing – Animal</w:t>
      </w:r>
    </w:p>
    <w:p w:rsidR="00610434" w:rsidRPr="00610434" w:rsidRDefault="00610434" w:rsidP="0061043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Whether animal performance testing is necessary will depend upon how similar the material and performance characteristics are compared to those of the predicate device.</w:t>
      </w:r>
    </w:p>
    <w:p w:rsidR="00610434" w:rsidRPr="00610434" w:rsidRDefault="00610434" w:rsidP="0061043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 xml:space="preserve">For devices that have the same critical specifications (i.e., chemistry, </w:t>
      </w:r>
      <w:proofErr w:type="spellStart"/>
      <w:r w:rsidRPr="00610434">
        <w:rPr>
          <w:rFonts w:ascii="Helvetica" w:eastAsia="宋体" w:hAnsi="Helvetica" w:cs="Helvetica"/>
          <w:color w:val="333333"/>
          <w:kern w:val="0"/>
          <w:sz w:val="15"/>
          <w:szCs w:val="15"/>
        </w:rPr>
        <w:t>crystallinity</w:t>
      </w:r>
      <w:proofErr w:type="spellEnd"/>
      <w:r w:rsidRPr="00610434">
        <w:rPr>
          <w:rFonts w:ascii="Helvetica" w:eastAsia="宋体" w:hAnsi="Helvetica" w:cs="Helvetica"/>
          <w:color w:val="333333"/>
          <w:kern w:val="0"/>
          <w:sz w:val="15"/>
          <w:szCs w:val="15"/>
        </w:rPr>
        <w:t>, physical form, porosity, dissolution/solubility) and the same intended use as the predicate device, information on material characterization and bench performance testing (Sections 6 and 7A, above), directly compared to the predicate device, may be sufficient to demonstrate substantial equivalence.</w:t>
      </w:r>
    </w:p>
    <w:p w:rsidR="00610434" w:rsidRPr="00610434" w:rsidRDefault="00610434" w:rsidP="0061043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For devices that do not have the same critical device specifications, we recommend that you evaluate device performance in an animal model that, in addition to incorporating generally accepted scientific principles, also takes into consideration the following specific study design issues:</w:t>
      </w:r>
    </w:p>
    <w:p w:rsidR="00610434" w:rsidRPr="00610434" w:rsidRDefault="00610434" w:rsidP="00610434">
      <w:pPr>
        <w:widowControl/>
        <w:numPr>
          <w:ilvl w:val="0"/>
          <w:numId w:val="9"/>
        </w:numPr>
        <w:shd w:val="clear" w:color="auto" w:fill="FFFFFF"/>
        <w:spacing w:line="207" w:lineRule="atLeast"/>
        <w:ind w:left="30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use of an animal model that is representative of the indications for use, the full range of anatomical sites proposed for use, and specifically how the device is to be used</w:t>
      </w:r>
    </w:p>
    <w:p w:rsidR="00610434" w:rsidRPr="00610434" w:rsidRDefault="00610434" w:rsidP="00610434">
      <w:pPr>
        <w:widowControl/>
        <w:numPr>
          <w:ilvl w:val="0"/>
          <w:numId w:val="9"/>
        </w:numPr>
        <w:shd w:val="clear" w:color="auto" w:fill="FFFFFF"/>
        <w:spacing w:before="120" w:line="207" w:lineRule="atLeast"/>
        <w:ind w:left="30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use of skeletally mature animals and a critical size defect</w:t>
      </w:r>
    </w:p>
    <w:p w:rsidR="00610434" w:rsidRPr="00610434" w:rsidRDefault="00610434" w:rsidP="00610434">
      <w:pPr>
        <w:widowControl/>
        <w:numPr>
          <w:ilvl w:val="0"/>
          <w:numId w:val="9"/>
        </w:numPr>
        <w:shd w:val="clear" w:color="auto" w:fill="FFFFFF"/>
        <w:spacing w:before="120" w:line="207" w:lineRule="atLeast"/>
        <w:ind w:left="30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 xml:space="preserve">use of the predicate device and/or </w:t>
      </w:r>
      <w:proofErr w:type="spellStart"/>
      <w:r w:rsidRPr="00610434">
        <w:rPr>
          <w:rFonts w:ascii="Helvetica" w:eastAsia="宋体" w:hAnsi="Helvetica" w:cs="Helvetica"/>
          <w:color w:val="333333"/>
          <w:kern w:val="0"/>
          <w:sz w:val="15"/>
          <w:szCs w:val="15"/>
        </w:rPr>
        <w:t>autogenous</w:t>
      </w:r>
      <w:proofErr w:type="spellEnd"/>
      <w:r w:rsidRPr="00610434">
        <w:rPr>
          <w:rFonts w:ascii="Helvetica" w:eastAsia="宋体" w:hAnsi="Helvetica" w:cs="Helvetica"/>
          <w:color w:val="333333"/>
          <w:kern w:val="0"/>
          <w:sz w:val="15"/>
          <w:szCs w:val="15"/>
        </w:rPr>
        <w:t xml:space="preserve"> bone graft as the positive control group(s) and use of an empty defect as a negative control</w:t>
      </w:r>
    </w:p>
    <w:p w:rsidR="00610434" w:rsidRPr="00610434" w:rsidRDefault="00610434" w:rsidP="00610434">
      <w:pPr>
        <w:widowControl/>
        <w:numPr>
          <w:ilvl w:val="0"/>
          <w:numId w:val="9"/>
        </w:numPr>
        <w:shd w:val="clear" w:color="auto" w:fill="FFFFFF"/>
        <w:spacing w:before="120" w:line="207" w:lineRule="atLeast"/>
        <w:ind w:left="30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 xml:space="preserve">use of radiography, histology, and </w:t>
      </w:r>
      <w:proofErr w:type="spellStart"/>
      <w:r w:rsidRPr="00610434">
        <w:rPr>
          <w:rFonts w:ascii="Helvetica" w:eastAsia="宋体" w:hAnsi="Helvetica" w:cs="Helvetica"/>
          <w:color w:val="333333"/>
          <w:kern w:val="0"/>
          <w:sz w:val="15"/>
          <w:szCs w:val="15"/>
        </w:rPr>
        <w:t>histomorphometry</w:t>
      </w:r>
      <w:proofErr w:type="spellEnd"/>
      <w:r w:rsidRPr="00610434">
        <w:rPr>
          <w:rFonts w:ascii="Helvetica" w:eastAsia="宋体" w:hAnsi="Helvetica" w:cs="Helvetica"/>
          <w:color w:val="333333"/>
          <w:kern w:val="0"/>
          <w:sz w:val="15"/>
          <w:szCs w:val="15"/>
        </w:rPr>
        <w:t xml:space="preserve"> to assess bone formation and device </w:t>
      </w:r>
      <w:proofErr w:type="spellStart"/>
      <w:r w:rsidRPr="00610434">
        <w:rPr>
          <w:rFonts w:ascii="Helvetica" w:eastAsia="宋体" w:hAnsi="Helvetica" w:cs="Helvetica"/>
          <w:color w:val="333333"/>
          <w:kern w:val="0"/>
          <w:sz w:val="15"/>
          <w:szCs w:val="15"/>
        </w:rPr>
        <w:t>resorption</w:t>
      </w:r>
      <w:proofErr w:type="spellEnd"/>
      <w:r w:rsidRPr="00610434">
        <w:rPr>
          <w:rFonts w:ascii="Helvetica" w:eastAsia="宋体" w:hAnsi="Helvetica" w:cs="Helvetica"/>
          <w:color w:val="333333"/>
          <w:kern w:val="0"/>
          <w:sz w:val="15"/>
          <w:szCs w:val="15"/>
        </w:rPr>
        <w:t xml:space="preserve"> at various, relevant time points over the course of healing, in addition to supportive biomechanical testing of the new bone formed</w:t>
      </w:r>
    </w:p>
    <w:p w:rsidR="00610434" w:rsidRPr="00610434" w:rsidRDefault="00610434" w:rsidP="00610434">
      <w:pPr>
        <w:widowControl/>
        <w:numPr>
          <w:ilvl w:val="0"/>
          <w:numId w:val="9"/>
        </w:numPr>
        <w:shd w:val="clear" w:color="auto" w:fill="FFFFFF"/>
        <w:spacing w:before="120" w:line="207" w:lineRule="atLeast"/>
        <w:ind w:left="300"/>
        <w:jc w:val="left"/>
        <w:rPr>
          <w:rFonts w:ascii="Helvetica" w:eastAsia="宋体" w:hAnsi="Helvetica" w:cs="Helvetica"/>
          <w:color w:val="333333"/>
          <w:kern w:val="0"/>
          <w:sz w:val="15"/>
          <w:szCs w:val="15"/>
        </w:rPr>
      </w:pPr>
      <w:proofErr w:type="gramStart"/>
      <w:r w:rsidRPr="00610434">
        <w:rPr>
          <w:rFonts w:ascii="Helvetica" w:eastAsia="宋体" w:hAnsi="Helvetica" w:cs="Helvetica"/>
          <w:color w:val="333333"/>
          <w:kern w:val="0"/>
          <w:sz w:val="15"/>
          <w:szCs w:val="15"/>
        </w:rPr>
        <w:t>use</w:t>
      </w:r>
      <w:proofErr w:type="gramEnd"/>
      <w:r w:rsidRPr="00610434">
        <w:rPr>
          <w:rFonts w:ascii="Helvetica" w:eastAsia="宋体" w:hAnsi="Helvetica" w:cs="Helvetica"/>
          <w:color w:val="333333"/>
          <w:kern w:val="0"/>
          <w:sz w:val="15"/>
          <w:szCs w:val="15"/>
        </w:rPr>
        <w:t xml:space="preserve"> of an adequate study duration to demonstrate bone healing and the effects of any residual device material.</w:t>
      </w:r>
    </w:p>
    <w:p w:rsidR="00610434" w:rsidRPr="00610434" w:rsidRDefault="00610434" w:rsidP="00610434">
      <w:pPr>
        <w:widowControl/>
        <w:shd w:val="clear" w:color="auto" w:fill="FFFFFF"/>
        <w:spacing w:before="240" w:line="207" w:lineRule="atLeast"/>
        <w:ind w:firstLine="0"/>
        <w:jc w:val="left"/>
        <w:rPr>
          <w:rFonts w:ascii="Helvetica" w:eastAsia="宋体" w:hAnsi="Helvetica" w:cs="Helvetica"/>
          <w:color w:val="333333"/>
          <w:kern w:val="0"/>
          <w:sz w:val="15"/>
          <w:szCs w:val="15"/>
        </w:rPr>
      </w:pPr>
      <w:hyperlink r:id="rId52" w:anchor="top" w:history="1">
        <w:r w:rsidRPr="00610434">
          <w:rPr>
            <w:rFonts w:ascii="Helvetica" w:eastAsia="宋体" w:hAnsi="Helvetica" w:cs="Helvetica"/>
            <w:color w:val="005F9F"/>
            <w:kern w:val="0"/>
            <w:sz w:val="15"/>
            <w:u w:val="single"/>
          </w:rPr>
          <w:t>Back to the top</w:t>
        </w:r>
      </w:hyperlink>
    </w:p>
    <w:p w:rsidR="00610434" w:rsidRPr="00610434" w:rsidRDefault="00610434" w:rsidP="00610434">
      <w:pPr>
        <w:widowControl/>
        <w:spacing w:before="330" w:after="330"/>
        <w:ind w:firstLine="0"/>
        <w:jc w:val="left"/>
        <w:rPr>
          <w:rFonts w:ascii="宋体" w:eastAsia="宋体" w:hAnsi="宋体" w:cs="宋体"/>
          <w:kern w:val="0"/>
          <w:sz w:val="24"/>
          <w:szCs w:val="24"/>
        </w:rPr>
      </w:pPr>
      <w:r w:rsidRPr="00610434">
        <w:rPr>
          <w:rFonts w:ascii="宋体" w:eastAsia="宋体" w:hAnsi="宋体" w:cs="宋体"/>
          <w:kern w:val="0"/>
          <w:sz w:val="24"/>
          <w:szCs w:val="24"/>
        </w:rPr>
        <w:pict>
          <v:rect id="_x0000_i1033" style="width:0;height:0" o:hralign="center" o:hrstd="t" o:hrnoshade="t" o:hr="t" fillcolor="#333" stroked="f"/>
        </w:pict>
      </w:r>
    </w:p>
    <w:p w:rsidR="00610434" w:rsidRPr="00610434" w:rsidRDefault="00610434" w:rsidP="00610434">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610434">
        <w:rPr>
          <w:rFonts w:ascii="Helvetica" w:eastAsia="宋体" w:hAnsi="Helvetica" w:cs="Helvetica"/>
          <w:b/>
          <w:bCs/>
          <w:color w:val="333333"/>
          <w:kern w:val="0"/>
          <w:sz w:val="23"/>
          <w:szCs w:val="23"/>
        </w:rPr>
        <w:t>8. Biocompatibility</w:t>
      </w:r>
    </w:p>
    <w:p w:rsidR="00610434" w:rsidRPr="00610434" w:rsidRDefault="00610434" w:rsidP="00610434">
      <w:pPr>
        <w:widowControl/>
        <w:shd w:val="clear" w:color="auto" w:fill="FFFFFF"/>
        <w:spacing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FDA recommends that you conduct biocompatibility testing as described in the FDA-modified</w:t>
      </w:r>
      <w:r w:rsidRPr="00610434">
        <w:rPr>
          <w:rFonts w:ascii="Helvetica" w:eastAsia="宋体" w:hAnsi="Helvetica" w:cs="Helvetica"/>
          <w:color w:val="333333"/>
          <w:kern w:val="0"/>
          <w:sz w:val="15"/>
        </w:rPr>
        <w:t> </w:t>
      </w:r>
      <w:hyperlink r:id="rId53" w:history="1">
        <w:r w:rsidRPr="00610434">
          <w:rPr>
            <w:rFonts w:ascii="Helvetica" w:eastAsia="宋体" w:hAnsi="Helvetica" w:cs="Helvetica"/>
            <w:b/>
            <w:bCs/>
            <w:color w:val="005F9F"/>
            <w:kern w:val="0"/>
            <w:sz w:val="15"/>
          </w:rPr>
          <w:t>Use of International Standard ISO-10993, Biological Evaluation of Medical Devices Part-1: Evaluation and Testing</w:t>
        </w:r>
      </w:hyperlink>
      <w:r w:rsidRPr="00610434">
        <w:rPr>
          <w:rFonts w:ascii="Helvetica" w:eastAsia="宋体" w:hAnsi="Helvetica" w:cs="Helvetica"/>
          <w:color w:val="333333"/>
          <w:kern w:val="0"/>
          <w:sz w:val="15"/>
          <w:szCs w:val="15"/>
        </w:rPr>
        <w:t xml:space="preserve">, for blood-contacting, long-term implanted devices. We recommend that you select biocompatibility tests (Parts 5 and 10 of ISO-10993) appropriate for the </w:t>
      </w:r>
      <w:r w:rsidRPr="00610434">
        <w:rPr>
          <w:rFonts w:ascii="Helvetica" w:eastAsia="宋体" w:hAnsi="Helvetica" w:cs="Helvetica"/>
          <w:color w:val="333333"/>
          <w:kern w:val="0"/>
          <w:sz w:val="15"/>
          <w:szCs w:val="15"/>
        </w:rPr>
        <w:lastRenderedPageBreak/>
        <w:t>duration and level of contact with your device. If</w:t>
      </w:r>
      <w:r w:rsidRPr="00610434">
        <w:rPr>
          <w:rFonts w:ascii="Helvetica" w:eastAsia="宋体" w:hAnsi="Helvetica" w:cs="Helvetica"/>
          <w:color w:val="333333"/>
          <w:kern w:val="0"/>
          <w:sz w:val="15"/>
        </w:rPr>
        <w:t> </w:t>
      </w:r>
      <w:proofErr w:type="spellStart"/>
      <w:r w:rsidRPr="00610434">
        <w:rPr>
          <w:rFonts w:ascii="Helvetica" w:eastAsia="宋体" w:hAnsi="Helvetica" w:cs="Helvetica"/>
          <w:i/>
          <w:iCs/>
          <w:color w:val="333333"/>
          <w:kern w:val="0"/>
          <w:sz w:val="15"/>
        </w:rPr>
        <w:t>identical</w:t>
      </w:r>
      <w:r w:rsidRPr="00610434">
        <w:rPr>
          <w:rFonts w:ascii="Helvetica" w:eastAsia="宋体" w:hAnsi="Helvetica" w:cs="Helvetica"/>
          <w:color w:val="333333"/>
          <w:kern w:val="0"/>
          <w:sz w:val="15"/>
          <w:szCs w:val="15"/>
        </w:rPr>
        <w:t>materials</w:t>
      </w:r>
      <w:proofErr w:type="spellEnd"/>
      <w:r w:rsidRPr="00610434">
        <w:rPr>
          <w:rFonts w:ascii="Helvetica" w:eastAsia="宋体" w:hAnsi="Helvetica" w:cs="Helvetica"/>
          <w:color w:val="333333"/>
          <w:kern w:val="0"/>
          <w:sz w:val="15"/>
          <w:szCs w:val="15"/>
        </w:rPr>
        <w:t xml:space="preserve"> are used in a predicate device with the same type and duration of patient contact, you may identify the predicate device in lieu of biocompatibility testing.</w:t>
      </w:r>
    </w:p>
    <w:p w:rsidR="00610434" w:rsidRPr="00610434" w:rsidRDefault="00610434" w:rsidP="0061043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54" w:anchor="top" w:history="1">
        <w:r w:rsidRPr="00610434">
          <w:rPr>
            <w:rFonts w:ascii="Helvetica" w:eastAsia="宋体" w:hAnsi="Helvetica" w:cs="Helvetica"/>
            <w:color w:val="005F9F"/>
            <w:kern w:val="0"/>
            <w:sz w:val="15"/>
            <w:u w:val="single"/>
          </w:rPr>
          <w:t>Back to the top</w:t>
        </w:r>
      </w:hyperlink>
    </w:p>
    <w:p w:rsidR="00610434" w:rsidRPr="00610434" w:rsidRDefault="00610434" w:rsidP="00610434">
      <w:pPr>
        <w:widowControl/>
        <w:spacing w:before="330" w:after="330"/>
        <w:ind w:firstLine="0"/>
        <w:jc w:val="left"/>
        <w:rPr>
          <w:rFonts w:ascii="宋体" w:eastAsia="宋体" w:hAnsi="宋体" w:cs="宋体"/>
          <w:kern w:val="0"/>
          <w:sz w:val="24"/>
          <w:szCs w:val="24"/>
        </w:rPr>
      </w:pPr>
      <w:r w:rsidRPr="00610434">
        <w:rPr>
          <w:rFonts w:ascii="宋体" w:eastAsia="宋体" w:hAnsi="宋体" w:cs="宋体"/>
          <w:kern w:val="0"/>
          <w:sz w:val="24"/>
          <w:szCs w:val="24"/>
        </w:rPr>
        <w:pict>
          <v:rect id="_x0000_i1034" style="width:0;height:0" o:hralign="center" o:hrstd="t" o:hrnoshade="t" o:hr="t" fillcolor="#333" stroked="f"/>
        </w:pict>
      </w:r>
    </w:p>
    <w:p w:rsidR="00610434" w:rsidRPr="00610434" w:rsidRDefault="00610434" w:rsidP="00610434">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610434">
        <w:rPr>
          <w:rFonts w:ascii="Helvetica" w:eastAsia="宋体" w:hAnsi="Helvetica" w:cs="Helvetica"/>
          <w:b/>
          <w:bCs/>
          <w:color w:val="333333"/>
          <w:kern w:val="0"/>
          <w:sz w:val="23"/>
          <w:szCs w:val="23"/>
        </w:rPr>
        <w:t>9. Sterility</w:t>
      </w:r>
    </w:p>
    <w:p w:rsidR="00610434" w:rsidRPr="00610434" w:rsidRDefault="00610434" w:rsidP="00610434">
      <w:pPr>
        <w:widowControl/>
        <w:shd w:val="clear" w:color="auto" w:fill="FFFFFF"/>
        <w:spacing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FDA recommends that you provide sterilization information in accordance with the</w:t>
      </w:r>
      <w:r w:rsidRPr="00610434">
        <w:rPr>
          <w:rFonts w:ascii="Helvetica" w:eastAsia="宋体" w:hAnsi="Helvetica" w:cs="Helvetica"/>
          <w:color w:val="333333"/>
          <w:kern w:val="0"/>
          <w:sz w:val="15"/>
        </w:rPr>
        <w:t> </w:t>
      </w:r>
      <w:hyperlink r:id="rId55" w:history="1">
        <w:r w:rsidRPr="00610434">
          <w:rPr>
            <w:rFonts w:ascii="Helvetica" w:eastAsia="宋体" w:hAnsi="Helvetica" w:cs="Helvetica"/>
            <w:b/>
            <w:bCs/>
            <w:color w:val="005F9F"/>
            <w:kern w:val="0"/>
            <w:sz w:val="15"/>
          </w:rPr>
          <w:t>Updated 510(k) Sterility Review Guidance K90-1; Final Guidance for Industry and FDA</w:t>
        </w:r>
      </w:hyperlink>
      <w:r w:rsidRPr="00610434">
        <w:rPr>
          <w:rFonts w:ascii="Helvetica" w:eastAsia="宋体" w:hAnsi="Helvetica" w:cs="Helvetica"/>
          <w:color w:val="333333"/>
          <w:kern w:val="0"/>
          <w:sz w:val="15"/>
          <w:szCs w:val="15"/>
        </w:rPr>
        <w:t>. The device should be sterile with a sterility assurance level (SAL) of 1 x 10</w:t>
      </w:r>
      <w:r w:rsidRPr="00610434">
        <w:rPr>
          <w:rFonts w:ascii="Helvetica" w:eastAsia="宋体" w:hAnsi="Helvetica" w:cs="Helvetica"/>
          <w:color w:val="333333"/>
          <w:kern w:val="0"/>
          <w:sz w:val="13"/>
          <w:szCs w:val="13"/>
          <w:vertAlign w:val="superscript"/>
        </w:rPr>
        <w:t>-6</w:t>
      </w:r>
      <w:r w:rsidRPr="00610434">
        <w:rPr>
          <w:rFonts w:ascii="Helvetica" w:eastAsia="宋体" w:hAnsi="Helvetica" w:cs="Helvetica"/>
          <w:color w:val="333333"/>
          <w:kern w:val="0"/>
          <w:sz w:val="15"/>
          <w:szCs w:val="15"/>
        </w:rPr>
        <w:t>.</w:t>
      </w:r>
    </w:p>
    <w:p w:rsidR="00610434" w:rsidRPr="00610434" w:rsidRDefault="00610434" w:rsidP="0061043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56" w:anchor="top" w:history="1">
        <w:r w:rsidRPr="00610434">
          <w:rPr>
            <w:rFonts w:ascii="Helvetica" w:eastAsia="宋体" w:hAnsi="Helvetica" w:cs="Helvetica"/>
            <w:color w:val="005F9F"/>
            <w:kern w:val="0"/>
            <w:sz w:val="15"/>
            <w:u w:val="single"/>
          </w:rPr>
          <w:t>Back to the top</w:t>
        </w:r>
      </w:hyperlink>
    </w:p>
    <w:p w:rsidR="00610434" w:rsidRPr="00610434" w:rsidRDefault="00610434" w:rsidP="00610434">
      <w:pPr>
        <w:widowControl/>
        <w:spacing w:before="330" w:after="330"/>
        <w:ind w:firstLine="0"/>
        <w:jc w:val="left"/>
        <w:rPr>
          <w:rFonts w:ascii="宋体" w:eastAsia="宋体" w:hAnsi="宋体" w:cs="宋体"/>
          <w:kern w:val="0"/>
          <w:sz w:val="24"/>
          <w:szCs w:val="24"/>
        </w:rPr>
      </w:pPr>
      <w:r w:rsidRPr="00610434">
        <w:rPr>
          <w:rFonts w:ascii="宋体" w:eastAsia="宋体" w:hAnsi="宋体" w:cs="宋体"/>
          <w:kern w:val="0"/>
          <w:sz w:val="24"/>
          <w:szCs w:val="24"/>
        </w:rPr>
        <w:pict>
          <v:rect id="_x0000_i1035" style="width:0;height:0" o:hralign="center" o:hrstd="t" o:hrnoshade="t" o:hr="t" fillcolor="#333" stroked="f"/>
        </w:pict>
      </w:r>
    </w:p>
    <w:p w:rsidR="00610434" w:rsidRPr="00610434" w:rsidRDefault="00610434" w:rsidP="00610434">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610434">
        <w:rPr>
          <w:rFonts w:ascii="Helvetica" w:eastAsia="宋体" w:hAnsi="Helvetica" w:cs="Helvetica"/>
          <w:b/>
          <w:bCs/>
          <w:color w:val="333333"/>
          <w:kern w:val="0"/>
          <w:sz w:val="23"/>
          <w:szCs w:val="23"/>
        </w:rPr>
        <w:t>10. Labeling</w:t>
      </w:r>
    </w:p>
    <w:p w:rsidR="00610434" w:rsidRPr="00610434" w:rsidRDefault="00610434" w:rsidP="00610434">
      <w:pPr>
        <w:widowControl/>
        <w:shd w:val="clear" w:color="auto" w:fill="FFFFFF"/>
        <w:spacing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The premarket notification should include labeling in sufficient detail to satisfy the requirements of 21 CFR 807.87(e). The following suggestions are aimed at assisting you in preparing labeling that satisfies the requirements of 21 CFR 807.87(e</w:t>
      </w:r>
      <w:proofErr w:type="gramStart"/>
      <w:r w:rsidRPr="00610434">
        <w:rPr>
          <w:rFonts w:ascii="Helvetica" w:eastAsia="宋体" w:hAnsi="Helvetica" w:cs="Helvetica"/>
          <w:color w:val="333333"/>
          <w:kern w:val="0"/>
          <w:sz w:val="15"/>
          <w:szCs w:val="15"/>
        </w:rPr>
        <w:t>)</w:t>
      </w:r>
      <w:r w:rsidRPr="00610434">
        <w:rPr>
          <w:rFonts w:ascii="Helvetica" w:eastAsia="宋体" w:hAnsi="Helvetica" w:cs="Helvetica"/>
          <w:color w:val="333333"/>
          <w:kern w:val="0"/>
          <w:sz w:val="13"/>
          <w:szCs w:val="13"/>
          <w:vertAlign w:val="superscript"/>
        </w:rPr>
        <w:t>6</w:t>
      </w:r>
      <w:proofErr w:type="gramEnd"/>
      <w:r w:rsidRPr="00610434">
        <w:rPr>
          <w:rFonts w:ascii="Helvetica" w:eastAsia="宋体" w:hAnsi="Helvetica" w:cs="Helvetica"/>
          <w:color w:val="333333"/>
          <w:kern w:val="0"/>
          <w:sz w:val="15"/>
          <w:szCs w:val="15"/>
        </w:rPr>
        <w:t>.</w:t>
      </w:r>
    </w:p>
    <w:p w:rsidR="00610434" w:rsidRPr="00610434" w:rsidRDefault="00610434" w:rsidP="0061043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b/>
          <w:bCs/>
          <w:color w:val="333333"/>
          <w:kern w:val="0"/>
          <w:sz w:val="15"/>
        </w:rPr>
        <w:t>Directions for Use</w:t>
      </w:r>
    </w:p>
    <w:p w:rsidR="00610434" w:rsidRPr="00610434" w:rsidRDefault="00610434" w:rsidP="0061043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 xml:space="preserve">As a prescription device, </w:t>
      </w:r>
      <w:proofErr w:type="gramStart"/>
      <w:r w:rsidRPr="00610434">
        <w:rPr>
          <w:rFonts w:ascii="Helvetica" w:eastAsia="宋体" w:hAnsi="Helvetica" w:cs="Helvetica"/>
          <w:color w:val="333333"/>
          <w:kern w:val="0"/>
          <w:sz w:val="15"/>
          <w:szCs w:val="15"/>
        </w:rPr>
        <w:t>under</w:t>
      </w:r>
      <w:proofErr w:type="gramEnd"/>
      <w:r w:rsidRPr="00610434">
        <w:rPr>
          <w:rFonts w:ascii="Helvetica" w:eastAsia="宋体" w:hAnsi="Helvetica" w:cs="Helvetica"/>
          <w:color w:val="333333"/>
          <w:kern w:val="0"/>
          <w:sz w:val="15"/>
          <w:szCs w:val="15"/>
        </w:rPr>
        <w:t xml:space="preserve"> 21 CFR 801.109, the device is exempt from having adequate directions for lay use. Nevertheless, under 21 CFR 807.87(e), we expect to see clear and concise instructions that delineate the technological features of the specific device and how the device is to be used on patients. Instructions should encourage local/institutional training programs designed to familiarize users with the features of the device and how to use it in a safe and effective manner.</w:t>
      </w:r>
    </w:p>
    <w:p w:rsidR="00610434" w:rsidRPr="00610434" w:rsidRDefault="00610434" w:rsidP="0061043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b/>
          <w:bCs/>
          <w:i/>
          <w:iCs/>
          <w:color w:val="333333"/>
          <w:kern w:val="0"/>
          <w:sz w:val="15"/>
        </w:rPr>
        <w:t>Intended Use/Indications for Use </w:t>
      </w:r>
      <w:r w:rsidRPr="00610434">
        <w:rPr>
          <w:rFonts w:ascii="Helvetica" w:eastAsia="宋体" w:hAnsi="Helvetica" w:cs="Helvetica"/>
          <w:color w:val="333333"/>
          <w:kern w:val="0"/>
          <w:sz w:val="15"/>
          <w:szCs w:val="15"/>
        </w:rPr>
        <w:br/>
        <w:t>We recommend that you provide a statement of the intended use/indications for use for your device.</w:t>
      </w:r>
    </w:p>
    <w:p w:rsidR="00610434" w:rsidRPr="00610434" w:rsidRDefault="00610434" w:rsidP="0061043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b/>
          <w:bCs/>
          <w:i/>
          <w:iCs/>
          <w:color w:val="333333"/>
          <w:kern w:val="0"/>
          <w:sz w:val="15"/>
        </w:rPr>
        <w:t>Instructions for Use</w:t>
      </w:r>
      <w:r w:rsidRPr="00610434">
        <w:rPr>
          <w:rFonts w:ascii="Helvetica" w:eastAsia="宋体" w:hAnsi="Helvetica" w:cs="Helvetica"/>
          <w:color w:val="333333"/>
          <w:kern w:val="0"/>
          <w:sz w:val="15"/>
          <w:szCs w:val="15"/>
        </w:rPr>
        <w:br/>
        <w:t>Instructions for use should include adequate information (contraindications, warnings, and precautions) to address the identified risks to health. In addition to these general issues, we recommend that you address the following points, as applicable, to your device:</w:t>
      </w:r>
    </w:p>
    <w:p w:rsidR="00610434" w:rsidRPr="00610434" w:rsidRDefault="00610434" w:rsidP="00610434">
      <w:pPr>
        <w:widowControl/>
        <w:numPr>
          <w:ilvl w:val="0"/>
          <w:numId w:val="10"/>
        </w:numPr>
        <w:shd w:val="clear" w:color="auto" w:fill="FFFFFF"/>
        <w:spacing w:line="207" w:lineRule="atLeast"/>
        <w:ind w:left="30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instructions for proper placement and containment in the desired treatment area</w:t>
      </w:r>
    </w:p>
    <w:p w:rsidR="00610434" w:rsidRPr="00610434" w:rsidRDefault="00610434" w:rsidP="00610434">
      <w:pPr>
        <w:widowControl/>
        <w:numPr>
          <w:ilvl w:val="0"/>
          <w:numId w:val="10"/>
        </w:numPr>
        <w:shd w:val="clear" w:color="auto" w:fill="FFFFFF"/>
        <w:spacing w:before="120" w:line="207" w:lineRule="atLeast"/>
        <w:ind w:left="30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instructions on the need for adequate fixation</w:t>
      </w:r>
    </w:p>
    <w:p w:rsidR="00610434" w:rsidRPr="00610434" w:rsidRDefault="00610434" w:rsidP="00610434">
      <w:pPr>
        <w:widowControl/>
        <w:numPr>
          <w:ilvl w:val="0"/>
          <w:numId w:val="10"/>
        </w:numPr>
        <w:shd w:val="clear" w:color="auto" w:fill="FFFFFF"/>
        <w:spacing w:before="120" w:line="207" w:lineRule="atLeast"/>
        <w:ind w:left="30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 xml:space="preserve">a precaution against implanting the </w:t>
      </w:r>
      <w:proofErr w:type="spellStart"/>
      <w:r w:rsidRPr="00610434">
        <w:rPr>
          <w:rFonts w:ascii="Helvetica" w:eastAsia="宋体" w:hAnsi="Helvetica" w:cs="Helvetica"/>
          <w:color w:val="333333"/>
          <w:kern w:val="0"/>
          <w:sz w:val="15"/>
          <w:szCs w:val="15"/>
        </w:rPr>
        <w:t>resorbable</w:t>
      </w:r>
      <w:proofErr w:type="spellEnd"/>
      <w:r w:rsidRPr="00610434">
        <w:rPr>
          <w:rFonts w:ascii="Helvetica" w:eastAsia="宋体" w:hAnsi="Helvetica" w:cs="Helvetica"/>
          <w:color w:val="333333"/>
          <w:kern w:val="0"/>
          <w:sz w:val="15"/>
          <w:szCs w:val="15"/>
        </w:rPr>
        <w:t xml:space="preserve"> calcium salt bone void filler device in a patient with a pre-existing calcium metabolism disorder (e.g., </w:t>
      </w:r>
      <w:proofErr w:type="spellStart"/>
      <w:r w:rsidRPr="00610434">
        <w:rPr>
          <w:rFonts w:ascii="Helvetica" w:eastAsia="宋体" w:hAnsi="Helvetica" w:cs="Helvetica"/>
          <w:color w:val="333333"/>
          <w:kern w:val="0"/>
          <w:sz w:val="15"/>
          <w:szCs w:val="15"/>
        </w:rPr>
        <w:t>hypercalcemia</w:t>
      </w:r>
      <w:proofErr w:type="spellEnd"/>
      <w:r w:rsidRPr="00610434">
        <w:rPr>
          <w:rFonts w:ascii="Helvetica" w:eastAsia="宋体" w:hAnsi="Helvetica" w:cs="Helvetica"/>
          <w:color w:val="333333"/>
          <w:kern w:val="0"/>
          <w:sz w:val="15"/>
          <w:szCs w:val="15"/>
        </w:rPr>
        <w:t>)</w:t>
      </w:r>
    </w:p>
    <w:p w:rsidR="00610434" w:rsidRPr="00610434" w:rsidRDefault="00610434" w:rsidP="00610434">
      <w:pPr>
        <w:widowControl/>
        <w:numPr>
          <w:ilvl w:val="0"/>
          <w:numId w:val="10"/>
        </w:numPr>
        <w:shd w:val="clear" w:color="auto" w:fill="FFFFFF"/>
        <w:spacing w:before="120" w:line="207" w:lineRule="atLeast"/>
        <w:ind w:left="30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a precaution against over-filling the defect site</w:t>
      </w:r>
    </w:p>
    <w:p w:rsidR="00610434" w:rsidRPr="00610434" w:rsidRDefault="00610434" w:rsidP="00610434">
      <w:pPr>
        <w:widowControl/>
        <w:numPr>
          <w:ilvl w:val="0"/>
          <w:numId w:val="10"/>
        </w:numPr>
        <w:shd w:val="clear" w:color="auto" w:fill="FFFFFF"/>
        <w:spacing w:before="120" w:line="207" w:lineRule="atLeast"/>
        <w:ind w:left="300"/>
        <w:jc w:val="left"/>
        <w:rPr>
          <w:rFonts w:ascii="Helvetica" w:eastAsia="宋体" w:hAnsi="Helvetica" w:cs="Helvetica"/>
          <w:color w:val="333333"/>
          <w:kern w:val="0"/>
          <w:sz w:val="15"/>
          <w:szCs w:val="15"/>
        </w:rPr>
      </w:pPr>
      <w:proofErr w:type="gramStart"/>
      <w:r w:rsidRPr="00610434">
        <w:rPr>
          <w:rFonts w:ascii="Helvetica" w:eastAsia="宋体" w:hAnsi="Helvetica" w:cs="Helvetica"/>
          <w:color w:val="333333"/>
          <w:kern w:val="0"/>
          <w:sz w:val="15"/>
          <w:szCs w:val="15"/>
        </w:rPr>
        <w:t>a</w:t>
      </w:r>
      <w:proofErr w:type="gramEnd"/>
      <w:r w:rsidRPr="00610434">
        <w:rPr>
          <w:rFonts w:ascii="Helvetica" w:eastAsia="宋体" w:hAnsi="Helvetica" w:cs="Helvetica"/>
          <w:color w:val="333333"/>
          <w:kern w:val="0"/>
          <w:sz w:val="15"/>
          <w:szCs w:val="15"/>
        </w:rPr>
        <w:t xml:space="preserve"> warning against use in infected sites (for devices that do not </w:t>
      </w:r>
      <w:proofErr w:type="spellStart"/>
      <w:r w:rsidRPr="00610434">
        <w:rPr>
          <w:rFonts w:ascii="Helvetica" w:eastAsia="宋体" w:hAnsi="Helvetica" w:cs="Helvetica"/>
          <w:color w:val="333333"/>
          <w:kern w:val="0"/>
          <w:sz w:val="15"/>
          <w:szCs w:val="15"/>
        </w:rPr>
        <w:t>resorb</w:t>
      </w:r>
      <w:proofErr w:type="spellEnd"/>
      <w:r w:rsidRPr="00610434">
        <w:rPr>
          <w:rFonts w:ascii="Helvetica" w:eastAsia="宋体" w:hAnsi="Helvetica" w:cs="Helvetica"/>
          <w:color w:val="333333"/>
          <w:kern w:val="0"/>
          <w:sz w:val="15"/>
          <w:szCs w:val="15"/>
        </w:rPr>
        <w:t xml:space="preserve"> rapidly).</w:t>
      </w:r>
    </w:p>
    <w:p w:rsidR="00610434" w:rsidRPr="00610434" w:rsidRDefault="00610434" w:rsidP="00610434">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lastRenderedPageBreak/>
        <w:t>For block devices, we also recommend that you provide instructions on whether the device may be cut or shaped at the time of use. If the device may be cut or shaped, we recommend that the labeling identify appropriate precautions to assure that debris will not restrict the pores of the device as it is cut, e.g., a precautionary statement for the user to ensure that any shaped device surfaces are smooth and free from excessive loose particles.</w:t>
      </w:r>
    </w:p>
    <w:p w:rsidR="00610434" w:rsidRPr="00610434" w:rsidRDefault="00610434" w:rsidP="0061043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For devices intended to set</w:t>
      </w:r>
      <w:r w:rsidRPr="00610434">
        <w:rPr>
          <w:rFonts w:ascii="Helvetica" w:eastAsia="宋体" w:hAnsi="Helvetica" w:cs="Helvetica"/>
          <w:color w:val="333333"/>
          <w:kern w:val="0"/>
          <w:sz w:val="15"/>
        </w:rPr>
        <w:t> </w:t>
      </w:r>
      <w:r w:rsidRPr="00610434">
        <w:rPr>
          <w:rFonts w:ascii="Helvetica" w:eastAsia="宋体" w:hAnsi="Helvetica" w:cs="Helvetica"/>
          <w:i/>
          <w:iCs/>
          <w:color w:val="333333"/>
          <w:kern w:val="0"/>
          <w:sz w:val="15"/>
        </w:rPr>
        <w:t>ex vivo</w:t>
      </w:r>
      <w:r w:rsidRPr="00610434">
        <w:rPr>
          <w:rFonts w:ascii="Helvetica" w:eastAsia="宋体" w:hAnsi="Helvetica" w:cs="Helvetica"/>
          <w:color w:val="333333"/>
          <w:kern w:val="0"/>
          <w:sz w:val="15"/>
        </w:rPr>
        <w:t> </w:t>
      </w:r>
      <w:r w:rsidRPr="00610434">
        <w:rPr>
          <w:rFonts w:ascii="Helvetica" w:eastAsia="宋体" w:hAnsi="Helvetica" w:cs="Helvetica"/>
          <w:color w:val="333333"/>
          <w:kern w:val="0"/>
          <w:sz w:val="15"/>
          <w:szCs w:val="15"/>
        </w:rPr>
        <w:t>or</w:t>
      </w:r>
      <w:r w:rsidRPr="00610434">
        <w:rPr>
          <w:rFonts w:ascii="Helvetica" w:eastAsia="宋体" w:hAnsi="Helvetica" w:cs="Helvetica"/>
          <w:color w:val="333333"/>
          <w:kern w:val="0"/>
          <w:sz w:val="15"/>
        </w:rPr>
        <w:t> </w:t>
      </w:r>
      <w:r w:rsidRPr="00610434">
        <w:rPr>
          <w:rFonts w:ascii="Helvetica" w:eastAsia="宋体" w:hAnsi="Helvetica" w:cs="Helvetica"/>
          <w:i/>
          <w:iCs/>
          <w:color w:val="333333"/>
          <w:kern w:val="0"/>
          <w:sz w:val="15"/>
        </w:rPr>
        <w:t>in vivo</w:t>
      </w:r>
      <w:r w:rsidRPr="00610434">
        <w:rPr>
          <w:rFonts w:ascii="Helvetica" w:eastAsia="宋体" w:hAnsi="Helvetica" w:cs="Helvetica"/>
          <w:color w:val="333333"/>
          <w:kern w:val="0"/>
          <w:sz w:val="15"/>
          <w:szCs w:val="15"/>
        </w:rPr>
        <w:t>, we recommend that you address the following additional points:</w:t>
      </w:r>
    </w:p>
    <w:p w:rsidR="00610434" w:rsidRPr="00610434" w:rsidRDefault="00610434" w:rsidP="00610434">
      <w:pPr>
        <w:widowControl/>
        <w:numPr>
          <w:ilvl w:val="0"/>
          <w:numId w:val="11"/>
        </w:numPr>
        <w:shd w:val="clear" w:color="auto" w:fill="FFFFFF"/>
        <w:spacing w:line="207" w:lineRule="atLeast"/>
        <w:ind w:left="30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a precaution against adding any additional substances other than those provided (in the absence of data on the use of the device mixed with other substances)</w:t>
      </w:r>
    </w:p>
    <w:p w:rsidR="00610434" w:rsidRPr="00610434" w:rsidRDefault="00610434" w:rsidP="00610434">
      <w:pPr>
        <w:widowControl/>
        <w:numPr>
          <w:ilvl w:val="0"/>
          <w:numId w:val="11"/>
        </w:numPr>
        <w:shd w:val="clear" w:color="auto" w:fill="FFFFFF"/>
        <w:spacing w:before="120" w:line="207" w:lineRule="atLeast"/>
        <w:ind w:left="30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a specification of product working time and setting time</w:t>
      </w:r>
    </w:p>
    <w:p w:rsidR="00610434" w:rsidRPr="00610434" w:rsidRDefault="00610434" w:rsidP="00610434">
      <w:pPr>
        <w:widowControl/>
        <w:numPr>
          <w:ilvl w:val="0"/>
          <w:numId w:val="11"/>
        </w:numPr>
        <w:shd w:val="clear" w:color="auto" w:fill="FFFFFF"/>
        <w:spacing w:before="120" w:line="207" w:lineRule="atLeast"/>
        <w:ind w:left="30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any special instructions with respect to drying the surgical field and/or not irrigating the defect site prior to final setting of the device (for a device intended to set</w:t>
      </w:r>
      <w:r w:rsidRPr="00610434">
        <w:rPr>
          <w:rFonts w:ascii="Helvetica" w:eastAsia="宋体" w:hAnsi="Helvetica" w:cs="Helvetica"/>
          <w:i/>
          <w:iCs/>
          <w:color w:val="333333"/>
          <w:kern w:val="0"/>
          <w:sz w:val="15"/>
        </w:rPr>
        <w:t> in vivo</w:t>
      </w:r>
      <w:r w:rsidRPr="00610434">
        <w:rPr>
          <w:rFonts w:ascii="Helvetica" w:eastAsia="宋体" w:hAnsi="Helvetica" w:cs="Helvetica"/>
          <w:color w:val="333333"/>
          <w:kern w:val="0"/>
          <w:sz w:val="15"/>
          <w:szCs w:val="15"/>
        </w:rPr>
        <w:t>)</w:t>
      </w:r>
    </w:p>
    <w:p w:rsidR="00610434" w:rsidRPr="00610434" w:rsidRDefault="00610434" w:rsidP="00610434">
      <w:pPr>
        <w:widowControl/>
        <w:numPr>
          <w:ilvl w:val="0"/>
          <w:numId w:val="11"/>
        </w:numPr>
        <w:shd w:val="clear" w:color="auto" w:fill="FFFFFF"/>
        <w:spacing w:before="120" w:line="207" w:lineRule="atLeast"/>
        <w:ind w:left="30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precaution against disturbing the device (over a specified time frame) once it begins to harden</w:t>
      </w:r>
    </w:p>
    <w:p w:rsidR="00610434" w:rsidRPr="00610434" w:rsidRDefault="00610434" w:rsidP="00610434">
      <w:pPr>
        <w:widowControl/>
        <w:numPr>
          <w:ilvl w:val="0"/>
          <w:numId w:val="11"/>
        </w:numPr>
        <w:shd w:val="clear" w:color="auto" w:fill="FFFFFF"/>
        <w:spacing w:before="120" w:line="207" w:lineRule="atLeast"/>
        <w:ind w:left="300"/>
        <w:jc w:val="left"/>
        <w:rPr>
          <w:rFonts w:ascii="Helvetica" w:eastAsia="宋体" w:hAnsi="Helvetica" w:cs="Helvetica"/>
          <w:color w:val="333333"/>
          <w:kern w:val="0"/>
          <w:sz w:val="15"/>
          <w:szCs w:val="15"/>
        </w:rPr>
      </w:pPr>
      <w:proofErr w:type="gramStart"/>
      <w:r w:rsidRPr="00610434">
        <w:rPr>
          <w:rFonts w:ascii="Helvetica" w:eastAsia="宋体" w:hAnsi="Helvetica" w:cs="Helvetica"/>
          <w:color w:val="333333"/>
          <w:kern w:val="0"/>
          <w:sz w:val="15"/>
          <w:szCs w:val="15"/>
        </w:rPr>
        <w:t>instructions</w:t>
      </w:r>
      <w:proofErr w:type="gramEnd"/>
      <w:r w:rsidRPr="00610434">
        <w:rPr>
          <w:rFonts w:ascii="Helvetica" w:eastAsia="宋体" w:hAnsi="Helvetica" w:cs="Helvetica"/>
          <w:color w:val="333333"/>
          <w:kern w:val="0"/>
          <w:sz w:val="15"/>
          <w:szCs w:val="15"/>
        </w:rPr>
        <w:t xml:space="preserve"> on how and when excess material should be removed from the defect site.</w:t>
      </w:r>
    </w:p>
    <w:p w:rsidR="00610434" w:rsidRPr="00610434" w:rsidRDefault="00610434" w:rsidP="00610434">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5"/>
          <w:szCs w:val="15"/>
        </w:rPr>
        <w:t>For devices intended for injection into the defect site, we recommend that you address the following additional points:</w:t>
      </w:r>
    </w:p>
    <w:p w:rsidR="00610434" w:rsidRPr="00610434" w:rsidRDefault="00610434" w:rsidP="00610434">
      <w:pPr>
        <w:widowControl/>
        <w:numPr>
          <w:ilvl w:val="0"/>
          <w:numId w:val="12"/>
        </w:numPr>
        <w:shd w:val="clear" w:color="auto" w:fill="FFFFFF"/>
        <w:spacing w:line="207" w:lineRule="atLeast"/>
        <w:ind w:left="300"/>
        <w:jc w:val="left"/>
        <w:rPr>
          <w:rFonts w:ascii="Helvetica" w:eastAsia="宋体" w:hAnsi="Helvetica" w:cs="Helvetica"/>
          <w:color w:val="333333"/>
          <w:kern w:val="0"/>
          <w:sz w:val="15"/>
          <w:szCs w:val="15"/>
        </w:rPr>
      </w:pPr>
      <w:proofErr w:type="gramStart"/>
      <w:r w:rsidRPr="00610434">
        <w:rPr>
          <w:rFonts w:ascii="Helvetica" w:eastAsia="宋体" w:hAnsi="Helvetica" w:cs="Helvetica"/>
          <w:color w:val="333333"/>
          <w:kern w:val="0"/>
          <w:sz w:val="15"/>
          <w:szCs w:val="15"/>
        </w:rPr>
        <w:t>a</w:t>
      </w:r>
      <w:proofErr w:type="gramEnd"/>
      <w:r w:rsidRPr="00610434">
        <w:rPr>
          <w:rFonts w:ascii="Helvetica" w:eastAsia="宋体" w:hAnsi="Helvetica" w:cs="Helvetica"/>
          <w:color w:val="333333"/>
          <w:kern w:val="0"/>
          <w:sz w:val="15"/>
          <w:szCs w:val="15"/>
        </w:rPr>
        <w:t xml:space="preserve"> precaution against over-pressurizing the device because this may lead to extrusion of the device beyond the site of its intended application and damage to the surrounding tissues.</w:t>
      </w:r>
    </w:p>
    <w:p w:rsidR="00610434" w:rsidRPr="00610434" w:rsidRDefault="00610434" w:rsidP="00610434">
      <w:pPr>
        <w:widowControl/>
        <w:numPr>
          <w:ilvl w:val="0"/>
          <w:numId w:val="12"/>
        </w:numPr>
        <w:shd w:val="clear" w:color="auto" w:fill="FFFFFF"/>
        <w:spacing w:before="120" w:line="207" w:lineRule="atLeast"/>
        <w:ind w:left="300"/>
        <w:jc w:val="left"/>
        <w:rPr>
          <w:rFonts w:ascii="Helvetica" w:eastAsia="宋体" w:hAnsi="Helvetica" w:cs="Helvetica"/>
          <w:color w:val="333333"/>
          <w:kern w:val="0"/>
          <w:sz w:val="15"/>
          <w:szCs w:val="15"/>
        </w:rPr>
      </w:pPr>
      <w:proofErr w:type="gramStart"/>
      <w:r w:rsidRPr="00610434">
        <w:rPr>
          <w:rFonts w:ascii="Helvetica" w:eastAsia="宋体" w:hAnsi="Helvetica" w:cs="Helvetica"/>
          <w:color w:val="333333"/>
          <w:kern w:val="0"/>
          <w:sz w:val="15"/>
          <w:szCs w:val="15"/>
        </w:rPr>
        <w:t>a</w:t>
      </w:r>
      <w:proofErr w:type="gramEnd"/>
      <w:r w:rsidRPr="00610434">
        <w:rPr>
          <w:rFonts w:ascii="Helvetica" w:eastAsia="宋体" w:hAnsi="Helvetica" w:cs="Helvetica"/>
          <w:color w:val="333333"/>
          <w:kern w:val="0"/>
          <w:sz w:val="15"/>
          <w:szCs w:val="15"/>
        </w:rPr>
        <w:t xml:space="preserve"> precaution against over-pressurizing the defect site since this may lead to fat </w:t>
      </w:r>
      <w:proofErr w:type="spellStart"/>
      <w:r w:rsidRPr="00610434">
        <w:rPr>
          <w:rFonts w:ascii="Helvetica" w:eastAsia="宋体" w:hAnsi="Helvetica" w:cs="Helvetica"/>
          <w:color w:val="333333"/>
          <w:kern w:val="0"/>
          <w:sz w:val="15"/>
          <w:szCs w:val="15"/>
        </w:rPr>
        <w:t>embolization</w:t>
      </w:r>
      <w:proofErr w:type="spellEnd"/>
      <w:r w:rsidRPr="00610434">
        <w:rPr>
          <w:rFonts w:ascii="Helvetica" w:eastAsia="宋体" w:hAnsi="Helvetica" w:cs="Helvetica"/>
          <w:color w:val="333333"/>
          <w:kern w:val="0"/>
          <w:sz w:val="15"/>
          <w:szCs w:val="15"/>
        </w:rPr>
        <w:t xml:space="preserve"> or </w:t>
      </w:r>
      <w:proofErr w:type="spellStart"/>
      <w:r w:rsidRPr="00610434">
        <w:rPr>
          <w:rFonts w:ascii="Helvetica" w:eastAsia="宋体" w:hAnsi="Helvetica" w:cs="Helvetica"/>
          <w:color w:val="333333"/>
          <w:kern w:val="0"/>
          <w:sz w:val="15"/>
          <w:szCs w:val="15"/>
        </w:rPr>
        <w:t>embolization</w:t>
      </w:r>
      <w:proofErr w:type="spellEnd"/>
      <w:r w:rsidRPr="00610434">
        <w:rPr>
          <w:rFonts w:ascii="Helvetica" w:eastAsia="宋体" w:hAnsi="Helvetica" w:cs="Helvetica"/>
          <w:color w:val="333333"/>
          <w:kern w:val="0"/>
          <w:sz w:val="15"/>
          <w:szCs w:val="15"/>
        </w:rPr>
        <w:t xml:space="preserve"> of the device material into the bloodstream.</w:t>
      </w:r>
    </w:p>
    <w:p w:rsidR="00610434" w:rsidRPr="00610434" w:rsidRDefault="00610434" w:rsidP="00610434">
      <w:pPr>
        <w:widowControl/>
        <w:shd w:val="clear" w:color="auto" w:fill="FFFFFF"/>
        <w:spacing w:before="240" w:line="207" w:lineRule="atLeast"/>
        <w:ind w:firstLine="0"/>
        <w:jc w:val="left"/>
        <w:rPr>
          <w:rFonts w:ascii="Helvetica" w:eastAsia="宋体" w:hAnsi="Helvetica" w:cs="Helvetica"/>
          <w:color w:val="333333"/>
          <w:kern w:val="0"/>
          <w:sz w:val="15"/>
          <w:szCs w:val="15"/>
        </w:rPr>
      </w:pPr>
      <w:hyperlink r:id="rId57" w:anchor="top" w:history="1">
        <w:r w:rsidRPr="00610434">
          <w:rPr>
            <w:rFonts w:ascii="Helvetica" w:eastAsia="宋体" w:hAnsi="Helvetica" w:cs="Helvetica"/>
            <w:color w:val="005F9F"/>
            <w:kern w:val="0"/>
            <w:sz w:val="15"/>
            <w:u w:val="single"/>
          </w:rPr>
          <w:t>Back to the top</w:t>
        </w:r>
      </w:hyperlink>
    </w:p>
    <w:p w:rsidR="00610434" w:rsidRPr="00610434" w:rsidRDefault="00610434" w:rsidP="00610434">
      <w:pPr>
        <w:widowControl/>
        <w:spacing w:before="330" w:after="330"/>
        <w:ind w:firstLine="0"/>
        <w:jc w:val="left"/>
        <w:rPr>
          <w:rFonts w:ascii="宋体" w:eastAsia="宋体" w:hAnsi="宋体" w:cs="宋体"/>
          <w:kern w:val="0"/>
          <w:sz w:val="24"/>
          <w:szCs w:val="24"/>
        </w:rPr>
      </w:pPr>
      <w:r w:rsidRPr="00610434">
        <w:rPr>
          <w:rFonts w:ascii="宋体" w:eastAsia="宋体" w:hAnsi="宋体" w:cs="宋体"/>
          <w:kern w:val="0"/>
          <w:sz w:val="24"/>
          <w:szCs w:val="24"/>
        </w:rPr>
        <w:pict>
          <v:rect id="_x0000_i1036" style="width:0;height:0" o:hralign="center" o:hrstd="t" o:hrnoshade="t" o:hr="t" fillcolor="#333" stroked="f"/>
        </w:pict>
      </w:r>
    </w:p>
    <w:p w:rsidR="00610434" w:rsidRPr="00610434" w:rsidRDefault="00610434" w:rsidP="00610434">
      <w:pPr>
        <w:widowControl/>
        <w:shd w:val="clear" w:color="auto" w:fill="FFFFFF"/>
        <w:spacing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3"/>
          <w:szCs w:val="13"/>
          <w:vertAlign w:val="superscript"/>
        </w:rPr>
        <w:t>1</w:t>
      </w:r>
      <w:hyperlink r:id="rId58" w:history="1">
        <w:r w:rsidRPr="00610434">
          <w:rPr>
            <w:rFonts w:ascii="Helvetica" w:eastAsia="宋体" w:hAnsi="Helvetica" w:cs="Helvetica"/>
            <w:color w:val="005F9F"/>
            <w:kern w:val="0"/>
            <w:sz w:val="15"/>
            <w:u w:val="single"/>
          </w:rPr>
          <w:t>The New 510(k) Paradigm - Alternate Approaches to Demonstrating Substantial Equivalence in Premarket Notifications; Final Guidance</w:t>
        </w:r>
      </w:hyperlink>
    </w:p>
    <w:p w:rsidR="00610434" w:rsidRPr="00610434" w:rsidRDefault="00610434" w:rsidP="0061043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3"/>
          <w:szCs w:val="13"/>
          <w:vertAlign w:val="superscript"/>
        </w:rPr>
        <w:t>2</w:t>
      </w:r>
      <w:r w:rsidRPr="00610434">
        <w:rPr>
          <w:rFonts w:ascii="Helvetica" w:eastAsia="宋体" w:hAnsi="Helvetica" w:cs="Helvetica"/>
          <w:color w:val="333333"/>
          <w:kern w:val="0"/>
          <w:sz w:val="15"/>
          <w:szCs w:val="15"/>
        </w:rPr>
        <w:t>Refer to</w:t>
      </w:r>
      <w:r w:rsidRPr="00610434">
        <w:rPr>
          <w:rFonts w:ascii="Helvetica" w:eastAsia="宋体" w:hAnsi="Helvetica" w:cs="Helvetica"/>
          <w:color w:val="333333"/>
          <w:kern w:val="0"/>
          <w:sz w:val="15"/>
        </w:rPr>
        <w:t> </w:t>
      </w:r>
      <w:hyperlink r:id="rId59" w:history="1">
        <w:r w:rsidRPr="00610434">
          <w:rPr>
            <w:rFonts w:ascii="Helvetica" w:eastAsia="宋体" w:hAnsi="Helvetica" w:cs="Helvetica"/>
            <w:color w:val="005F9F"/>
            <w:kern w:val="0"/>
            <w:sz w:val="15"/>
            <w:u w:val="single"/>
          </w:rPr>
          <w:t>Indications for Use Form</w:t>
        </w:r>
      </w:hyperlink>
      <w:r w:rsidRPr="00610434">
        <w:rPr>
          <w:rFonts w:ascii="Helvetica" w:eastAsia="宋体" w:hAnsi="Helvetica" w:cs="Helvetica"/>
          <w:color w:val="333333"/>
          <w:kern w:val="0"/>
          <w:sz w:val="15"/>
        </w:rPr>
        <w:t> </w:t>
      </w:r>
      <w:r w:rsidRPr="00610434">
        <w:rPr>
          <w:rFonts w:ascii="Helvetica" w:eastAsia="宋体" w:hAnsi="Helvetica" w:cs="Helvetica"/>
          <w:color w:val="333333"/>
          <w:kern w:val="0"/>
          <w:sz w:val="15"/>
          <w:szCs w:val="15"/>
        </w:rPr>
        <w:t>(PDF File Size: 1.03MB) for the recommended format.</w:t>
      </w:r>
    </w:p>
    <w:p w:rsidR="00610434" w:rsidRPr="00610434" w:rsidRDefault="00610434" w:rsidP="0061043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3"/>
          <w:szCs w:val="13"/>
          <w:vertAlign w:val="superscript"/>
        </w:rPr>
        <w:t>3</w:t>
      </w:r>
      <w:r w:rsidRPr="00610434">
        <w:rPr>
          <w:rFonts w:ascii="Helvetica" w:eastAsia="宋体" w:hAnsi="Helvetica" w:cs="Helvetica"/>
          <w:color w:val="333333"/>
          <w:kern w:val="0"/>
          <w:sz w:val="15"/>
          <w:szCs w:val="15"/>
        </w:rPr>
        <w:t>If FDA makes a substantial equivalence determination based on acceptance criteria, the subject device should be tested and shown to meet these acceptance criteria before being introduced into interstate commerce. If the finished device does not meet the acceptance criteria and, thus, differs from the device described in the cleared 510(k), FDA recommends that submitters apply the same criteria used to assess modifications to legally marketed devices (21 CFR 807.81(a)(3)) to determine whether marketing of the finished device requires clearance of a new 510(k).</w:t>
      </w:r>
    </w:p>
    <w:p w:rsidR="00610434" w:rsidRPr="00610434" w:rsidRDefault="00610434" w:rsidP="0061043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3"/>
          <w:szCs w:val="13"/>
          <w:vertAlign w:val="superscript"/>
        </w:rPr>
        <w:t>4</w:t>
      </w:r>
      <w:r w:rsidRPr="00610434">
        <w:rPr>
          <w:rFonts w:ascii="Helvetica" w:eastAsia="宋体" w:hAnsi="Helvetica" w:cs="Helvetica"/>
          <w:color w:val="333333"/>
          <w:kern w:val="0"/>
          <w:sz w:val="15"/>
          <w:szCs w:val="15"/>
        </w:rPr>
        <w:t>See</w:t>
      </w:r>
      <w:r w:rsidRPr="00610434">
        <w:rPr>
          <w:rFonts w:ascii="Helvetica" w:eastAsia="宋体" w:hAnsi="Helvetica" w:cs="Helvetica"/>
          <w:color w:val="333333"/>
          <w:kern w:val="0"/>
          <w:sz w:val="15"/>
        </w:rPr>
        <w:t> </w:t>
      </w:r>
      <w:hyperlink r:id="rId60" w:history="1">
        <w:r w:rsidRPr="00610434">
          <w:rPr>
            <w:rFonts w:ascii="Helvetica" w:eastAsia="宋体" w:hAnsi="Helvetica" w:cs="Helvetica"/>
            <w:color w:val="005F9F"/>
            <w:kern w:val="0"/>
            <w:sz w:val="15"/>
            <w:u w:val="single"/>
          </w:rPr>
          <w:t>Required Elements for a Declaration of Conformity to a Recognized Standard</w:t>
        </w:r>
      </w:hyperlink>
      <w:r w:rsidRPr="00610434">
        <w:rPr>
          <w:rFonts w:ascii="Helvetica" w:eastAsia="宋体" w:hAnsi="Helvetica" w:cs="Helvetica"/>
          <w:color w:val="333333"/>
          <w:kern w:val="0"/>
          <w:sz w:val="15"/>
        </w:rPr>
        <w:t> </w:t>
      </w:r>
      <w:r w:rsidRPr="00610434">
        <w:rPr>
          <w:rFonts w:ascii="Helvetica" w:eastAsia="宋体" w:hAnsi="Helvetica" w:cs="Helvetica"/>
          <w:color w:val="333333"/>
          <w:kern w:val="0"/>
          <w:sz w:val="15"/>
          <w:szCs w:val="15"/>
        </w:rPr>
        <w:t>(Screening Checklist for All Premarket Notification [510(K)] Submissions).</w:t>
      </w:r>
    </w:p>
    <w:p w:rsidR="00610434" w:rsidRPr="00610434" w:rsidRDefault="00610434" w:rsidP="0061043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3"/>
          <w:szCs w:val="13"/>
          <w:vertAlign w:val="superscript"/>
        </w:rPr>
        <w:t>5</w:t>
      </w:r>
      <w:r w:rsidRPr="00610434">
        <w:rPr>
          <w:rFonts w:ascii="Helvetica" w:eastAsia="宋体" w:hAnsi="Helvetica" w:cs="Helvetica"/>
          <w:color w:val="333333"/>
          <w:kern w:val="0"/>
          <w:sz w:val="15"/>
          <w:szCs w:val="15"/>
        </w:rPr>
        <w:t xml:space="preserve">If animal performance data are available and adequately address bone formation and device </w:t>
      </w:r>
      <w:proofErr w:type="spellStart"/>
      <w:r w:rsidRPr="00610434">
        <w:rPr>
          <w:rFonts w:ascii="Helvetica" w:eastAsia="宋体" w:hAnsi="Helvetica" w:cs="Helvetica"/>
          <w:color w:val="333333"/>
          <w:kern w:val="0"/>
          <w:sz w:val="15"/>
          <w:szCs w:val="15"/>
        </w:rPr>
        <w:t>resorption</w:t>
      </w:r>
      <w:proofErr w:type="spellEnd"/>
      <w:r w:rsidRPr="00610434">
        <w:rPr>
          <w:rFonts w:ascii="Helvetica" w:eastAsia="宋体" w:hAnsi="Helvetica" w:cs="Helvetica"/>
          <w:color w:val="333333"/>
          <w:kern w:val="0"/>
          <w:sz w:val="15"/>
          <w:szCs w:val="15"/>
        </w:rPr>
        <w:t>, bench testing relating to pH and device dissolution/solubility may not be necessary.</w:t>
      </w:r>
    </w:p>
    <w:p w:rsidR="00610434" w:rsidRPr="00610434" w:rsidRDefault="00610434" w:rsidP="00610434">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610434">
        <w:rPr>
          <w:rFonts w:ascii="Helvetica" w:eastAsia="宋体" w:hAnsi="Helvetica" w:cs="Helvetica"/>
          <w:color w:val="333333"/>
          <w:kern w:val="0"/>
          <w:sz w:val="13"/>
          <w:szCs w:val="13"/>
          <w:vertAlign w:val="superscript"/>
        </w:rPr>
        <w:lastRenderedPageBreak/>
        <w:t>6</w:t>
      </w:r>
      <w:r w:rsidRPr="00610434">
        <w:rPr>
          <w:rFonts w:ascii="Helvetica" w:eastAsia="宋体" w:hAnsi="Helvetica" w:cs="Helvetica"/>
          <w:color w:val="333333"/>
          <w:kern w:val="0"/>
          <w:sz w:val="15"/>
          <w:szCs w:val="15"/>
        </w:rPr>
        <w:t>Although final labeling is not required for 510(k) clearance, final labeling must comply with the requirements of 21 CFR 801 before a medical device is introduced into interstate commerce. In addition, final labeling for prescription medical devices must comply with 21 CFR 801.109. Labeling recommendations in this guidance are consistent with the requirements of part 801.</w:t>
      </w:r>
    </w:p>
    <w:p w:rsidR="00E619E0" w:rsidRPr="00610434" w:rsidRDefault="00E619E0" w:rsidP="00610434">
      <w:pPr>
        <w:ind w:firstLine="0"/>
      </w:pPr>
    </w:p>
    <w:sectPr w:rsidR="00E619E0" w:rsidRPr="00610434" w:rsidSect="00E619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837" w:rsidRDefault="00551837" w:rsidP="00610434">
      <w:r>
        <w:separator/>
      </w:r>
    </w:p>
  </w:endnote>
  <w:endnote w:type="continuationSeparator" w:id="0">
    <w:p w:rsidR="00551837" w:rsidRDefault="00551837" w:rsidP="006104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837" w:rsidRDefault="00551837" w:rsidP="00610434">
      <w:r>
        <w:separator/>
      </w:r>
    </w:p>
  </w:footnote>
  <w:footnote w:type="continuationSeparator" w:id="0">
    <w:p w:rsidR="00551837" w:rsidRDefault="00551837" w:rsidP="006104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A02E9"/>
    <w:multiLevelType w:val="multilevel"/>
    <w:tmpl w:val="9D5AE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2A2E7E"/>
    <w:multiLevelType w:val="multilevel"/>
    <w:tmpl w:val="9AA07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1B445C"/>
    <w:multiLevelType w:val="multilevel"/>
    <w:tmpl w:val="89BC7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886503"/>
    <w:multiLevelType w:val="multilevel"/>
    <w:tmpl w:val="FF0A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F355F1"/>
    <w:multiLevelType w:val="multilevel"/>
    <w:tmpl w:val="A2D6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623CB9"/>
    <w:multiLevelType w:val="multilevel"/>
    <w:tmpl w:val="7748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1C6534"/>
    <w:multiLevelType w:val="multilevel"/>
    <w:tmpl w:val="AC00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015A9A"/>
    <w:multiLevelType w:val="multilevel"/>
    <w:tmpl w:val="3F3E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455E36"/>
    <w:multiLevelType w:val="multilevel"/>
    <w:tmpl w:val="316C8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4A2523"/>
    <w:multiLevelType w:val="multilevel"/>
    <w:tmpl w:val="CE08C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13493A"/>
    <w:multiLevelType w:val="multilevel"/>
    <w:tmpl w:val="13A4B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C77FB2"/>
    <w:multiLevelType w:val="multilevel"/>
    <w:tmpl w:val="61FED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0"/>
  </w:num>
  <w:num w:numId="4">
    <w:abstractNumId w:val="5"/>
  </w:num>
  <w:num w:numId="5">
    <w:abstractNumId w:val="4"/>
  </w:num>
  <w:num w:numId="6">
    <w:abstractNumId w:val="11"/>
  </w:num>
  <w:num w:numId="7">
    <w:abstractNumId w:val="3"/>
  </w:num>
  <w:num w:numId="8">
    <w:abstractNumId w:val="0"/>
  </w:num>
  <w:num w:numId="9">
    <w:abstractNumId w:val="9"/>
  </w:num>
  <w:num w:numId="10">
    <w:abstractNumId w:val="8"/>
  </w:num>
  <w:num w:numId="11">
    <w:abstractNumId w:val="6"/>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0434"/>
    <w:rsid w:val="00551837"/>
    <w:rsid w:val="005D3390"/>
    <w:rsid w:val="00610434"/>
    <w:rsid w:val="009C5653"/>
    <w:rsid w:val="00E619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64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9E0"/>
    <w:pPr>
      <w:widowControl w:val="0"/>
    </w:pPr>
  </w:style>
  <w:style w:type="paragraph" w:styleId="1">
    <w:name w:val="heading 1"/>
    <w:basedOn w:val="a"/>
    <w:link w:val="1Char"/>
    <w:uiPriority w:val="9"/>
    <w:qFormat/>
    <w:rsid w:val="00610434"/>
    <w:pPr>
      <w:widowControl/>
      <w:spacing w:before="100" w:beforeAutospacing="1" w:after="100" w:afterAutospacing="1"/>
      <w:ind w:firstLine="0"/>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610434"/>
    <w:pPr>
      <w:widowControl/>
      <w:spacing w:before="100" w:beforeAutospacing="1" w:after="100" w:afterAutospacing="1"/>
      <w:ind w:firstLine="0"/>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610434"/>
    <w:pPr>
      <w:widowControl/>
      <w:spacing w:before="100" w:beforeAutospacing="1" w:after="100" w:afterAutospacing="1"/>
      <w:ind w:firstLine="0"/>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610434"/>
    <w:pPr>
      <w:widowControl/>
      <w:spacing w:before="100" w:beforeAutospacing="1" w:after="100" w:afterAutospacing="1"/>
      <w:ind w:firstLine="0"/>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04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10434"/>
    <w:rPr>
      <w:sz w:val="18"/>
      <w:szCs w:val="18"/>
    </w:rPr>
  </w:style>
  <w:style w:type="paragraph" w:styleId="a4">
    <w:name w:val="footer"/>
    <w:basedOn w:val="a"/>
    <w:link w:val="Char0"/>
    <w:uiPriority w:val="99"/>
    <w:semiHidden/>
    <w:unhideWhenUsed/>
    <w:rsid w:val="0061043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10434"/>
    <w:rPr>
      <w:sz w:val="18"/>
      <w:szCs w:val="18"/>
    </w:rPr>
  </w:style>
  <w:style w:type="character" w:customStyle="1" w:styleId="1Char">
    <w:name w:val="标题 1 Char"/>
    <w:basedOn w:val="a0"/>
    <w:link w:val="1"/>
    <w:uiPriority w:val="9"/>
    <w:rsid w:val="00610434"/>
    <w:rPr>
      <w:rFonts w:ascii="宋体" w:eastAsia="宋体" w:hAnsi="宋体" w:cs="宋体"/>
      <w:b/>
      <w:bCs/>
      <w:kern w:val="36"/>
      <w:sz w:val="48"/>
      <w:szCs w:val="48"/>
    </w:rPr>
  </w:style>
  <w:style w:type="character" w:customStyle="1" w:styleId="2Char">
    <w:name w:val="标题 2 Char"/>
    <w:basedOn w:val="a0"/>
    <w:link w:val="2"/>
    <w:uiPriority w:val="9"/>
    <w:rsid w:val="00610434"/>
    <w:rPr>
      <w:rFonts w:ascii="宋体" w:eastAsia="宋体" w:hAnsi="宋体" w:cs="宋体"/>
      <w:b/>
      <w:bCs/>
      <w:kern w:val="0"/>
      <w:sz w:val="36"/>
      <w:szCs w:val="36"/>
    </w:rPr>
  </w:style>
  <w:style w:type="character" w:customStyle="1" w:styleId="3Char">
    <w:name w:val="标题 3 Char"/>
    <w:basedOn w:val="a0"/>
    <w:link w:val="3"/>
    <w:uiPriority w:val="9"/>
    <w:rsid w:val="00610434"/>
    <w:rPr>
      <w:rFonts w:ascii="宋体" w:eastAsia="宋体" w:hAnsi="宋体" w:cs="宋体"/>
      <w:b/>
      <w:bCs/>
      <w:kern w:val="0"/>
      <w:sz w:val="27"/>
      <w:szCs w:val="27"/>
    </w:rPr>
  </w:style>
  <w:style w:type="character" w:customStyle="1" w:styleId="4Char">
    <w:name w:val="标题 4 Char"/>
    <w:basedOn w:val="a0"/>
    <w:link w:val="4"/>
    <w:uiPriority w:val="9"/>
    <w:rsid w:val="00610434"/>
    <w:rPr>
      <w:rFonts w:ascii="宋体" w:eastAsia="宋体" w:hAnsi="宋体" w:cs="宋体"/>
      <w:b/>
      <w:bCs/>
      <w:kern w:val="0"/>
      <w:sz w:val="24"/>
      <w:szCs w:val="24"/>
    </w:rPr>
  </w:style>
  <w:style w:type="character" w:styleId="a5">
    <w:name w:val="Hyperlink"/>
    <w:basedOn w:val="a0"/>
    <w:uiPriority w:val="99"/>
    <w:semiHidden/>
    <w:unhideWhenUsed/>
    <w:rsid w:val="00610434"/>
    <w:rPr>
      <w:color w:val="0000FF"/>
      <w:u w:val="single"/>
    </w:rPr>
  </w:style>
  <w:style w:type="paragraph" w:styleId="a6">
    <w:name w:val="Normal (Web)"/>
    <w:basedOn w:val="a"/>
    <w:uiPriority w:val="99"/>
    <w:semiHidden/>
    <w:unhideWhenUsed/>
    <w:rsid w:val="00610434"/>
    <w:pPr>
      <w:widowControl/>
      <w:spacing w:before="100" w:beforeAutospacing="1" w:after="100" w:afterAutospacing="1"/>
      <w:ind w:firstLine="0"/>
      <w:jc w:val="left"/>
    </w:pPr>
    <w:rPr>
      <w:rFonts w:ascii="宋体" w:eastAsia="宋体" w:hAnsi="宋体" w:cs="宋体"/>
      <w:kern w:val="0"/>
      <w:sz w:val="24"/>
      <w:szCs w:val="24"/>
    </w:rPr>
  </w:style>
  <w:style w:type="character" w:styleId="a7">
    <w:name w:val="Strong"/>
    <w:basedOn w:val="a0"/>
    <w:uiPriority w:val="22"/>
    <w:qFormat/>
    <w:rsid w:val="00610434"/>
    <w:rPr>
      <w:b/>
      <w:bCs/>
    </w:rPr>
  </w:style>
  <w:style w:type="paragraph" w:customStyle="1" w:styleId="text-right">
    <w:name w:val="text-right"/>
    <w:basedOn w:val="a"/>
    <w:rsid w:val="00610434"/>
    <w:pPr>
      <w:widowControl/>
      <w:spacing w:before="100" w:beforeAutospacing="1" w:after="100" w:afterAutospacing="1"/>
      <w:ind w:firstLine="0"/>
      <w:jc w:val="left"/>
    </w:pPr>
    <w:rPr>
      <w:rFonts w:ascii="宋体" w:eastAsia="宋体" w:hAnsi="宋体" w:cs="宋体"/>
      <w:kern w:val="0"/>
      <w:sz w:val="24"/>
      <w:szCs w:val="24"/>
    </w:rPr>
  </w:style>
  <w:style w:type="character" w:customStyle="1" w:styleId="apple-converted-space">
    <w:name w:val="apple-converted-space"/>
    <w:basedOn w:val="a0"/>
    <w:rsid w:val="00610434"/>
  </w:style>
  <w:style w:type="paragraph" w:customStyle="1" w:styleId="nudge-right">
    <w:name w:val="nudge-right"/>
    <w:basedOn w:val="a"/>
    <w:rsid w:val="00610434"/>
    <w:pPr>
      <w:widowControl/>
      <w:spacing w:before="100" w:beforeAutospacing="1" w:after="100" w:afterAutospacing="1"/>
      <w:ind w:firstLine="0"/>
      <w:jc w:val="left"/>
    </w:pPr>
    <w:rPr>
      <w:rFonts w:ascii="宋体" w:eastAsia="宋体" w:hAnsi="宋体" w:cs="宋体"/>
      <w:kern w:val="0"/>
      <w:sz w:val="24"/>
      <w:szCs w:val="24"/>
    </w:rPr>
  </w:style>
  <w:style w:type="character" w:styleId="a8">
    <w:name w:val="Emphasis"/>
    <w:basedOn w:val="a0"/>
    <w:uiPriority w:val="20"/>
    <w:qFormat/>
    <w:rsid w:val="00610434"/>
    <w:rPr>
      <w:i/>
      <w:iCs/>
    </w:rPr>
  </w:style>
  <w:style w:type="paragraph" w:styleId="a9">
    <w:name w:val="Balloon Text"/>
    <w:basedOn w:val="a"/>
    <w:link w:val="Char1"/>
    <w:uiPriority w:val="99"/>
    <w:semiHidden/>
    <w:unhideWhenUsed/>
    <w:rsid w:val="00610434"/>
    <w:rPr>
      <w:sz w:val="18"/>
      <w:szCs w:val="18"/>
    </w:rPr>
  </w:style>
  <w:style w:type="character" w:customStyle="1" w:styleId="Char1">
    <w:name w:val="批注框文本 Char"/>
    <w:basedOn w:val="a0"/>
    <w:link w:val="a9"/>
    <w:uiPriority w:val="99"/>
    <w:semiHidden/>
    <w:rsid w:val="00610434"/>
    <w:rPr>
      <w:sz w:val="18"/>
      <w:szCs w:val="18"/>
    </w:rPr>
  </w:style>
</w:styles>
</file>

<file path=word/webSettings.xml><?xml version="1.0" encoding="utf-8"?>
<w:webSettings xmlns:r="http://schemas.openxmlformats.org/officeDocument/2006/relationships" xmlns:w="http://schemas.openxmlformats.org/wordprocessingml/2006/main">
  <w:divs>
    <w:div w:id="2019502522">
      <w:bodyDiv w:val="1"/>
      <w:marLeft w:val="0"/>
      <w:marRight w:val="0"/>
      <w:marTop w:val="0"/>
      <w:marBottom w:val="0"/>
      <w:divBdr>
        <w:top w:val="none" w:sz="0" w:space="0" w:color="auto"/>
        <w:left w:val="none" w:sz="0" w:space="0" w:color="auto"/>
        <w:bottom w:val="none" w:sz="0" w:space="0" w:color="auto"/>
        <w:right w:val="none" w:sz="0" w:space="0" w:color="auto"/>
      </w:divBdr>
      <w:divsChild>
        <w:div w:id="1484815149">
          <w:marLeft w:val="0"/>
          <w:marRight w:val="0"/>
          <w:marTop w:val="0"/>
          <w:marBottom w:val="0"/>
          <w:divBdr>
            <w:top w:val="none" w:sz="0" w:space="0" w:color="auto"/>
            <w:left w:val="none" w:sz="0" w:space="0" w:color="auto"/>
            <w:bottom w:val="none" w:sz="0" w:space="0" w:color="auto"/>
            <w:right w:val="none" w:sz="0" w:space="0" w:color="auto"/>
          </w:divBdr>
          <w:divsChild>
            <w:div w:id="961693530">
              <w:marLeft w:val="-161"/>
              <w:marRight w:val="-161"/>
              <w:marTop w:val="0"/>
              <w:marBottom w:val="0"/>
              <w:divBdr>
                <w:top w:val="none" w:sz="0" w:space="0" w:color="auto"/>
                <w:left w:val="none" w:sz="0" w:space="0" w:color="auto"/>
                <w:bottom w:val="none" w:sz="0" w:space="0" w:color="auto"/>
                <w:right w:val="none" w:sz="0" w:space="0" w:color="auto"/>
              </w:divBdr>
              <w:divsChild>
                <w:div w:id="4194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329508">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da.gov/medicaldevices/deviceregulationandguidance/guidancedocuments/ucm072704.htm" TargetMode="External"/><Relationship Id="rId18" Type="http://schemas.openxmlformats.org/officeDocument/2006/relationships/hyperlink" Target="https://www.fda.gov/medicaldevices/deviceregulationandguidance/guidancedocuments/ucm072704.htm" TargetMode="External"/><Relationship Id="rId26" Type="http://schemas.openxmlformats.org/officeDocument/2006/relationships/hyperlink" Target="https://www.fda.gov/MedicalDevices/DeviceRegulationandGuidance/Overview/MedicalDeviceProvisionsofFDAModernizationAct/ucm136685.htm" TargetMode="External"/><Relationship Id="rId39" Type="http://schemas.openxmlformats.org/officeDocument/2006/relationships/hyperlink" Target="https://www.fda.gov/medicaldevices/deviceregulationandguidance/guidancedocuments/ucm072704.htm" TargetMode="External"/><Relationship Id="rId21" Type="http://schemas.openxmlformats.org/officeDocument/2006/relationships/hyperlink" Target="http://www.accessdata.fda.gov/scripts/cdrh/cfdocs/cfcfr/CFRSearch.cfm?CFRPart=807&amp;showFR=1" TargetMode="External"/><Relationship Id="rId34" Type="http://schemas.openxmlformats.org/officeDocument/2006/relationships/hyperlink" Target="https://www.fda.gov/medicaldevices/deviceregulationandguidance/guidancedocuments/ucm072704.htm" TargetMode="External"/><Relationship Id="rId42" Type="http://schemas.openxmlformats.org/officeDocument/2006/relationships/hyperlink" Target="https://www.fda.gov/medicaldevices/deviceregulationandguidance/guidancedocuments/ucm072704.htm" TargetMode="External"/><Relationship Id="rId47" Type="http://schemas.openxmlformats.org/officeDocument/2006/relationships/hyperlink" Target="https://www.fda.gov/medicaldevices/deviceregulationandguidance/guidancedocuments/ucm072704.htm" TargetMode="External"/><Relationship Id="rId50" Type="http://schemas.openxmlformats.org/officeDocument/2006/relationships/hyperlink" Target="https://www.fda.gov/medicaldevices/deviceregulationandguidance/guidancedocuments/ucm072704.htm" TargetMode="External"/><Relationship Id="rId55" Type="http://schemas.openxmlformats.org/officeDocument/2006/relationships/hyperlink" Target="https://www.fda.gov/MedicalDevices/DeviceRegulationandGuidance/GuidanceDocuments/ucm072783.htm" TargetMode="External"/><Relationship Id="rId7" Type="http://schemas.openxmlformats.org/officeDocument/2006/relationships/hyperlink" Target="mailto:nadine.sloan@fda.hhs.gov" TargetMode="External"/><Relationship Id="rId2" Type="http://schemas.openxmlformats.org/officeDocument/2006/relationships/styles" Target="styles.xml"/><Relationship Id="rId16" Type="http://schemas.openxmlformats.org/officeDocument/2006/relationships/hyperlink" Target="https://www.fda.gov/medicaldevices/deviceregulationandguidance/guidancedocuments/ucm072704.htm" TargetMode="External"/><Relationship Id="rId20" Type="http://schemas.openxmlformats.org/officeDocument/2006/relationships/hyperlink" Target="https://www.fda.gov/medicaldevices/deviceregulationandguidance/guidancedocuments/ucm072704.htm" TargetMode="External"/><Relationship Id="rId29" Type="http://schemas.openxmlformats.org/officeDocument/2006/relationships/hyperlink" Target="https://www.fda.gov/medicaldevices/deviceregulationandguidance/guidancedocuments/ucm072704.htm" TargetMode="External"/><Relationship Id="rId41" Type="http://schemas.openxmlformats.org/officeDocument/2006/relationships/hyperlink" Target="https://www.fda.gov/medicaldevices/deviceregulationandguidance/guidancedocuments/ucm072704.htm" TargetMode="External"/><Relationship Id="rId54" Type="http://schemas.openxmlformats.org/officeDocument/2006/relationships/hyperlink" Target="https://www.fda.gov/medicaldevices/deviceregulationandguidance/guidancedocuments/ucm072704.htm"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da.gov/medicaldevices/deviceregulationandguidance/guidancedocuments/ucm072704.htm" TargetMode="External"/><Relationship Id="rId24" Type="http://schemas.openxmlformats.org/officeDocument/2006/relationships/hyperlink" Target="http://www.accessdata.fda.gov/scripts/cdrh/cfdocs/cfcfr/CFRSearch.cfm?FR=807.87" TargetMode="External"/><Relationship Id="rId32" Type="http://schemas.openxmlformats.org/officeDocument/2006/relationships/hyperlink" Target="https://www.fda.gov/medicaldevices/deviceregulationandguidance/guidancedocuments/ucm072704.htm" TargetMode="External"/><Relationship Id="rId37" Type="http://schemas.openxmlformats.org/officeDocument/2006/relationships/hyperlink" Target="https://www.fda.gov/medicaldevices/deviceregulationandguidance/guidancedocuments/ucm072704.htm" TargetMode="External"/><Relationship Id="rId40" Type="http://schemas.openxmlformats.org/officeDocument/2006/relationships/hyperlink" Target="https://www.fda.gov/medicaldevices/deviceregulationandguidance/guidancedocuments/ucm072704.htm" TargetMode="External"/><Relationship Id="rId45" Type="http://schemas.openxmlformats.org/officeDocument/2006/relationships/hyperlink" Target="https://www.fda.gov/medicaldevices/deviceregulationandguidance/guidancedocuments/ucm072704.htm" TargetMode="External"/><Relationship Id="rId53" Type="http://schemas.openxmlformats.org/officeDocument/2006/relationships/hyperlink" Target="https://www.fda.gov/medicaldevices/deviceregulationandguidance/guidancedocuments/ssLINK/ucm080735.htm" TargetMode="External"/><Relationship Id="rId58" Type="http://schemas.openxmlformats.org/officeDocument/2006/relationships/hyperlink" Target="https://www.fda.gov/MedicalDevices/DeviceRegulationandGuidance/GuidanceDocuments/ucm080187.htm" TargetMode="External"/><Relationship Id="rId5" Type="http://schemas.openxmlformats.org/officeDocument/2006/relationships/footnotes" Target="footnotes.xml"/><Relationship Id="rId15" Type="http://schemas.openxmlformats.org/officeDocument/2006/relationships/hyperlink" Target="https://www.fda.gov/medicaldevices/deviceregulationandguidance/guidancedocuments/ucm072704.htm" TargetMode="External"/><Relationship Id="rId23" Type="http://schemas.openxmlformats.org/officeDocument/2006/relationships/hyperlink" Target="https://www.fda.gov/medicaldevices/deviceregulationandguidance/guidancedocuments/ucm072704.htm" TargetMode="External"/><Relationship Id="rId28" Type="http://schemas.openxmlformats.org/officeDocument/2006/relationships/hyperlink" Target="https://www.fda.gov/medicaldevices/deviceregulationandguidance/guidancedocuments/ucm072704.htm" TargetMode="External"/><Relationship Id="rId36" Type="http://schemas.openxmlformats.org/officeDocument/2006/relationships/hyperlink" Target="https://www.fda.gov/medicaldevices/deviceregulationandguidance/guidancedocuments/ucm072704.htm" TargetMode="External"/><Relationship Id="rId49" Type="http://schemas.openxmlformats.org/officeDocument/2006/relationships/hyperlink" Target="https://www.fda.gov/medicaldevices/deviceregulationandguidance/guidancedocuments/ucm072704.htm" TargetMode="External"/><Relationship Id="rId57" Type="http://schemas.openxmlformats.org/officeDocument/2006/relationships/hyperlink" Target="https://www.fda.gov/medicaldevices/deviceregulationandguidance/guidancedocuments/ucm072704.htm" TargetMode="External"/><Relationship Id="rId61" Type="http://schemas.openxmlformats.org/officeDocument/2006/relationships/fontTable" Target="fontTable.xml"/><Relationship Id="rId10" Type="http://schemas.openxmlformats.org/officeDocument/2006/relationships/hyperlink" Target="https://www.fda.gov/medicaldevices/deviceregulationandguidance/guidancedocuments/ucm072704.htm" TargetMode="External"/><Relationship Id="rId19" Type="http://schemas.openxmlformats.org/officeDocument/2006/relationships/hyperlink" Target="https://www.fda.gov/medicaldevices/deviceregulationandguidance/guidancedocuments/ucm072704.htm" TargetMode="External"/><Relationship Id="rId31" Type="http://schemas.openxmlformats.org/officeDocument/2006/relationships/hyperlink" Target="https://www.fda.gov/MedicalDevices/DeviceRegulationandGuidance/GuidanceDocuments/ucm073752.htm" TargetMode="External"/><Relationship Id="rId44" Type="http://schemas.openxmlformats.org/officeDocument/2006/relationships/hyperlink" Target="https://www.fda.gov/medicaldevices/deviceregulationandguidance/guidancedocuments/ucm072704.htm" TargetMode="External"/><Relationship Id="rId52" Type="http://schemas.openxmlformats.org/officeDocument/2006/relationships/hyperlink" Target="https://www.fda.gov/medicaldevices/deviceregulationandguidance/guidancedocuments/ucm072704.htm" TargetMode="External"/><Relationship Id="rId60" Type="http://schemas.openxmlformats.org/officeDocument/2006/relationships/hyperlink" Target="https://www.fda.gov/MedicalDevices/DeviceRegulationandGuidance/HowtoMarketYourDevice/PremarketSubmissions/PremarketNotification510k/ucm142706.htm" TargetMode="External"/><Relationship Id="rId4" Type="http://schemas.openxmlformats.org/officeDocument/2006/relationships/webSettings" Target="webSettings.xml"/><Relationship Id="rId9" Type="http://schemas.openxmlformats.org/officeDocument/2006/relationships/hyperlink" Target="mailto:CDRH-Guidance@fda.hhs.gov" TargetMode="External"/><Relationship Id="rId14" Type="http://schemas.openxmlformats.org/officeDocument/2006/relationships/hyperlink" Target="https://www.fda.gov/medicaldevices/deviceregulationandguidance/guidancedocuments/ucm072704.htm" TargetMode="External"/><Relationship Id="rId22" Type="http://schemas.openxmlformats.org/officeDocument/2006/relationships/hyperlink" Target="http://www.accessdata.fda.gov/scripts/cdrh/cfdocs/cfcfr/CFRSearch.cfm?FR=807.85" TargetMode="External"/><Relationship Id="rId27" Type="http://schemas.openxmlformats.org/officeDocument/2006/relationships/hyperlink" Target="https://www.fda.gov/medicaldevices/deviceregulationandguidance/guidancedocuments/ucm072704.htm" TargetMode="External"/><Relationship Id="rId30" Type="http://schemas.openxmlformats.org/officeDocument/2006/relationships/hyperlink" Target="http://www.accessdata.fda.gov/scripts/cdrh/cfdocs/cfcfr/CFRSearch.cfm?FR=820.30" TargetMode="External"/><Relationship Id="rId35" Type="http://schemas.openxmlformats.org/officeDocument/2006/relationships/hyperlink" Target="https://www.fda.gov/medicaldevices/deviceregulationandguidance/guidancedocuments/ucm072704.htm" TargetMode="External"/><Relationship Id="rId43" Type="http://schemas.openxmlformats.org/officeDocument/2006/relationships/hyperlink" Target="https://www.fda.gov/medicaldevices/deviceregulationandguidance/guidancedocuments/ucm072704.htm" TargetMode="External"/><Relationship Id="rId48" Type="http://schemas.openxmlformats.org/officeDocument/2006/relationships/hyperlink" Target="https://www.fda.gov/medicaldevices/deviceregulationandguidance/guidancedocuments/ucm072704.htm" TargetMode="External"/><Relationship Id="rId56" Type="http://schemas.openxmlformats.org/officeDocument/2006/relationships/hyperlink" Target="https://www.fda.gov/medicaldevices/deviceregulationandguidance/guidancedocuments/ucm072704.htm" TargetMode="External"/><Relationship Id="rId8" Type="http://schemas.openxmlformats.org/officeDocument/2006/relationships/image" Target="media/image1.gif"/><Relationship Id="rId51" Type="http://schemas.openxmlformats.org/officeDocument/2006/relationships/hyperlink" Target="https://www.fda.gov/medicaldevices/deviceregulationandguidance/guidancedocuments/ucm072704.htm" TargetMode="External"/><Relationship Id="rId3" Type="http://schemas.openxmlformats.org/officeDocument/2006/relationships/settings" Target="settings.xml"/><Relationship Id="rId12" Type="http://schemas.openxmlformats.org/officeDocument/2006/relationships/hyperlink" Target="https://www.fda.gov/medicaldevices/deviceregulationandguidance/guidancedocuments/ucm072704.htm" TargetMode="External"/><Relationship Id="rId17" Type="http://schemas.openxmlformats.org/officeDocument/2006/relationships/hyperlink" Target="https://www.fda.gov/medicaldevices/deviceregulationandguidance/guidancedocuments/ucm072704.htm" TargetMode="External"/><Relationship Id="rId25" Type="http://schemas.openxmlformats.org/officeDocument/2006/relationships/hyperlink" Target="https://www.fda.gov/MedicalDevices/DeviceRegulationandGuidance/HowtoMarketYourDevice/PremarketSubmissions/PremarketNotification510k/default.htm" TargetMode="External"/><Relationship Id="rId33" Type="http://schemas.openxmlformats.org/officeDocument/2006/relationships/hyperlink" Target="https://www.fda.gov/medicaldevices/deviceregulationandguidance/guidancedocuments/ucm072704.htm" TargetMode="External"/><Relationship Id="rId38" Type="http://schemas.openxmlformats.org/officeDocument/2006/relationships/hyperlink" Target="https://www.fda.gov/medicaldevices/deviceregulationandguidance/guidancedocuments/ucm072704.htm" TargetMode="External"/><Relationship Id="rId46" Type="http://schemas.openxmlformats.org/officeDocument/2006/relationships/hyperlink" Target="https://www.fda.gov/medicaldevices/deviceregulationandguidance/guidancedocuments/ucm072704.htm" TargetMode="External"/><Relationship Id="rId59" Type="http://schemas.openxmlformats.org/officeDocument/2006/relationships/hyperlink" Target="http://www.fda.gov/downloads/aboutfda/reportsmanualsforms/forms/ucm360431.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4456</Words>
  <Characters>25400</Characters>
  <Application>Microsoft Office Word</Application>
  <DocSecurity>0</DocSecurity>
  <Lines>211</Lines>
  <Paragraphs>59</Paragraphs>
  <ScaleCrop>false</ScaleCrop>
  <Company/>
  <LinksUpToDate>false</LinksUpToDate>
  <CharactersWithSpaces>29797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2017-03-24T08:46:00Z</dcterms:created>
  <dcterms:modified xsi:type="dcterms:W3CDTF">2017-03-24T08:46:00Z</dcterms:modified>
</cp:coreProperties>
</file>