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09" w:rsidRPr="005B2E09" w:rsidRDefault="005B2E09" w:rsidP="005B2E09">
      <w:pPr>
        <w:widowControl/>
        <w:spacing w:before="330" w:after="165"/>
        <w:jc w:val="left"/>
        <w:outlineLvl w:val="0"/>
        <w:rPr>
          <w:rFonts w:ascii="Helvetica" w:eastAsia="宋体" w:hAnsi="Helvetica" w:cs="Helvetica"/>
          <w:b/>
          <w:bCs/>
          <w:color w:val="333333"/>
          <w:kern w:val="36"/>
          <w:sz w:val="45"/>
          <w:szCs w:val="45"/>
          <w:lang w:val="en"/>
        </w:rPr>
      </w:pPr>
      <w:r w:rsidRPr="005B2E09">
        <w:rPr>
          <w:rFonts w:ascii="Helvetica" w:eastAsia="宋体" w:hAnsi="Helvetica" w:cs="Helvetica"/>
          <w:b/>
          <w:bCs/>
          <w:color w:val="333333"/>
          <w:kern w:val="36"/>
          <w:sz w:val="45"/>
          <w:szCs w:val="45"/>
          <w:lang w:val="en"/>
        </w:rPr>
        <w:t>Guidance for Industry and FDA Reviewers - Class II Special Controls Guidance Document for Clitoral Engorgement Devices</w:t>
      </w:r>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5B2E09">
          <w:rPr>
            <w:rFonts w:ascii="宋体" w:eastAsia="宋体" w:hAnsi="宋体" w:cs="宋体"/>
            <w:caps/>
            <w:color w:val="FFFFFF"/>
            <w:kern w:val="0"/>
            <w:sz w:val="17"/>
            <w:szCs w:val="17"/>
            <w:lang w:val="en"/>
          </w:rPr>
          <w:t>Share</w:t>
        </w:r>
      </w:hyperlink>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5B2E09">
          <w:rPr>
            <w:rFonts w:ascii="宋体" w:eastAsia="宋体" w:hAnsi="宋体" w:cs="宋体"/>
            <w:caps/>
            <w:color w:val="FFFFFF"/>
            <w:kern w:val="0"/>
            <w:sz w:val="17"/>
            <w:szCs w:val="17"/>
            <w:lang w:val="en"/>
          </w:rPr>
          <w:t>Tweet</w:t>
        </w:r>
      </w:hyperlink>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5B2E09">
          <w:rPr>
            <w:rFonts w:ascii="宋体" w:eastAsia="宋体" w:hAnsi="宋体" w:cs="宋体"/>
            <w:caps/>
            <w:color w:val="FFFFFF"/>
            <w:kern w:val="0"/>
            <w:sz w:val="17"/>
            <w:szCs w:val="17"/>
            <w:lang w:val="en"/>
          </w:rPr>
          <w:t>Linkedin</w:t>
        </w:r>
      </w:hyperlink>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5B2E09">
          <w:rPr>
            <w:rFonts w:ascii="宋体" w:eastAsia="宋体" w:hAnsi="宋体" w:cs="宋体"/>
            <w:caps/>
            <w:color w:val="FFFFFF"/>
            <w:kern w:val="0"/>
            <w:sz w:val="17"/>
            <w:szCs w:val="17"/>
            <w:lang w:val="en"/>
          </w:rPr>
          <w:t>Pin it</w:t>
        </w:r>
      </w:hyperlink>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5B2E09">
          <w:rPr>
            <w:rFonts w:ascii="Helvetica" w:eastAsia="宋体" w:hAnsi="Helvetica" w:cs="Helvetica"/>
            <w:caps/>
            <w:color w:val="000000"/>
            <w:kern w:val="0"/>
            <w:sz w:val="17"/>
            <w:szCs w:val="17"/>
            <w:bdr w:val="none" w:sz="0" w:space="0" w:color="auto" w:frame="1"/>
            <w:lang w:val="en"/>
          </w:rPr>
          <w:t>More sharing options</w:t>
        </w:r>
      </w:hyperlink>
      <w:r w:rsidRPr="005B2E09">
        <w:rPr>
          <w:rFonts w:ascii="Helvetica" w:eastAsia="宋体" w:hAnsi="Helvetica" w:cs="Helvetica"/>
          <w:color w:val="333333"/>
          <w:kern w:val="0"/>
          <w:sz w:val="24"/>
          <w:szCs w:val="24"/>
          <w:lang w:val="en"/>
        </w:rPr>
        <w:t xml:space="preserve"> </w:t>
      </w:r>
    </w:p>
    <w:p w:rsidR="005B2E09" w:rsidRPr="005B2E09" w:rsidRDefault="005B2E09" w:rsidP="005B2E09">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5B2E09">
          <w:rPr>
            <w:rFonts w:ascii="Helvetica" w:eastAsia="宋体" w:hAnsi="Helvetica" w:cs="Helvetica"/>
            <w:caps/>
            <w:color w:val="000000"/>
            <w:kern w:val="0"/>
            <w:sz w:val="17"/>
            <w:szCs w:val="17"/>
            <w:bdr w:val="none" w:sz="0" w:space="0" w:color="auto" w:frame="1"/>
            <w:lang w:val="en"/>
          </w:rPr>
          <w:t>Linkedin</w:t>
        </w:r>
      </w:hyperlink>
    </w:p>
    <w:p w:rsidR="005B2E09" w:rsidRPr="005B2E09" w:rsidRDefault="005B2E09" w:rsidP="005B2E09">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5B2E09">
          <w:rPr>
            <w:rFonts w:ascii="Helvetica" w:eastAsia="宋体" w:hAnsi="Helvetica" w:cs="Helvetica"/>
            <w:caps/>
            <w:color w:val="000000"/>
            <w:kern w:val="0"/>
            <w:sz w:val="17"/>
            <w:szCs w:val="17"/>
            <w:bdr w:val="none" w:sz="0" w:space="0" w:color="auto" w:frame="1"/>
            <w:lang w:val="en"/>
          </w:rPr>
          <w:t>Pin it</w:t>
        </w:r>
      </w:hyperlink>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5B2E09">
          <w:rPr>
            <w:rFonts w:ascii="宋体" w:eastAsia="宋体" w:hAnsi="宋体" w:cs="宋体"/>
            <w:caps/>
            <w:color w:val="FFFFFF"/>
            <w:kern w:val="0"/>
            <w:sz w:val="17"/>
            <w:szCs w:val="17"/>
            <w:lang w:val="en"/>
          </w:rPr>
          <w:t>Email</w:t>
        </w:r>
      </w:hyperlink>
    </w:p>
    <w:p w:rsidR="005B2E09" w:rsidRPr="005B2E09" w:rsidRDefault="005B2E09" w:rsidP="005B2E09">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5B2E09">
          <w:rPr>
            <w:rFonts w:ascii="Helvetica" w:eastAsia="宋体" w:hAnsi="Helvetica" w:cs="Helvetica"/>
            <w:caps/>
            <w:color w:val="FFFFFF"/>
            <w:kern w:val="0"/>
            <w:sz w:val="17"/>
            <w:szCs w:val="17"/>
            <w:lang w:val="en"/>
          </w:rPr>
          <w:t>Print</w:t>
        </w:r>
      </w:hyperlink>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b/>
          <w:bCs/>
          <w:color w:val="333333"/>
          <w:kern w:val="0"/>
          <w:sz w:val="24"/>
          <w:szCs w:val="24"/>
          <w:lang w:val="en"/>
        </w:rPr>
        <w:t>Document issued on: July 3, 2000</w:t>
      </w:r>
    </w:p>
    <w:tbl>
      <w:tblPr>
        <w:tblW w:w="5000" w:type="pct"/>
        <w:tblCellMar>
          <w:top w:w="15" w:type="dxa"/>
          <w:left w:w="15" w:type="dxa"/>
          <w:bottom w:w="15" w:type="dxa"/>
          <w:right w:w="15" w:type="dxa"/>
        </w:tblCellMar>
        <w:tblLook w:val="04A0" w:firstRow="1" w:lastRow="0" w:firstColumn="1" w:lastColumn="0" w:noHBand="0" w:noVBand="1"/>
        <w:tblDescription w:val=""/>
      </w:tblPr>
      <w:tblGrid>
        <w:gridCol w:w="1983"/>
        <w:gridCol w:w="6353"/>
      </w:tblGrid>
      <w:tr w:rsidR="005B2E09" w:rsidRPr="005B2E09" w:rsidTr="005B2E09">
        <w:tc>
          <w:tcPr>
            <w:tcW w:w="0" w:type="auto"/>
            <w:shd w:val="clear" w:color="auto" w:fill="auto"/>
            <w:hideMark/>
          </w:tcPr>
          <w:p w:rsidR="005B2E09" w:rsidRPr="005B2E09" w:rsidRDefault="005B2E09" w:rsidP="005B2E09">
            <w:pPr>
              <w:widowControl/>
              <w:spacing w:before="285" w:after="285"/>
              <w:jc w:val="left"/>
              <w:rPr>
                <w:rFonts w:ascii="Helvetica" w:eastAsia="宋体" w:hAnsi="Helvetica" w:cs="Helvetica"/>
                <w:color w:val="333333"/>
                <w:kern w:val="0"/>
                <w:szCs w:val="21"/>
              </w:rPr>
            </w:pPr>
            <w:r>
              <w:rPr>
                <w:rFonts w:ascii="Helvetica" w:eastAsia="宋体" w:hAnsi="Helvetica" w:cs="Helvetica"/>
                <w:noProof/>
                <w:color w:val="333333"/>
                <w:kern w:val="0"/>
                <w:szCs w:val="21"/>
              </w:rPr>
              <w:drawing>
                <wp:inline distT="0" distB="0" distL="0" distR="0">
                  <wp:extent cx="921385" cy="948690"/>
                  <wp:effectExtent l="0" t="0" r="0" b="381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tc>
        <w:tc>
          <w:tcPr>
            <w:tcW w:w="0" w:type="auto"/>
            <w:shd w:val="clear" w:color="auto" w:fill="auto"/>
            <w:hideMark/>
          </w:tcPr>
          <w:p w:rsidR="005B2E09" w:rsidRPr="005B2E09" w:rsidRDefault="005B2E09" w:rsidP="005B2E09">
            <w:pPr>
              <w:widowControl/>
              <w:jc w:val="right"/>
              <w:rPr>
                <w:rFonts w:ascii="Helvetica" w:eastAsia="宋体" w:hAnsi="Helvetica" w:cs="Helvetica"/>
                <w:color w:val="333333"/>
                <w:kern w:val="0"/>
                <w:szCs w:val="21"/>
              </w:rPr>
            </w:pPr>
            <w:r w:rsidRPr="005B2E09">
              <w:rPr>
                <w:rFonts w:ascii="Helvetica" w:eastAsia="宋体" w:hAnsi="Helvetica" w:cs="Helvetica"/>
                <w:b/>
                <w:bCs/>
                <w:color w:val="333333"/>
                <w:kern w:val="0"/>
                <w:szCs w:val="21"/>
              </w:rPr>
              <w:t>U.S. Department of Health and Human Services</w:t>
            </w:r>
            <w:r w:rsidRPr="005B2E09">
              <w:rPr>
                <w:rFonts w:ascii="Helvetica" w:eastAsia="宋体" w:hAnsi="Helvetica" w:cs="Helvetica"/>
                <w:b/>
                <w:bCs/>
                <w:color w:val="333333"/>
                <w:kern w:val="0"/>
                <w:szCs w:val="21"/>
              </w:rPr>
              <w:br/>
              <w:t>Food and Drug Administration</w:t>
            </w:r>
            <w:r w:rsidRPr="005B2E09">
              <w:rPr>
                <w:rFonts w:ascii="Helvetica" w:eastAsia="宋体" w:hAnsi="Helvetica" w:cs="Helvetica"/>
                <w:b/>
                <w:bCs/>
                <w:color w:val="333333"/>
                <w:kern w:val="0"/>
                <w:szCs w:val="21"/>
              </w:rPr>
              <w:br/>
              <w:t>Center for Devices and Radiological Health</w:t>
            </w:r>
          </w:p>
          <w:p w:rsidR="005B2E09" w:rsidRPr="005B2E09" w:rsidRDefault="005B2E09" w:rsidP="005B2E09">
            <w:pPr>
              <w:widowControl/>
              <w:jc w:val="right"/>
              <w:rPr>
                <w:rFonts w:ascii="Helvetica" w:eastAsia="宋体" w:hAnsi="Helvetica" w:cs="Helvetica"/>
                <w:color w:val="333333"/>
                <w:kern w:val="0"/>
                <w:szCs w:val="21"/>
              </w:rPr>
            </w:pPr>
            <w:r w:rsidRPr="005B2E09">
              <w:rPr>
                <w:rFonts w:ascii="Helvetica" w:eastAsia="宋体" w:hAnsi="Helvetica" w:cs="Helvetica"/>
                <w:b/>
                <w:bCs/>
                <w:color w:val="333333"/>
                <w:kern w:val="0"/>
                <w:szCs w:val="21"/>
              </w:rPr>
              <w:t>Obstetrics/Gynecology Device Branch</w:t>
            </w:r>
            <w:r w:rsidRPr="005B2E09">
              <w:rPr>
                <w:rFonts w:ascii="Helvetica" w:eastAsia="宋体" w:hAnsi="Helvetica" w:cs="Helvetica"/>
                <w:b/>
                <w:bCs/>
                <w:color w:val="333333"/>
                <w:kern w:val="0"/>
                <w:szCs w:val="21"/>
              </w:rPr>
              <w:br/>
              <w:t>Division of Reproductive, Abdominal, </w:t>
            </w:r>
            <w:r w:rsidRPr="005B2E09">
              <w:rPr>
                <w:rFonts w:ascii="Helvetica" w:eastAsia="宋体" w:hAnsi="Helvetica" w:cs="Helvetica"/>
                <w:b/>
                <w:bCs/>
                <w:color w:val="333333"/>
                <w:kern w:val="0"/>
                <w:szCs w:val="21"/>
              </w:rPr>
              <w:br/>
              <w:t>and Radiological Devices </w:t>
            </w:r>
            <w:r w:rsidRPr="005B2E09">
              <w:rPr>
                <w:rFonts w:ascii="Helvetica" w:eastAsia="宋体" w:hAnsi="Helvetica" w:cs="Helvetica"/>
                <w:b/>
                <w:bCs/>
                <w:color w:val="333333"/>
                <w:kern w:val="0"/>
                <w:szCs w:val="21"/>
              </w:rPr>
              <w:br/>
              <w:t>Office of Device Evaluation</w:t>
            </w:r>
          </w:p>
        </w:tc>
      </w:tr>
    </w:tbl>
    <w:p w:rsidR="005B2E09" w:rsidRPr="005B2E09" w:rsidRDefault="005B2E09" w:rsidP="005B2E09">
      <w:pPr>
        <w:widowControl/>
        <w:jc w:val="righ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 </w:t>
      </w:r>
    </w:p>
    <w:p w:rsidR="005B2E09" w:rsidRPr="005B2E09" w:rsidRDefault="005B2E09" w:rsidP="005B2E09">
      <w:pPr>
        <w:widowControl/>
        <w:spacing w:before="330" w:after="165"/>
        <w:jc w:val="center"/>
        <w:outlineLvl w:val="3"/>
        <w:rPr>
          <w:rFonts w:ascii="Helvetica" w:eastAsia="宋体" w:hAnsi="Helvetica" w:cs="Helvetica"/>
          <w:b/>
          <w:bCs/>
          <w:color w:val="333333"/>
          <w:kern w:val="0"/>
          <w:sz w:val="27"/>
          <w:szCs w:val="27"/>
          <w:lang w:val="en"/>
        </w:rPr>
      </w:pPr>
      <w:r w:rsidRPr="005B2E09">
        <w:rPr>
          <w:rFonts w:ascii="Helvetica" w:eastAsia="宋体" w:hAnsi="Helvetica" w:cs="Helvetica"/>
          <w:b/>
          <w:bCs/>
          <w:color w:val="333333"/>
          <w:kern w:val="0"/>
          <w:sz w:val="27"/>
          <w:szCs w:val="27"/>
          <w:lang w:val="en"/>
        </w:rPr>
        <w:t>Preface</w:t>
      </w:r>
    </w:p>
    <w:p w:rsidR="005B2E09" w:rsidRPr="005B2E09" w:rsidRDefault="005B2E09" w:rsidP="005B2E09">
      <w:pPr>
        <w:widowControl/>
        <w:spacing w:before="330" w:after="165"/>
        <w:jc w:val="left"/>
        <w:outlineLvl w:val="4"/>
        <w:rPr>
          <w:rFonts w:ascii="Helvetica" w:eastAsia="宋体" w:hAnsi="Helvetica" w:cs="Helvetica"/>
          <w:b/>
          <w:bCs/>
          <w:color w:val="333333"/>
          <w:kern w:val="0"/>
          <w:sz w:val="24"/>
          <w:szCs w:val="24"/>
          <w:lang w:val="en"/>
        </w:rPr>
      </w:pPr>
      <w:r w:rsidRPr="005B2E09">
        <w:rPr>
          <w:rFonts w:ascii="Helvetica" w:eastAsia="宋体" w:hAnsi="Helvetica" w:cs="Helvetica"/>
          <w:b/>
          <w:bCs/>
          <w:color w:val="333333"/>
          <w:kern w:val="0"/>
          <w:sz w:val="24"/>
          <w:szCs w:val="24"/>
          <w:lang w:val="en"/>
        </w:rPr>
        <w:t>Public Comment</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 xml:space="preserve">Comments and suggestions may be submitted at any time for Agency consideration to Mr. Colin Pollard, Center for Devices and Radiological Health. Comments may not be acted upon by the Agency until the document is next revised or updated. For questions regarding the use or interpretation of this guidance, contact Julia </w:t>
      </w:r>
      <w:proofErr w:type="spellStart"/>
      <w:r w:rsidRPr="005B2E09">
        <w:rPr>
          <w:rFonts w:ascii="Helvetica" w:eastAsia="宋体" w:hAnsi="Helvetica" w:cs="Helvetica"/>
          <w:color w:val="333333"/>
          <w:kern w:val="0"/>
          <w:sz w:val="24"/>
          <w:szCs w:val="24"/>
          <w:lang w:val="en"/>
        </w:rPr>
        <w:t>Corrado</w:t>
      </w:r>
      <w:proofErr w:type="spellEnd"/>
      <w:r w:rsidRPr="005B2E09">
        <w:rPr>
          <w:rFonts w:ascii="Helvetica" w:eastAsia="宋体" w:hAnsi="Helvetica" w:cs="Helvetica"/>
          <w:color w:val="333333"/>
          <w:kern w:val="0"/>
          <w:sz w:val="24"/>
          <w:szCs w:val="24"/>
          <w:lang w:val="en"/>
        </w:rPr>
        <w:t xml:space="preserve"> at 301-796-6534 or by e-mail at </w:t>
      </w:r>
      <w:hyperlink r:id="rId18" w:history="1">
        <w:r w:rsidRPr="005B2E09">
          <w:rPr>
            <w:rFonts w:ascii="宋体" w:eastAsia="宋体" w:hAnsi="宋体" w:cs="宋体"/>
            <w:color w:val="005F9F"/>
            <w:kern w:val="0"/>
            <w:sz w:val="24"/>
            <w:szCs w:val="24"/>
            <w:lang w:val="en"/>
          </w:rPr>
          <w:t>julia.corrado@fda.hhs.gov</w:t>
        </w:r>
      </w:hyperlink>
      <w:r w:rsidRPr="005B2E09">
        <w:rPr>
          <w:rFonts w:ascii="Helvetica" w:eastAsia="宋体" w:hAnsi="Helvetica" w:cs="Helvetica"/>
          <w:color w:val="333333"/>
          <w:kern w:val="0"/>
          <w:sz w:val="24"/>
          <w:szCs w:val="24"/>
          <w:lang w:val="en"/>
        </w:rPr>
        <w:t>.</w:t>
      </w:r>
    </w:p>
    <w:p w:rsidR="005B2E09" w:rsidRPr="005B2E09" w:rsidRDefault="005B2E09" w:rsidP="005B2E09">
      <w:pPr>
        <w:widowControl/>
        <w:spacing w:before="330" w:after="165"/>
        <w:jc w:val="left"/>
        <w:outlineLvl w:val="4"/>
        <w:rPr>
          <w:rFonts w:ascii="Helvetica" w:eastAsia="宋体" w:hAnsi="Helvetica" w:cs="Helvetica"/>
          <w:b/>
          <w:bCs/>
          <w:color w:val="333333"/>
          <w:kern w:val="0"/>
          <w:sz w:val="24"/>
          <w:szCs w:val="24"/>
          <w:lang w:val="en"/>
        </w:rPr>
      </w:pPr>
      <w:r w:rsidRPr="005B2E09">
        <w:rPr>
          <w:rFonts w:ascii="Helvetica" w:eastAsia="宋体" w:hAnsi="Helvetica" w:cs="Helvetica"/>
          <w:b/>
          <w:bCs/>
          <w:color w:val="333333"/>
          <w:kern w:val="0"/>
          <w:sz w:val="24"/>
          <w:szCs w:val="24"/>
          <w:lang w:val="en"/>
        </w:rPr>
        <w:t>Additional Copies</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 xml:space="preserve">Additional copies are available from the Internet. You may also send an e-mail request to </w:t>
      </w:r>
      <w:hyperlink r:id="rId19" w:history="1">
        <w:r w:rsidRPr="005B2E09">
          <w:rPr>
            <w:rFonts w:ascii="宋体" w:eastAsia="宋体" w:hAnsi="宋体" w:cs="宋体"/>
            <w:color w:val="0066CC"/>
            <w:kern w:val="0"/>
            <w:sz w:val="24"/>
            <w:szCs w:val="24"/>
            <w:u w:val="single"/>
            <w:lang w:val="en"/>
          </w:rPr>
          <w:t>CDRH-Guidance@fda.hhs.gov</w:t>
        </w:r>
      </w:hyperlink>
      <w:r w:rsidRPr="005B2E09">
        <w:rPr>
          <w:rFonts w:ascii="Helvetica" w:eastAsia="宋体" w:hAnsi="Helvetica" w:cs="Helvetica"/>
          <w:color w:val="333333"/>
          <w:kern w:val="0"/>
          <w:sz w:val="24"/>
          <w:szCs w:val="24"/>
          <w:lang w:val="en"/>
        </w:rPr>
        <w:t xml:space="preserve"> to receive a copy of the guidance. </w:t>
      </w:r>
      <w:r w:rsidRPr="005B2E09">
        <w:rPr>
          <w:rFonts w:ascii="Helvetica" w:eastAsia="宋体" w:hAnsi="Helvetica" w:cs="Helvetica"/>
          <w:color w:val="333333"/>
          <w:kern w:val="0"/>
          <w:sz w:val="24"/>
          <w:szCs w:val="24"/>
          <w:lang w:val="en"/>
        </w:rPr>
        <w:lastRenderedPageBreak/>
        <w:t xml:space="preserve">Please use the document number </w:t>
      </w:r>
      <w:r w:rsidRPr="005B2E09">
        <w:rPr>
          <w:rFonts w:ascii="Helvetica" w:eastAsia="宋体" w:hAnsi="Helvetica" w:cs="Helvetica"/>
          <w:b/>
          <w:bCs/>
          <w:color w:val="333333"/>
          <w:kern w:val="0"/>
          <w:sz w:val="24"/>
          <w:szCs w:val="24"/>
          <w:lang w:val="en"/>
        </w:rPr>
        <w:t>1144</w:t>
      </w:r>
      <w:r w:rsidRPr="005B2E09">
        <w:rPr>
          <w:rFonts w:ascii="Helvetica" w:eastAsia="宋体" w:hAnsi="Helvetica" w:cs="Helvetica"/>
          <w:color w:val="333333"/>
          <w:kern w:val="0"/>
          <w:sz w:val="24"/>
          <w:szCs w:val="24"/>
          <w:lang w:val="en"/>
        </w:rPr>
        <w:t xml:space="preserve"> to identify the guidance you are requesting</w:t>
      </w:r>
    </w:p>
    <w:p w:rsidR="005B2E09" w:rsidRPr="005B2E09" w:rsidRDefault="005B2E09" w:rsidP="005B2E09">
      <w:pPr>
        <w:widowControl/>
        <w:spacing w:before="330" w:after="165"/>
        <w:jc w:val="center"/>
        <w:outlineLvl w:val="2"/>
        <w:rPr>
          <w:rFonts w:ascii="Helvetica" w:eastAsia="宋体" w:hAnsi="Helvetica" w:cs="Helvetica"/>
          <w:b/>
          <w:bCs/>
          <w:color w:val="333333"/>
          <w:kern w:val="0"/>
          <w:sz w:val="32"/>
          <w:szCs w:val="32"/>
          <w:lang w:val="en"/>
        </w:rPr>
      </w:pPr>
      <w:r w:rsidRPr="005B2E09">
        <w:rPr>
          <w:rFonts w:ascii="Helvetica" w:eastAsia="宋体" w:hAnsi="Helvetica" w:cs="Helvetica"/>
          <w:b/>
          <w:bCs/>
          <w:color w:val="333333"/>
          <w:kern w:val="0"/>
          <w:sz w:val="32"/>
          <w:szCs w:val="32"/>
          <w:lang w:val="en"/>
        </w:rPr>
        <w:t>Class II Special Controls Guidance Document</w:t>
      </w:r>
      <w:r w:rsidRPr="005B2E09">
        <w:rPr>
          <w:rFonts w:ascii="Helvetica" w:eastAsia="宋体" w:hAnsi="Helvetica" w:cs="Helvetica"/>
          <w:b/>
          <w:bCs/>
          <w:color w:val="333333"/>
          <w:kern w:val="0"/>
          <w:sz w:val="32"/>
          <w:szCs w:val="32"/>
          <w:lang w:val="en"/>
        </w:rPr>
        <w:br/>
        <w:t>for Clitoral Engorgement Devices</w:t>
      </w:r>
    </w:p>
    <w:p w:rsidR="005B2E09" w:rsidRPr="005B2E09" w:rsidRDefault="005B2E09" w:rsidP="005B2E09">
      <w:pPr>
        <w:widowControl/>
        <w:spacing w:before="330" w:after="165"/>
        <w:jc w:val="left"/>
        <w:outlineLvl w:val="3"/>
        <w:rPr>
          <w:rFonts w:ascii="Helvetica" w:eastAsia="宋体" w:hAnsi="Helvetica" w:cs="Helvetica"/>
          <w:b/>
          <w:bCs/>
          <w:color w:val="333333"/>
          <w:kern w:val="0"/>
          <w:sz w:val="27"/>
          <w:szCs w:val="27"/>
          <w:lang w:val="en"/>
        </w:rPr>
      </w:pPr>
      <w:r w:rsidRPr="005B2E09">
        <w:rPr>
          <w:rFonts w:ascii="Helvetica" w:eastAsia="宋体" w:hAnsi="Helvetica" w:cs="Helvetica"/>
          <w:b/>
          <w:bCs/>
          <w:color w:val="333333"/>
          <w:kern w:val="0"/>
          <w:sz w:val="27"/>
          <w:szCs w:val="27"/>
          <w:lang w:val="en"/>
        </w:rPr>
        <w:t>Background</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On April 28, 2000, FDA reclassified clitoral engorgement devices from Class III designation to Class II. This guidance document describes a means by which clitoral engorgement devices may comply with the requirements of class II special controls. Designation of this guidance document as a special control means that manufacturers of clitoral engorgement devices, who follow the recommendations listed in this document before introducing their device into commercial distribution in the United States, will be able to market their device after they have submitted a premarket notification submission, referred to as a 510(k), and received a finding of "substantial equivalence" for their device. The firm must show that its device addresses the issues of safety and effectiveness identified in this guidance, either by meeting the recommendations of this guidance or by some other means that provides equivalent assurances of safety and effectiveness. </w:t>
      </w:r>
    </w:p>
    <w:p w:rsidR="005B2E09" w:rsidRPr="005B2E09" w:rsidRDefault="005B2E09" w:rsidP="005B2E09">
      <w:pPr>
        <w:widowControl/>
        <w:spacing w:before="330" w:after="165"/>
        <w:jc w:val="left"/>
        <w:outlineLvl w:val="3"/>
        <w:rPr>
          <w:rFonts w:ascii="Helvetica" w:eastAsia="宋体" w:hAnsi="Helvetica" w:cs="Helvetica"/>
          <w:b/>
          <w:bCs/>
          <w:color w:val="333333"/>
          <w:kern w:val="0"/>
          <w:sz w:val="27"/>
          <w:szCs w:val="27"/>
          <w:lang w:val="en"/>
        </w:rPr>
      </w:pPr>
      <w:r w:rsidRPr="005B2E09">
        <w:rPr>
          <w:rFonts w:ascii="Helvetica" w:eastAsia="宋体" w:hAnsi="Helvetica" w:cs="Helvetica"/>
          <w:b/>
          <w:bCs/>
          <w:color w:val="333333"/>
          <w:kern w:val="0"/>
          <w:sz w:val="27"/>
          <w:szCs w:val="27"/>
          <w:lang w:val="en"/>
        </w:rPr>
        <w:t>Scope</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FDA identifies this generic type of device as an obstetrical and gynecological device under 21 CFR 884.5970, product code NBV. This generic type of device, a clitoral engorgement device, is used to treat female sexual arousal disorder. This is done by the application of a vacuum to the clitoris.</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5B2E09" w:rsidRPr="005B2E09" w:rsidRDefault="005B2E09" w:rsidP="005B2E09">
      <w:pPr>
        <w:widowControl/>
        <w:spacing w:before="330" w:after="165"/>
        <w:jc w:val="left"/>
        <w:outlineLvl w:val="3"/>
        <w:rPr>
          <w:rFonts w:ascii="Helvetica" w:eastAsia="宋体" w:hAnsi="Helvetica" w:cs="Helvetica"/>
          <w:b/>
          <w:bCs/>
          <w:color w:val="333333"/>
          <w:kern w:val="0"/>
          <w:sz w:val="27"/>
          <w:szCs w:val="27"/>
          <w:lang w:val="en"/>
        </w:rPr>
      </w:pPr>
      <w:r w:rsidRPr="005B2E09">
        <w:rPr>
          <w:rFonts w:ascii="Helvetica" w:eastAsia="宋体" w:hAnsi="Helvetica" w:cs="Helvetica"/>
          <w:b/>
          <w:bCs/>
          <w:color w:val="333333"/>
          <w:kern w:val="0"/>
          <w:sz w:val="27"/>
          <w:szCs w:val="27"/>
          <w:lang w:val="en"/>
        </w:rPr>
        <w:t>Risks to Health</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FDA has identified two risks to health associated with this type of device. These risks involve: 1) unknown effects of extended use, and 2) and improper use of the device due to misplacement or use of the device over compromised tissue.</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Special Controls Guidance</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FDA believes the following controls, when combined with the general controls of the act, will provide reasonable assurance of the safety and effectiveness of this type device: labeling, design controls, and clinical information.</w:t>
      </w:r>
    </w:p>
    <w:p w:rsidR="005B2E09" w:rsidRPr="005B2E09" w:rsidRDefault="005B2E09" w:rsidP="005B2E09">
      <w:pPr>
        <w:widowControl/>
        <w:numPr>
          <w:ilvl w:val="0"/>
          <w:numId w:val="2"/>
        </w:numPr>
        <w:ind w:left="25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lastRenderedPageBreak/>
        <w:t>Prescription labeling in accordance with 21 CFR §801.109.</w:t>
      </w:r>
    </w:p>
    <w:p w:rsidR="005B2E09" w:rsidRPr="005B2E09" w:rsidRDefault="005B2E09" w:rsidP="005B2E09">
      <w:pPr>
        <w:widowControl/>
        <w:numPr>
          <w:ilvl w:val="0"/>
          <w:numId w:val="2"/>
        </w:numPr>
        <w:ind w:left="25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 xml:space="preserve">Patient labeling with instructions that: </w:t>
      </w:r>
    </w:p>
    <w:p w:rsidR="005B2E09" w:rsidRPr="005B2E09" w:rsidRDefault="005B2E09" w:rsidP="005B2E09">
      <w:pPr>
        <w:widowControl/>
        <w:numPr>
          <w:ilvl w:val="1"/>
          <w:numId w:val="2"/>
        </w:numPr>
        <w:ind w:left="73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describe proper use of the device;</w:t>
      </w:r>
    </w:p>
    <w:p w:rsidR="005B2E09" w:rsidRPr="005B2E09" w:rsidRDefault="005B2E09" w:rsidP="005B2E09">
      <w:pPr>
        <w:widowControl/>
        <w:numPr>
          <w:ilvl w:val="1"/>
          <w:numId w:val="2"/>
        </w:numPr>
        <w:ind w:left="73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clearly identify all device safety features and limits to its use;</w:t>
      </w:r>
    </w:p>
    <w:p w:rsidR="005B2E09" w:rsidRPr="005B2E09" w:rsidRDefault="005B2E09" w:rsidP="005B2E09">
      <w:pPr>
        <w:widowControl/>
        <w:numPr>
          <w:ilvl w:val="1"/>
          <w:numId w:val="2"/>
        </w:numPr>
        <w:ind w:left="73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describe all relevant warning, precautions, and risks of the device and address the following issues: limited time of use, minimum time between uses, avoidance of device use under the influence of alcohol or drugs, caution that the device is not to be used as a contraceptive/birth control, use of minimal vacuum to achieve engorgement, cessation of device use if pain occurs, advice against device use over a piercing, exclusion of device use with oil-based lubricants or near water if appropriate; and risks of the device including rash, abrasion, irritation, bruising, hematoma, pain, permanent injury, aggravation of existing medical conditions, swelling and/or permanent injury to the clitoris; and,</w:t>
      </w:r>
    </w:p>
    <w:p w:rsidR="005B2E09" w:rsidRPr="005B2E09" w:rsidRDefault="005B2E09" w:rsidP="005B2E09">
      <w:pPr>
        <w:widowControl/>
        <w:numPr>
          <w:ilvl w:val="1"/>
          <w:numId w:val="2"/>
        </w:numPr>
        <w:ind w:left="735"/>
        <w:jc w:val="left"/>
        <w:rPr>
          <w:rFonts w:ascii="Helvetica" w:eastAsia="宋体" w:hAnsi="Helvetica" w:cs="Helvetica"/>
          <w:color w:val="333333"/>
          <w:kern w:val="0"/>
          <w:sz w:val="24"/>
          <w:szCs w:val="24"/>
          <w:lang w:val="en"/>
        </w:rPr>
      </w:pPr>
      <w:proofErr w:type="gramStart"/>
      <w:r w:rsidRPr="005B2E09">
        <w:rPr>
          <w:rFonts w:ascii="Helvetica" w:eastAsia="宋体" w:hAnsi="Helvetica" w:cs="Helvetica"/>
          <w:color w:val="333333"/>
          <w:kern w:val="0"/>
          <w:sz w:val="24"/>
          <w:szCs w:val="24"/>
          <w:lang w:val="en"/>
        </w:rPr>
        <w:t>explain</w:t>
      </w:r>
      <w:proofErr w:type="gramEnd"/>
      <w:r w:rsidRPr="005B2E09">
        <w:rPr>
          <w:rFonts w:ascii="Helvetica" w:eastAsia="宋体" w:hAnsi="Helvetica" w:cs="Helvetica"/>
          <w:color w:val="333333"/>
          <w:kern w:val="0"/>
          <w:sz w:val="24"/>
          <w:szCs w:val="24"/>
          <w:lang w:val="en"/>
        </w:rPr>
        <w:t xml:space="preserve"> that the patient’s physician should be consulted if any irritation, bruising, or any other injury occurs while using the device.</w:t>
      </w:r>
      <w:r w:rsidRPr="005B2E09">
        <w:rPr>
          <w:rFonts w:ascii="Helvetica" w:eastAsia="宋体" w:hAnsi="Helvetica" w:cs="Helvetica"/>
          <w:color w:val="333333"/>
          <w:kern w:val="0"/>
          <w:sz w:val="24"/>
          <w:szCs w:val="24"/>
          <w:lang w:val="en"/>
        </w:rPr>
        <w:br/>
        <w:t> </w:t>
      </w:r>
    </w:p>
    <w:p w:rsidR="005B2E09" w:rsidRPr="005B2E09" w:rsidRDefault="005B2E09" w:rsidP="005B2E09">
      <w:pPr>
        <w:widowControl/>
        <w:numPr>
          <w:ilvl w:val="0"/>
          <w:numId w:val="2"/>
        </w:numPr>
        <w:ind w:left="25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Device design to include safety mechanisms for quick release action of the device (e.g., vacuum ceasing mechanisms) and maximum safe operating limits (e.g., total time of use, maximum vacuum limiting mechanisms).</w:t>
      </w:r>
    </w:p>
    <w:p w:rsidR="005B2E09" w:rsidRPr="005B2E09" w:rsidRDefault="005B2E09" w:rsidP="005B2E09">
      <w:pPr>
        <w:widowControl/>
        <w:numPr>
          <w:ilvl w:val="0"/>
          <w:numId w:val="2"/>
        </w:numPr>
        <w:ind w:left="255"/>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Performance information to address safety and effectiveness issues related to device design. This may include information from the literature or from human studies. </w:t>
      </w:r>
    </w:p>
    <w:p w:rsidR="005B2E09" w:rsidRPr="005B2E09" w:rsidRDefault="005B2E09" w:rsidP="005B2E09">
      <w:pPr>
        <w:widowControl/>
        <w:spacing w:before="330" w:after="165"/>
        <w:jc w:val="left"/>
        <w:outlineLvl w:val="3"/>
        <w:rPr>
          <w:rFonts w:ascii="Helvetica" w:eastAsia="宋体" w:hAnsi="Helvetica" w:cs="Helvetica"/>
          <w:b/>
          <w:bCs/>
          <w:color w:val="333333"/>
          <w:kern w:val="0"/>
          <w:sz w:val="27"/>
          <w:szCs w:val="27"/>
          <w:lang w:val="en"/>
        </w:rPr>
      </w:pPr>
      <w:r w:rsidRPr="005B2E09">
        <w:rPr>
          <w:rFonts w:ascii="Helvetica" w:eastAsia="宋体" w:hAnsi="Helvetica" w:cs="Helvetica"/>
          <w:b/>
          <w:bCs/>
          <w:color w:val="333333"/>
          <w:kern w:val="0"/>
          <w:sz w:val="27"/>
          <w:szCs w:val="27"/>
          <w:lang w:val="en"/>
        </w:rPr>
        <w:t>Premarket Notification Requirements </w:t>
      </w:r>
    </w:p>
    <w:p w:rsidR="005B2E09" w:rsidRPr="005B2E09" w:rsidRDefault="005B2E09" w:rsidP="005B2E09">
      <w:pPr>
        <w:widowControl/>
        <w:jc w:val="left"/>
        <w:rPr>
          <w:rFonts w:ascii="Helvetica" w:eastAsia="宋体" w:hAnsi="Helvetica" w:cs="Helvetica"/>
          <w:color w:val="333333"/>
          <w:kern w:val="0"/>
          <w:sz w:val="24"/>
          <w:szCs w:val="24"/>
          <w:lang w:val="en"/>
        </w:rPr>
      </w:pPr>
      <w:r w:rsidRPr="005B2E09">
        <w:rPr>
          <w:rFonts w:ascii="Helvetica" w:eastAsia="宋体" w:hAnsi="Helvetica" w:cs="Helvetica"/>
          <w:color w:val="333333"/>
          <w:kern w:val="0"/>
          <w:sz w:val="24"/>
          <w:szCs w:val="24"/>
          <w:lang w:val="en"/>
        </w:rPr>
        <w:t>FDA has determined that premarket notification is necessary to provide reasonable assurance of the safety and effectiveness of this generic type of device, and therefore, the device type is not exempt from the premarket notification requirements. Thus, persons who intend to market a device of this type needs to submit a premarket notification to FDA and receive agency clearance prior to marketing the device.</w:t>
      </w:r>
    </w:p>
    <w:p w:rsidR="00D07A6B" w:rsidRPr="005B2E09" w:rsidRDefault="005B2E09">
      <w:pPr>
        <w:rPr>
          <w:lang w:val="en"/>
        </w:rPr>
      </w:pPr>
      <w:r w:rsidRPr="005B2E09">
        <w:rPr>
          <w:lang w:val="en"/>
        </w:rPr>
        <w:t>https://www.fda.gov/MedicalDevices/DeviceRegulationandGuidance/GuidanceDocuments/ucm073731.htm</w:t>
      </w:r>
      <w:bookmarkStart w:id="0" w:name="_GoBack"/>
      <w:bookmarkEnd w:id="0"/>
    </w:p>
    <w:sectPr w:rsidR="00D07A6B" w:rsidRPr="005B2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1A" w:rsidRDefault="00D5031A" w:rsidP="005B2E09">
      <w:r>
        <w:separator/>
      </w:r>
    </w:p>
  </w:endnote>
  <w:endnote w:type="continuationSeparator" w:id="0">
    <w:p w:rsidR="00D5031A" w:rsidRDefault="00D5031A" w:rsidP="005B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1A" w:rsidRDefault="00D5031A" w:rsidP="005B2E09">
      <w:r>
        <w:separator/>
      </w:r>
    </w:p>
  </w:footnote>
  <w:footnote w:type="continuationSeparator" w:id="0">
    <w:p w:rsidR="00D5031A" w:rsidRDefault="00D5031A" w:rsidP="005B2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52C0"/>
    <w:multiLevelType w:val="multilevel"/>
    <w:tmpl w:val="BAE2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85B53"/>
    <w:multiLevelType w:val="multilevel"/>
    <w:tmpl w:val="6CB83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96"/>
    <w:rsid w:val="005B2E09"/>
    <w:rsid w:val="00A24196"/>
    <w:rsid w:val="00D07A6B"/>
    <w:rsid w:val="00D5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2E09"/>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5B2E09"/>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5B2E09"/>
    <w:pPr>
      <w:widowControl/>
      <w:spacing w:before="330" w:after="165"/>
      <w:jc w:val="left"/>
      <w:outlineLvl w:val="3"/>
    </w:pPr>
    <w:rPr>
      <w:rFonts w:ascii="Helvetica" w:eastAsia="宋体" w:hAnsi="Helvetica" w:cs="Helvetica"/>
      <w:b/>
      <w:bCs/>
      <w:kern w:val="0"/>
      <w:sz w:val="27"/>
      <w:szCs w:val="27"/>
    </w:rPr>
  </w:style>
  <w:style w:type="paragraph" w:styleId="5">
    <w:name w:val="heading 5"/>
    <w:basedOn w:val="a"/>
    <w:link w:val="5Char"/>
    <w:uiPriority w:val="9"/>
    <w:qFormat/>
    <w:rsid w:val="005B2E09"/>
    <w:pPr>
      <w:widowControl/>
      <w:spacing w:before="330" w:after="165"/>
      <w:jc w:val="left"/>
      <w:outlineLvl w:val="4"/>
    </w:pPr>
    <w:rPr>
      <w:rFonts w:ascii="Helvetica" w:eastAsia="宋体" w:hAnsi="Helvetica" w:cs="Helvetic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E09"/>
    <w:rPr>
      <w:sz w:val="18"/>
      <w:szCs w:val="18"/>
    </w:rPr>
  </w:style>
  <w:style w:type="paragraph" w:styleId="a4">
    <w:name w:val="footer"/>
    <w:basedOn w:val="a"/>
    <w:link w:val="Char0"/>
    <w:uiPriority w:val="99"/>
    <w:unhideWhenUsed/>
    <w:rsid w:val="005B2E09"/>
    <w:pPr>
      <w:tabs>
        <w:tab w:val="center" w:pos="4153"/>
        <w:tab w:val="right" w:pos="8306"/>
      </w:tabs>
      <w:snapToGrid w:val="0"/>
      <w:jc w:val="left"/>
    </w:pPr>
    <w:rPr>
      <w:sz w:val="18"/>
      <w:szCs w:val="18"/>
    </w:rPr>
  </w:style>
  <w:style w:type="character" w:customStyle="1" w:styleId="Char0">
    <w:name w:val="页脚 Char"/>
    <w:basedOn w:val="a0"/>
    <w:link w:val="a4"/>
    <w:uiPriority w:val="99"/>
    <w:rsid w:val="005B2E09"/>
    <w:rPr>
      <w:sz w:val="18"/>
      <w:szCs w:val="18"/>
    </w:rPr>
  </w:style>
  <w:style w:type="character" w:customStyle="1" w:styleId="1Char">
    <w:name w:val="标题 1 Char"/>
    <w:basedOn w:val="a0"/>
    <w:link w:val="1"/>
    <w:uiPriority w:val="9"/>
    <w:rsid w:val="005B2E09"/>
    <w:rPr>
      <w:rFonts w:ascii="Helvetica" w:eastAsia="宋体" w:hAnsi="Helvetica" w:cs="Helvetica"/>
      <w:b/>
      <w:bCs/>
      <w:kern w:val="36"/>
      <w:sz w:val="45"/>
      <w:szCs w:val="45"/>
    </w:rPr>
  </w:style>
  <w:style w:type="character" w:customStyle="1" w:styleId="3Char">
    <w:name w:val="标题 3 Char"/>
    <w:basedOn w:val="a0"/>
    <w:link w:val="3"/>
    <w:uiPriority w:val="9"/>
    <w:rsid w:val="005B2E09"/>
    <w:rPr>
      <w:rFonts w:ascii="Helvetica" w:eastAsia="宋体" w:hAnsi="Helvetica" w:cs="Helvetica"/>
      <w:b/>
      <w:bCs/>
      <w:kern w:val="0"/>
      <w:sz w:val="32"/>
      <w:szCs w:val="32"/>
    </w:rPr>
  </w:style>
  <w:style w:type="character" w:customStyle="1" w:styleId="4Char">
    <w:name w:val="标题 4 Char"/>
    <w:basedOn w:val="a0"/>
    <w:link w:val="4"/>
    <w:uiPriority w:val="9"/>
    <w:rsid w:val="005B2E09"/>
    <w:rPr>
      <w:rFonts w:ascii="Helvetica" w:eastAsia="宋体" w:hAnsi="Helvetica" w:cs="Helvetica"/>
      <w:b/>
      <w:bCs/>
      <w:kern w:val="0"/>
      <w:sz w:val="27"/>
      <w:szCs w:val="27"/>
    </w:rPr>
  </w:style>
  <w:style w:type="character" w:customStyle="1" w:styleId="5Char">
    <w:name w:val="标题 5 Char"/>
    <w:basedOn w:val="a0"/>
    <w:link w:val="5"/>
    <w:uiPriority w:val="9"/>
    <w:rsid w:val="005B2E09"/>
    <w:rPr>
      <w:rFonts w:ascii="Helvetica" w:eastAsia="宋体" w:hAnsi="Helvetica" w:cs="Helvetica"/>
      <w:b/>
      <w:bCs/>
      <w:kern w:val="0"/>
      <w:sz w:val="24"/>
      <w:szCs w:val="24"/>
    </w:rPr>
  </w:style>
  <w:style w:type="character" w:styleId="a5">
    <w:name w:val="Hyperlink"/>
    <w:basedOn w:val="a0"/>
    <w:uiPriority w:val="99"/>
    <w:semiHidden/>
    <w:unhideWhenUsed/>
    <w:rsid w:val="005B2E09"/>
    <w:rPr>
      <w:strike w:val="0"/>
      <w:dstrike w:val="0"/>
      <w:color w:val="005F9F"/>
      <w:u w:val="none"/>
      <w:effect w:val="none"/>
    </w:rPr>
  </w:style>
  <w:style w:type="character" w:styleId="a6">
    <w:name w:val="Strong"/>
    <w:basedOn w:val="a0"/>
    <w:uiPriority w:val="22"/>
    <w:qFormat/>
    <w:rsid w:val="005B2E09"/>
    <w:rPr>
      <w:b/>
      <w:bCs/>
    </w:rPr>
  </w:style>
  <w:style w:type="paragraph" w:styleId="a7">
    <w:name w:val="Normal (Web)"/>
    <w:basedOn w:val="a"/>
    <w:uiPriority w:val="99"/>
    <w:unhideWhenUsed/>
    <w:rsid w:val="005B2E09"/>
    <w:pPr>
      <w:widowControl/>
      <w:jc w:val="left"/>
    </w:pPr>
    <w:rPr>
      <w:rFonts w:ascii="宋体" w:eastAsia="宋体" w:hAnsi="宋体" w:cs="宋体"/>
      <w:kern w:val="0"/>
      <w:sz w:val="24"/>
      <w:szCs w:val="24"/>
    </w:rPr>
  </w:style>
  <w:style w:type="character" w:customStyle="1" w:styleId="sr-only1">
    <w:name w:val="sr-only1"/>
    <w:basedOn w:val="a0"/>
    <w:rsid w:val="005B2E09"/>
    <w:rPr>
      <w:color w:val="000000"/>
      <w:bdr w:val="none" w:sz="0" w:space="0" w:color="auto" w:frame="1"/>
    </w:rPr>
  </w:style>
  <w:style w:type="paragraph" w:styleId="a8">
    <w:name w:val="Balloon Text"/>
    <w:basedOn w:val="a"/>
    <w:link w:val="Char1"/>
    <w:uiPriority w:val="99"/>
    <w:semiHidden/>
    <w:unhideWhenUsed/>
    <w:rsid w:val="005B2E09"/>
    <w:rPr>
      <w:sz w:val="18"/>
      <w:szCs w:val="18"/>
    </w:rPr>
  </w:style>
  <w:style w:type="character" w:customStyle="1" w:styleId="Char1">
    <w:name w:val="批注框文本 Char"/>
    <w:basedOn w:val="a0"/>
    <w:link w:val="a8"/>
    <w:uiPriority w:val="99"/>
    <w:semiHidden/>
    <w:rsid w:val="005B2E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2E09"/>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5B2E09"/>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5B2E09"/>
    <w:pPr>
      <w:widowControl/>
      <w:spacing w:before="330" w:after="165"/>
      <w:jc w:val="left"/>
      <w:outlineLvl w:val="3"/>
    </w:pPr>
    <w:rPr>
      <w:rFonts w:ascii="Helvetica" w:eastAsia="宋体" w:hAnsi="Helvetica" w:cs="Helvetica"/>
      <w:b/>
      <w:bCs/>
      <w:kern w:val="0"/>
      <w:sz w:val="27"/>
      <w:szCs w:val="27"/>
    </w:rPr>
  </w:style>
  <w:style w:type="paragraph" w:styleId="5">
    <w:name w:val="heading 5"/>
    <w:basedOn w:val="a"/>
    <w:link w:val="5Char"/>
    <w:uiPriority w:val="9"/>
    <w:qFormat/>
    <w:rsid w:val="005B2E09"/>
    <w:pPr>
      <w:widowControl/>
      <w:spacing w:before="330" w:after="165"/>
      <w:jc w:val="left"/>
      <w:outlineLvl w:val="4"/>
    </w:pPr>
    <w:rPr>
      <w:rFonts w:ascii="Helvetica" w:eastAsia="宋体" w:hAnsi="Helvetica" w:cs="Helvetic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E09"/>
    <w:rPr>
      <w:sz w:val="18"/>
      <w:szCs w:val="18"/>
    </w:rPr>
  </w:style>
  <w:style w:type="paragraph" w:styleId="a4">
    <w:name w:val="footer"/>
    <w:basedOn w:val="a"/>
    <w:link w:val="Char0"/>
    <w:uiPriority w:val="99"/>
    <w:unhideWhenUsed/>
    <w:rsid w:val="005B2E09"/>
    <w:pPr>
      <w:tabs>
        <w:tab w:val="center" w:pos="4153"/>
        <w:tab w:val="right" w:pos="8306"/>
      </w:tabs>
      <w:snapToGrid w:val="0"/>
      <w:jc w:val="left"/>
    </w:pPr>
    <w:rPr>
      <w:sz w:val="18"/>
      <w:szCs w:val="18"/>
    </w:rPr>
  </w:style>
  <w:style w:type="character" w:customStyle="1" w:styleId="Char0">
    <w:name w:val="页脚 Char"/>
    <w:basedOn w:val="a0"/>
    <w:link w:val="a4"/>
    <w:uiPriority w:val="99"/>
    <w:rsid w:val="005B2E09"/>
    <w:rPr>
      <w:sz w:val="18"/>
      <w:szCs w:val="18"/>
    </w:rPr>
  </w:style>
  <w:style w:type="character" w:customStyle="1" w:styleId="1Char">
    <w:name w:val="标题 1 Char"/>
    <w:basedOn w:val="a0"/>
    <w:link w:val="1"/>
    <w:uiPriority w:val="9"/>
    <w:rsid w:val="005B2E09"/>
    <w:rPr>
      <w:rFonts w:ascii="Helvetica" w:eastAsia="宋体" w:hAnsi="Helvetica" w:cs="Helvetica"/>
      <w:b/>
      <w:bCs/>
      <w:kern w:val="36"/>
      <w:sz w:val="45"/>
      <w:szCs w:val="45"/>
    </w:rPr>
  </w:style>
  <w:style w:type="character" w:customStyle="1" w:styleId="3Char">
    <w:name w:val="标题 3 Char"/>
    <w:basedOn w:val="a0"/>
    <w:link w:val="3"/>
    <w:uiPriority w:val="9"/>
    <w:rsid w:val="005B2E09"/>
    <w:rPr>
      <w:rFonts w:ascii="Helvetica" w:eastAsia="宋体" w:hAnsi="Helvetica" w:cs="Helvetica"/>
      <w:b/>
      <w:bCs/>
      <w:kern w:val="0"/>
      <w:sz w:val="32"/>
      <w:szCs w:val="32"/>
    </w:rPr>
  </w:style>
  <w:style w:type="character" w:customStyle="1" w:styleId="4Char">
    <w:name w:val="标题 4 Char"/>
    <w:basedOn w:val="a0"/>
    <w:link w:val="4"/>
    <w:uiPriority w:val="9"/>
    <w:rsid w:val="005B2E09"/>
    <w:rPr>
      <w:rFonts w:ascii="Helvetica" w:eastAsia="宋体" w:hAnsi="Helvetica" w:cs="Helvetica"/>
      <w:b/>
      <w:bCs/>
      <w:kern w:val="0"/>
      <w:sz w:val="27"/>
      <w:szCs w:val="27"/>
    </w:rPr>
  </w:style>
  <w:style w:type="character" w:customStyle="1" w:styleId="5Char">
    <w:name w:val="标题 5 Char"/>
    <w:basedOn w:val="a0"/>
    <w:link w:val="5"/>
    <w:uiPriority w:val="9"/>
    <w:rsid w:val="005B2E09"/>
    <w:rPr>
      <w:rFonts w:ascii="Helvetica" w:eastAsia="宋体" w:hAnsi="Helvetica" w:cs="Helvetica"/>
      <w:b/>
      <w:bCs/>
      <w:kern w:val="0"/>
      <w:sz w:val="24"/>
      <w:szCs w:val="24"/>
    </w:rPr>
  </w:style>
  <w:style w:type="character" w:styleId="a5">
    <w:name w:val="Hyperlink"/>
    <w:basedOn w:val="a0"/>
    <w:uiPriority w:val="99"/>
    <w:semiHidden/>
    <w:unhideWhenUsed/>
    <w:rsid w:val="005B2E09"/>
    <w:rPr>
      <w:strike w:val="0"/>
      <w:dstrike w:val="0"/>
      <w:color w:val="005F9F"/>
      <w:u w:val="none"/>
      <w:effect w:val="none"/>
    </w:rPr>
  </w:style>
  <w:style w:type="character" w:styleId="a6">
    <w:name w:val="Strong"/>
    <w:basedOn w:val="a0"/>
    <w:uiPriority w:val="22"/>
    <w:qFormat/>
    <w:rsid w:val="005B2E09"/>
    <w:rPr>
      <w:b/>
      <w:bCs/>
    </w:rPr>
  </w:style>
  <w:style w:type="paragraph" w:styleId="a7">
    <w:name w:val="Normal (Web)"/>
    <w:basedOn w:val="a"/>
    <w:uiPriority w:val="99"/>
    <w:unhideWhenUsed/>
    <w:rsid w:val="005B2E09"/>
    <w:pPr>
      <w:widowControl/>
      <w:jc w:val="left"/>
    </w:pPr>
    <w:rPr>
      <w:rFonts w:ascii="宋体" w:eastAsia="宋体" w:hAnsi="宋体" w:cs="宋体"/>
      <w:kern w:val="0"/>
      <w:sz w:val="24"/>
      <w:szCs w:val="24"/>
    </w:rPr>
  </w:style>
  <w:style w:type="character" w:customStyle="1" w:styleId="sr-only1">
    <w:name w:val="sr-only1"/>
    <w:basedOn w:val="a0"/>
    <w:rsid w:val="005B2E09"/>
    <w:rPr>
      <w:color w:val="000000"/>
      <w:bdr w:val="none" w:sz="0" w:space="0" w:color="auto" w:frame="1"/>
    </w:rPr>
  </w:style>
  <w:style w:type="paragraph" w:styleId="a8">
    <w:name w:val="Balloon Text"/>
    <w:basedOn w:val="a"/>
    <w:link w:val="Char1"/>
    <w:uiPriority w:val="99"/>
    <w:semiHidden/>
    <w:unhideWhenUsed/>
    <w:rsid w:val="005B2E09"/>
    <w:rPr>
      <w:sz w:val="18"/>
      <w:szCs w:val="18"/>
    </w:rPr>
  </w:style>
  <w:style w:type="character" w:customStyle="1" w:styleId="Char1">
    <w:name w:val="批注框文本 Char"/>
    <w:basedOn w:val="a0"/>
    <w:link w:val="a8"/>
    <w:uiPriority w:val="99"/>
    <w:semiHidden/>
    <w:rsid w:val="005B2E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6325">
      <w:bodyDiv w:val="1"/>
      <w:marLeft w:val="0"/>
      <w:marRight w:val="0"/>
      <w:marTop w:val="0"/>
      <w:marBottom w:val="0"/>
      <w:divBdr>
        <w:top w:val="none" w:sz="0" w:space="0" w:color="auto"/>
        <w:left w:val="none" w:sz="0" w:space="0" w:color="auto"/>
        <w:bottom w:val="none" w:sz="0" w:space="0" w:color="auto"/>
        <w:right w:val="none" w:sz="0" w:space="0" w:color="auto"/>
      </w:divBdr>
      <w:divsChild>
        <w:div w:id="395593061">
          <w:marLeft w:val="0"/>
          <w:marRight w:val="0"/>
          <w:marTop w:val="0"/>
          <w:marBottom w:val="0"/>
          <w:divBdr>
            <w:top w:val="none" w:sz="0" w:space="0" w:color="auto"/>
            <w:left w:val="none" w:sz="0" w:space="0" w:color="auto"/>
            <w:bottom w:val="none" w:sz="0" w:space="0" w:color="auto"/>
            <w:right w:val="none" w:sz="0" w:space="0" w:color="auto"/>
          </w:divBdr>
          <w:divsChild>
            <w:div w:id="1320766560">
              <w:marLeft w:val="0"/>
              <w:marRight w:val="0"/>
              <w:marTop w:val="0"/>
              <w:marBottom w:val="0"/>
              <w:divBdr>
                <w:top w:val="none" w:sz="0" w:space="0" w:color="auto"/>
                <w:left w:val="none" w:sz="0" w:space="0" w:color="auto"/>
                <w:bottom w:val="none" w:sz="0" w:space="0" w:color="auto"/>
                <w:right w:val="none" w:sz="0" w:space="0" w:color="auto"/>
              </w:divBdr>
              <w:divsChild>
                <w:div w:id="382562764">
                  <w:marLeft w:val="0"/>
                  <w:marRight w:val="0"/>
                  <w:marTop w:val="0"/>
                  <w:marBottom w:val="0"/>
                  <w:divBdr>
                    <w:top w:val="none" w:sz="0" w:space="0" w:color="auto"/>
                    <w:left w:val="none" w:sz="0" w:space="0" w:color="auto"/>
                    <w:bottom w:val="none" w:sz="0" w:space="0" w:color="auto"/>
                    <w:right w:val="none" w:sz="0" w:space="0" w:color="auto"/>
                  </w:divBdr>
                  <w:divsChild>
                    <w:div w:id="1423183650">
                      <w:marLeft w:val="0"/>
                      <w:marRight w:val="0"/>
                      <w:marTop w:val="0"/>
                      <w:marBottom w:val="0"/>
                      <w:divBdr>
                        <w:top w:val="none" w:sz="0" w:space="0" w:color="auto"/>
                        <w:left w:val="none" w:sz="0" w:space="0" w:color="auto"/>
                        <w:bottom w:val="none" w:sz="0" w:space="0" w:color="auto"/>
                        <w:right w:val="none" w:sz="0" w:space="0" w:color="auto"/>
                      </w:divBdr>
                      <w:divsChild>
                        <w:div w:id="2033455074">
                          <w:marLeft w:val="0"/>
                          <w:marRight w:val="0"/>
                          <w:marTop w:val="0"/>
                          <w:marBottom w:val="0"/>
                          <w:divBdr>
                            <w:top w:val="none" w:sz="0" w:space="0" w:color="auto"/>
                            <w:left w:val="none" w:sz="0" w:space="0" w:color="auto"/>
                            <w:bottom w:val="none" w:sz="0" w:space="0" w:color="auto"/>
                            <w:right w:val="none" w:sz="0" w:space="0" w:color="auto"/>
                          </w:divBdr>
                          <w:divsChild>
                            <w:div w:id="1018581614">
                              <w:marLeft w:val="0"/>
                              <w:marRight w:val="0"/>
                              <w:marTop w:val="0"/>
                              <w:marBottom w:val="0"/>
                              <w:divBdr>
                                <w:top w:val="none" w:sz="0" w:space="0" w:color="auto"/>
                                <w:left w:val="none" w:sz="0" w:space="0" w:color="auto"/>
                                <w:bottom w:val="none" w:sz="0" w:space="0" w:color="auto"/>
                                <w:right w:val="none" w:sz="0" w:space="0" w:color="auto"/>
                              </w:divBdr>
                              <w:divsChild>
                                <w:div w:id="415715462">
                                  <w:marLeft w:val="-225"/>
                                  <w:marRight w:val="-225"/>
                                  <w:marTop w:val="0"/>
                                  <w:marBottom w:val="0"/>
                                  <w:divBdr>
                                    <w:top w:val="none" w:sz="0" w:space="0" w:color="auto"/>
                                    <w:left w:val="none" w:sz="0" w:space="0" w:color="auto"/>
                                    <w:bottom w:val="none" w:sz="0" w:space="0" w:color="auto"/>
                                    <w:right w:val="none" w:sz="0" w:space="0" w:color="auto"/>
                                  </w:divBdr>
                                  <w:divsChild>
                                    <w:div w:id="32854399">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1040205989">
                                              <w:marLeft w:val="-225"/>
                                              <w:marRight w:val="-225"/>
                                              <w:marTop w:val="0"/>
                                              <w:marBottom w:val="0"/>
                                              <w:divBdr>
                                                <w:top w:val="none" w:sz="0" w:space="0" w:color="auto"/>
                                                <w:left w:val="none" w:sz="0" w:space="0" w:color="auto"/>
                                                <w:bottom w:val="none" w:sz="0" w:space="0" w:color="auto"/>
                                                <w:right w:val="none" w:sz="0" w:space="0" w:color="auto"/>
                                              </w:divBdr>
                                              <w:divsChild>
                                                <w:div w:id="18150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3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73731.htm" TargetMode="External"/><Relationship Id="rId13" Type="http://schemas.openxmlformats.org/officeDocument/2006/relationships/hyperlink" Target="https://www.linkedin.com/shareArticle?mini=true&amp;url=https%3a%2f%2fwww.fda.gov%3a80%2fFDAgov%2fMedicalDevices%2fDeviceRegulationandGuidance%2fGuidanceDocuments%2fucm073731.htm&amp;title=Guidance%20for%20Industry%20and%20FDA%20Reviewers%20-%20Class%20II%20Special%20Controls%20Guidance%20Document%20for%20Clitoral%20Engorgement%20Devices&amp;summary=1144&amp;source=FDA" TargetMode="External"/><Relationship Id="rId18" Type="http://schemas.openxmlformats.org/officeDocument/2006/relationships/hyperlink" Target="mailto:julia.corrado@fda.hhs.go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73731.htm"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73731.htm&amp;description=Guidance%20for%20Industry%20and%20FDA%20Reviewers%20-%20Class%20II%20Special%20Controls%20Guidance%20Document%20for%20Clitoral%20Engorgement%20Devices" TargetMode="External"/><Relationship Id="rId5" Type="http://schemas.openxmlformats.org/officeDocument/2006/relationships/webSettings" Target="webSettings.xml"/><Relationship Id="rId15" Type="http://schemas.openxmlformats.org/officeDocument/2006/relationships/hyperlink" Target="mailto:?subject=Guidance%20for%20Industry%20and%20FDA%20Reviewers%20-%20Class%20II%20Special%20Controls%20Guidance%20Document%20for%20Clitoral%20Engorgement%20Devices&amp;body=https%3a%2f%2fwww.fda.gov%3a80%2fFDAgov%2fMedicalDevices%2fDeviceRegulationandGuidance%2fGuidanceDocuments%2fucm073731.htm" TargetMode="External"/><Relationship Id="rId10" Type="http://schemas.openxmlformats.org/officeDocument/2006/relationships/hyperlink" Target="https://www.linkedin.com/shareArticle?mini=true&amp;url=https%3a%2f%2fwww.fda.gov%3a80%2fFDAgov%2fMedicalDevices%2fDeviceRegulationandGuidance%2fGuidanceDocuments%2fucm073731.htm&amp;title=Guidance%20for%20Industry%20and%20FDA%20Reviewers%20-%20Class%20II%20Special%20Controls%20Guidance%20Document%20for%20Clitoral%20Engorgement%20Devices&amp;summary=1144&amp;source=FDA" TargetMode="External"/><Relationship Id="rId19" Type="http://schemas.openxmlformats.org/officeDocument/2006/relationships/hyperlink" Target="mailto:CDRH-Guidance@fda.hhs.gov" TargetMode="External"/><Relationship Id="rId4" Type="http://schemas.openxmlformats.org/officeDocument/2006/relationships/settings" Target="settings.xml"/><Relationship Id="rId9" Type="http://schemas.openxmlformats.org/officeDocument/2006/relationships/hyperlink" Target="https://twitter.com/intent/tweet/?text=Guidance%20for%20Industry%20and%20FDA%20Reviewers%20-%20Class%20II%20Special%20Controls%20Guidance%20Document%20for%20Clitoral%20Engorgement%20Devices&amp;url=https%3a%2f%2fwww.fda.gov%3a80%2fFDAgov%2fMedicalDevices%2fDeviceRegulationandGuidance%2fGuidanceDocuments%2fucm073731.htm" TargetMode="External"/><Relationship Id="rId14" Type="http://schemas.openxmlformats.org/officeDocument/2006/relationships/hyperlink" Target="https://www.pinterest.com/pin/create/button/?url=https%3a%2f%2fwww.fda.gov%3a80%2fFDAgov%2fMedicalDevices%2fDeviceRegulationandGuidance%2fGuidanceDocuments%2fucm073731.htm&amp;description=Guidance%20for%20Industry%20and%20FDA%20Reviewers%20-%20Class%20II%20Special%20Controls%20Guidance%20Document%20for%20Clitoral%20Engorgement%20Devi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2017-02-22T10:03:00Z</dcterms:created>
  <dcterms:modified xsi:type="dcterms:W3CDTF">2017-02-22T10:03:00Z</dcterms:modified>
</cp:coreProperties>
</file>