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4223" w14:textId="77777777" w:rsidR="00D33511" w:rsidRDefault="0086799F">
      <w:pPr>
        <w:pBdr>
          <w:bottom w:val="single" w:sz="4" w:space="1" w:color="auto"/>
        </w:pBdr>
        <w:spacing w:before="120"/>
        <w:jc w:val="center"/>
        <w:rPr>
          <w:b/>
          <w:bCs/>
          <w:sz w:val="44"/>
          <w:szCs w:val="44"/>
          <w:lang w:eastAsia="zh-CN"/>
        </w:rPr>
      </w:pPr>
      <w:r>
        <w:rPr>
          <w:rFonts w:cs="宋体"/>
          <w:b/>
          <w:sz w:val="44"/>
          <w:lang w:eastAsia="zh-CN"/>
        </w:rPr>
        <w:t>用于支持医疗器械的监管决策</w:t>
      </w:r>
      <w:r>
        <w:rPr>
          <w:rFonts w:cs="宋体" w:hint="eastAsia"/>
          <w:b/>
          <w:sz w:val="44"/>
          <w:lang w:eastAsia="zh-CN"/>
        </w:rPr>
        <w:t>的</w:t>
      </w:r>
      <w:r>
        <w:rPr>
          <w:rFonts w:cs="宋体"/>
          <w:b/>
          <w:sz w:val="44"/>
          <w:lang w:eastAsia="zh-CN"/>
        </w:rPr>
        <w:t>真实世界证据</w:t>
      </w:r>
    </w:p>
    <w:p w14:paraId="11FA1734" w14:textId="5AEEDB72" w:rsidR="00D33511" w:rsidRDefault="0086799F">
      <w:pPr>
        <w:spacing w:before="120"/>
        <w:jc w:val="center"/>
        <w:rPr>
          <w:b/>
          <w:bCs/>
          <w:sz w:val="44"/>
          <w:szCs w:val="44"/>
          <w:lang w:eastAsia="zh-CN"/>
        </w:rPr>
      </w:pPr>
      <w:r>
        <w:rPr>
          <w:rFonts w:cs="宋体"/>
          <w:b/>
          <w:sz w:val="44"/>
          <w:lang w:eastAsia="zh-CN"/>
        </w:rPr>
        <w:t>行业和</w:t>
      </w:r>
      <w:r w:rsidR="002E064B">
        <w:rPr>
          <w:rFonts w:cs="宋体"/>
          <w:b/>
          <w:sz w:val="44"/>
          <w:lang w:eastAsia="zh-CN"/>
        </w:rPr>
        <w:t>美国食品药品监督管理局</w:t>
      </w:r>
      <w:r>
        <w:rPr>
          <w:rFonts w:cs="宋体"/>
          <w:b/>
          <w:sz w:val="44"/>
          <w:lang w:eastAsia="zh-CN"/>
        </w:rPr>
        <w:t>工作人员指南</w:t>
      </w:r>
    </w:p>
    <w:p w14:paraId="4258DB3D" w14:textId="77777777" w:rsidR="00D33511" w:rsidRDefault="0086799F">
      <w:pPr>
        <w:spacing w:before="120"/>
        <w:jc w:val="center"/>
        <w:rPr>
          <w:b/>
          <w:bCs/>
          <w:lang w:eastAsia="zh-CN"/>
        </w:rPr>
      </w:pPr>
      <w:r>
        <w:rPr>
          <w:rFonts w:cs="宋体" w:hint="eastAsia"/>
          <w:b/>
          <w:lang w:eastAsia="zh-CN"/>
        </w:rPr>
        <w:t>本</w:t>
      </w:r>
      <w:r>
        <w:rPr>
          <w:rFonts w:cs="宋体"/>
          <w:b/>
          <w:lang w:eastAsia="zh-CN"/>
        </w:rPr>
        <w:t>文件发布日期：</w:t>
      </w:r>
      <w:r>
        <w:rPr>
          <w:rFonts w:cs="宋体"/>
          <w:b/>
          <w:lang w:eastAsia="zh-CN"/>
        </w:rPr>
        <w:t>2017</w:t>
      </w:r>
      <w:r>
        <w:rPr>
          <w:rFonts w:cs="宋体"/>
          <w:b/>
          <w:lang w:eastAsia="zh-CN"/>
        </w:rPr>
        <w:t>年</w:t>
      </w:r>
      <w:r>
        <w:rPr>
          <w:rFonts w:cs="宋体"/>
          <w:b/>
          <w:lang w:eastAsia="zh-CN"/>
        </w:rPr>
        <w:t>8</w:t>
      </w:r>
      <w:r>
        <w:rPr>
          <w:rFonts w:cs="宋体"/>
          <w:b/>
          <w:lang w:eastAsia="zh-CN"/>
        </w:rPr>
        <w:t>月</w:t>
      </w:r>
      <w:r>
        <w:rPr>
          <w:rFonts w:cs="宋体"/>
          <w:b/>
          <w:lang w:eastAsia="zh-CN"/>
        </w:rPr>
        <w:t>31</w:t>
      </w:r>
      <w:r>
        <w:rPr>
          <w:rFonts w:cs="宋体"/>
          <w:b/>
          <w:lang w:eastAsia="zh-CN"/>
        </w:rPr>
        <w:t>日</w:t>
      </w:r>
    </w:p>
    <w:p w14:paraId="65DF9996" w14:textId="77777777" w:rsidR="00D33511" w:rsidRDefault="00D33511">
      <w:pPr>
        <w:spacing w:before="120"/>
        <w:jc w:val="center"/>
        <w:rPr>
          <w:lang w:eastAsia="zh-CN"/>
        </w:rPr>
      </w:pPr>
    </w:p>
    <w:p w14:paraId="4E13F4F2" w14:textId="77777777" w:rsidR="00D33511" w:rsidRDefault="0086799F">
      <w:pPr>
        <w:spacing w:before="120"/>
        <w:jc w:val="center"/>
        <w:rPr>
          <w:b/>
          <w:bCs/>
          <w:lang w:eastAsia="zh-CN"/>
        </w:rPr>
      </w:pPr>
      <w:r>
        <w:rPr>
          <w:rFonts w:cs="宋体"/>
          <w:b/>
          <w:lang w:eastAsia="zh-CN"/>
        </w:rPr>
        <w:t>本文件草案发布日期：</w:t>
      </w:r>
      <w:r>
        <w:rPr>
          <w:rFonts w:cs="宋体"/>
          <w:b/>
          <w:lang w:eastAsia="zh-CN"/>
        </w:rPr>
        <w:t>2016</w:t>
      </w:r>
      <w:r>
        <w:rPr>
          <w:rFonts w:cs="宋体"/>
          <w:b/>
          <w:lang w:eastAsia="zh-CN"/>
        </w:rPr>
        <w:t>年</w:t>
      </w:r>
      <w:r>
        <w:rPr>
          <w:rFonts w:cs="宋体"/>
          <w:b/>
          <w:lang w:eastAsia="zh-CN"/>
        </w:rPr>
        <w:t>7</w:t>
      </w:r>
      <w:r>
        <w:rPr>
          <w:rFonts w:cs="宋体"/>
          <w:b/>
          <w:lang w:eastAsia="zh-CN"/>
        </w:rPr>
        <w:t>月</w:t>
      </w:r>
      <w:r>
        <w:rPr>
          <w:rFonts w:cs="宋体"/>
          <w:b/>
          <w:lang w:eastAsia="zh-CN"/>
        </w:rPr>
        <w:t>27</w:t>
      </w:r>
      <w:r>
        <w:rPr>
          <w:rFonts w:cs="宋体"/>
          <w:b/>
          <w:lang w:eastAsia="zh-CN"/>
        </w:rPr>
        <w:t>日</w:t>
      </w:r>
    </w:p>
    <w:p w14:paraId="6EA8BF81" w14:textId="77777777" w:rsidR="00D33511" w:rsidRDefault="00D33511">
      <w:pPr>
        <w:spacing w:before="120"/>
        <w:rPr>
          <w:lang w:eastAsia="zh-CN"/>
        </w:rPr>
      </w:pPr>
    </w:p>
    <w:p w14:paraId="5AC79EAA" w14:textId="77777777" w:rsidR="00D33511" w:rsidRDefault="0086799F">
      <w:pPr>
        <w:spacing w:before="120"/>
        <w:rPr>
          <w:lang w:eastAsia="zh-CN"/>
        </w:rPr>
      </w:pPr>
      <w:r>
        <w:rPr>
          <w:rFonts w:cs="宋体"/>
        </w:rPr>
        <w:t>如果您对由</w:t>
      </w:r>
      <w:r>
        <w:rPr>
          <w:rFonts w:cs="宋体"/>
        </w:rPr>
        <w:t>CDRH</w:t>
      </w:r>
      <w:r>
        <w:rPr>
          <w:rFonts w:cs="宋体"/>
        </w:rPr>
        <w:t>监管的器械存有疑问，</w:t>
      </w:r>
      <w:hyperlink r:id="rId10" w:history="1">
        <w:r>
          <w:t>请发送电子邮箱至</w:t>
        </w:r>
        <w:r>
          <w:rPr>
            <w:rStyle w:val="a7"/>
            <w:rFonts w:cs="宋体"/>
          </w:rPr>
          <w:t>CDRHClinicalEvidence@fda.hhs.gov</w:t>
        </w:r>
      </w:hyperlink>
      <w:r>
        <w:rPr>
          <w:rFonts w:cs="宋体" w:hint="eastAsia"/>
          <w:lang w:eastAsia="zh-CN"/>
        </w:rPr>
        <w:t>或致电</w:t>
      </w:r>
      <w:r>
        <w:rPr>
          <w:rFonts w:cs="宋体"/>
        </w:rPr>
        <w:t>301-796-5997</w:t>
      </w:r>
      <w:r>
        <w:rPr>
          <w:rFonts w:cs="宋体"/>
        </w:rPr>
        <w:t>联系监管与生物测定办公室（</w:t>
      </w:r>
      <w:r>
        <w:rPr>
          <w:rFonts w:cs="宋体"/>
        </w:rPr>
        <w:t>OSB</w:t>
      </w:r>
      <w:r>
        <w:rPr>
          <w:rFonts w:cs="宋体"/>
        </w:rPr>
        <w:t>）。</w:t>
      </w:r>
      <w:r>
        <w:rPr>
          <w:rFonts w:cs="宋体"/>
          <w:lang w:eastAsia="zh-CN"/>
        </w:rPr>
        <w:t>有关此文件中涉及</w:t>
      </w:r>
      <w:r>
        <w:rPr>
          <w:rFonts w:cs="宋体"/>
          <w:lang w:eastAsia="zh-CN"/>
        </w:rPr>
        <w:t>CBER</w:t>
      </w:r>
      <w:r>
        <w:rPr>
          <w:rFonts w:cs="宋体"/>
          <w:lang w:eastAsia="zh-CN"/>
        </w:rPr>
        <w:t>监管器械的问题，请联系交流、外联和</w:t>
      </w:r>
      <w:r>
        <w:rPr>
          <w:rFonts w:cs="宋体" w:hint="eastAsia"/>
          <w:lang w:eastAsia="zh-CN"/>
        </w:rPr>
        <w:t>发展</w:t>
      </w:r>
      <w:r>
        <w:rPr>
          <w:rFonts w:cs="宋体"/>
          <w:lang w:eastAsia="zh-CN"/>
        </w:rPr>
        <w:t>办公室（</w:t>
      </w:r>
      <w:r>
        <w:rPr>
          <w:rFonts w:cs="宋体"/>
          <w:lang w:eastAsia="zh-CN"/>
        </w:rPr>
        <w:t>OCOD</w:t>
      </w:r>
      <w:r>
        <w:rPr>
          <w:rFonts w:cs="宋体"/>
          <w:lang w:eastAsia="zh-CN"/>
        </w:rPr>
        <w:t>），电话：</w:t>
      </w:r>
      <w:r>
        <w:rPr>
          <w:rFonts w:cs="宋体"/>
          <w:lang w:eastAsia="zh-CN"/>
        </w:rPr>
        <w:t>1-800-835-4709</w:t>
      </w:r>
      <w:r>
        <w:rPr>
          <w:rFonts w:cs="宋体"/>
          <w:lang w:eastAsia="zh-CN"/>
        </w:rPr>
        <w:t>或</w:t>
      </w:r>
      <w:r>
        <w:rPr>
          <w:rFonts w:cs="宋体"/>
          <w:lang w:eastAsia="zh-CN"/>
        </w:rPr>
        <w:t>240-402-8010</w:t>
      </w:r>
      <w:r>
        <w:rPr>
          <w:rFonts w:cs="宋体"/>
          <w:lang w:eastAsia="zh-CN"/>
        </w:rPr>
        <w:t>。</w:t>
      </w:r>
    </w:p>
    <w:p w14:paraId="371EC1B1" w14:textId="77777777" w:rsidR="00D33511" w:rsidRDefault="00D33511">
      <w:pPr>
        <w:spacing w:before="120"/>
        <w:rPr>
          <w:lang w:eastAsia="zh-CN"/>
        </w:rPr>
      </w:pPr>
    </w:p>
    <w:p w14:paraId="31F9664A" w14:textId="77777777" w:rsidR="00D33511" w:rsidRDefault="00D33511">
      <w:pPr>
        <w:spacing w:before="120"/>
        <w:rPr>
          <w:lang w:eastAsia="zh-CN"/>
        </w:rPr>
      </w:pPr>
    </w:p>
    <w:p w14:paraId="47D5E732" w14:textId="77777777" w:rsidR="00D33511" w:rsidRDefault="00D33511">
      <w:pPr>
        <w:spacing w:before="120"/>
        <w:rPr>
          <w:lang w:eastAsia="zh-CN"/>
        </w:rPr>
      </w:pPr>
    </w:p>
    <w:p w14:paraId="7413397C" w14:textId="77777777" w:rsidR="00D33511" w:rsidRDefault="00D33511">
      <w:pPr>
        <w:spacing w:before="120"/>
        <w:rPr>
          <w:lang w:eastAsia="zh-CN"/>
        </w:rPr>
      </w:pPr>
    </w:p>
    <w:p w14:paraId="20913F76" w14:textId="77777777" w:rsidR="00D33511" w:rsidRDefault="00D33511">
      <w:pPr>
        <w:spacing w:before="120"/>
        <w:rPr>
          <w:lang w:eastAsia="zh-CN"/>
        </w:rPr>
      </w:pPr>
    </w:p>
    <w:p w14:paraId="7F3C5D9E" w14:textId="77777777" w:rsidR="00D33511" w:rsidRDefault="00D33511">
      <w:pPr>
        <w:spacing w:before="120"/>
        <w:rPr>
          <w:lang w:eastAsia="zh-CN"/>
        </w:rPr>
      </w:pPr>
    </w:p>
    <w:p w14:paraId="49E068BD" w14:textId="77777777" w:rsidR="00D33511" w:rsidRDefault="00D33511">
      <w:pPr>
        <w:spacing w:before="120"/>
        <w:rPr>
          <w:lang w:eastAsia="zh-CN"/>
        </w:rPr>
      </w:pPr>
    </w:p>
    <w:p w14:paraId="411EFBB1" w14:textId="77777777" w:rsidR="00D33511" w:rsidRDefault="00D33511">
      <w:pPr>
        <w:spacing w:before="120"/>
        <w:rPr>
          <w:lang w:eastAsia="zh-CN"/>
        </w:rPr>
      </w:pPr>
    </w:p>
    <w:p w14:paraId="5CAA97C1" w14:textId="77777777" w:rsidR="00D33511" w:rsidRDefault="00D33511">
      <w:pPr>
        <w:spacing w:before="120"/>
        <w:rPr>
          <w:lang w:eastAsia="zh-CN"/>
        </w:rPr>
      </w:pPr>
    </w:p>
    <w:p w14:paraId="178CBAE1" w14:textId="77777777" w:rsidR="00D33511" w:rsidRDefault="00D33511">
      <w:pPr>
        <w:spacing w:before="120"/>
        <w:rPr>
          <w:lang w:eastAsia="zh-CN"/>
        </w:rPr>
      </w:pPr>
    </w:p>
    <w:p w14:paraId="0CEA1592" w14:textId="77777777" w:rsidR="00D33511" w:rsidRDefault="00D33511">
      <w:pPr>
        <w:spacing w:before="120"/>
        <w:rPr>
          <w:lang w:eastAsia="zh-CN"/>
        </w:rPr>
      </w:pPr>
    </w:p>
    <w:p w14:paraId="0B4A2EA0" w14:textId="77777777" w:rsidR="00D33511" w:rsidRDefault="00D33511">
      <w:pPr>
        <w:spacing w:before="120"/>
        <w:rPr>
          <w:lang w:eastAsia="zh-CN"/>
        </w:rPr>
      </w:pPr>
    </w:p>
    <w:p w14:paraId="37EB6686" w14:textId="77777777" w:rsidR="00D33511" w:rsidRDefault="00D33511">
      <w:pPr>
        <w:spacing w:before="120"/>
        <w:rPr>
          <w:lang w:eastAsia="zh-C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D33511" w14:paraId="19E82850" w14:textId="77777777">
        <w:tc>
          <w:tcPr>
            <w:tcW w:w="4530" w:type="dxa"/>
          </w:tcPr>
          <w:p w14:paraId="5CC8F792" w14:textId="77777777" w:rsidR="00D33511" w:rsidRDefault="0086799F">
            <w:pPr>
              <w:spacing w:before="120"/>
              <w:rPr>
                <w:sz w:val="21"/>
                <w:szCs w:val="21"/>
              </w:rPr>
            </w:pPr>
            <w:r>
              <w:rPr>
                <w:rFonts w:cs="宋体"/>
                <w:noProof/>
                <w:lang w:eastAsia="zh-CN" w:bidi="ar-SA"/>
              </w:rPr>
              <w:drawing>
                <wp:inline distT="0" distB="0" distL="0" distR="0" wp14:anchorId="3534F77C" wp14:editId="4C070DCA">
                  <wp:extent cx="2739390" cy="6362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739390" cy="636270"/>
                          </a:xfrm>
                          <a:prstGeom prst="rect">
                            <a:avLst/>
                          </a:prstGeom>
                        </pic:spPr>
                      </pic:pic>
                    </a:graphicData>
                  </a:graphic>
                </wp:inline>
              </w:drawing>
            </w:r>
          </w:p>
        </w:tc>
        <w:tc>
          <w:tcPr>
            <w:tcW w:w="4530" w:type="dxa"/>
          </w:tcPr>
          <w:p w14:paraId="24CE9487" w14:textId="77777777" w:rsidR="00D33511" w:rsidRDefault="0086799F">
            <w:pPr>
              <w:spacing w:before="120"/>
              <w:jc w:val="right"/>
              <w:rPr>
                <w:rFonts w:cs="宋体"/>
                <w:b/>
                <w:sz w:val="21"/>
                <w:lang w:eastAsia="zh-CN"/>
              </w:rPr>
            </w:pPr>
            <w:r>
              <w:rPr>
                <w:rFonts w:cs="宋体"/>
                <w:b/>
                <w:sz w:val="21"/>
                <w:lang w:eastAsia="zh-CN"/>
              </w:rPr>
              <w:t>美国卫生与公众服务部</w:t>
            </w:r>
          </w:p>
          <w:p w14:paraId="2424B585" w14:textId="18658839" w:rsidR="00D33511" w:rsidRDefault="002E064B">
            <w:pPr>
              <w:spacing w:before="120"/>
              <w:jc w:val="right"/>
              <w:rPr>
                <w:b/>
                <w:bCs/>
                <w:sz w:val="21"/>
                <w:szCs w:val="21"/>
                <w:lang w:eastAsia="zh-CN"/>
              </w:rPr>
            </w:pPr>
            <w:r>
              <w:rPr>
                <w:rFonts w:cs="宋体"/>
                <w:b/>
                <w:sz w:val="21"/>
                <w:lang w:eastAsia="zh-CN"/>
              </w:rPr>
              <w:t>美国食品药品监督管理局</w:t>
            </w:r>
          </w:p>
          <w:p w14:paraId="02EAEB5A" w14:textId="2DCEAE5E" w:rsidR="0001277E" w:rsidRDefault="0001277E">
            <w:pPr>
              <w:spacing w:before="120"/>
              <w:jc w:val="right"/>
              <w:rPr>
                <w:rFonts w:cs="宋体"/>
                <w:b/>
                <w:sz w:val="21"/>
                <w:lang w:eastAsia="zh-CN"/>
              </w:rPr>
            </w:pPr>
            <w:r w:rsidRPr="0001277E">
              <w:rPr>
                <w:rFonts w:cs="宋体" w:hint="eastAsia"/>
                <w:b/>
                <w:sz w:val="21"/>
                <w:lang w:eastAsia="zh-CN"/>
              </w:rPr>
              <w:t>医疗器械和辐射健康中心</w:t>
            </w:r>
          </w:p>
          <w:p w14:paraId="53AC73ED" w14:textId="17E33813" w:rsidR="00D33511" w:rsidRDefault="0086799F">
            <w:pPr>
              <w:spacing w:before="120"/>
              <w:jc w:val="right"/>
              <w:rPr>
                <w:b/>
                <w:bCs/>
                <w:sz w:val="21"/>
                <w:szCs w:val="21"/>
                <w:lang w:eastAsia="zh-CN"/>
              </w:rPr>
            </w:pPr>
            <w:r>
              <w:rPr>
                <w:rFonts w:cs="宋体"/>
                <w:b/>
                <w:sz w:val="21"/>
                <w:lang w:eastAsia="zh-CN"/>
              </w:rPr>
              <w:t>生物制品评价和研究中心</w:t>
            </w:r>
          </w:p>
        </w:tc>
      </w:tr>
    </w:tbl>
    <w:p w14:paraId="7A5F3709" w14:textId="77777777" w:rsidR="00D33511" w:rsidRDefault="0086799F">
      <w:pPr>
        <w:spacing w:before="120"/>
        <w:rPr>
          <w:lang w:eastAsia="zh-CN"/>
        </w:rPr>
      </w:pPr>
      <w:r>
        <w:rPr>
          <w:rFonts w:cs="宋体"/>
          <w:lang w:eastAsia="zh-CN"/>
        </w:rPr>
        <w:br w:type="page"/>
      </w:r>
    </w:p>
    <w:p w14:paraId="31CF5A64" w14:textId="77777777" w:rsidR="00D33511" w:rsidRDefault="0086799F">
      <w:pPr>
        <w:spacing w:before="120"/>
        <w:rPr>
          <w:b/>
          <w:bCs/>
          <w:sz w:val="44"/>
          <w:szCs w:val="44"/>
        </w:rPr>
      </w:pPr>
      <w:proofErr w:type="spellStart"/>
      <w:r>
        <w:rPr>
          <w:rFonts w:cs="宋体"/>
          <w:b/>
          <w:sz w:val="44"/>
        </w:rPr>
        <w:lastRenderedPageBreak/>
        <w:t>前言</w:t>
      </w:r>
      <w:proofErr w:type="spellEnd"/>
    </w:p>
    <w:p w14:paraId="7ACB8D8F" w14:textId="77777777" w:rsidR="00D33511" w:rsidRDefault="0086799F">
      <w:pPr>
        <w:spacing w:before="120"/>
        <w:rPr>
          <w:b/>
          <w:bCs/>
          <w:sz w:val="32"/>
          <w:szCs w:val="32"/>
        </w:rPr>
      </w:pPr>
      <w:proofErr w:type="spellStart"/>
      <w:r>
        <w:rPr>
          <w:rFonts w:cs="宋体"/>
          <w:b/>
          <w:sz w:val="32"/>
        </w:rPr>
        <w:t>公众意见</w:t>
      </w:r>
      <w:proofErr w:type="spellEnd"/>
    </w:p>
    <w:p w14:paraId="6E02A1FB" w14:textId="2CEC4323" w:rsidR="00D33511" w:rsidRDefault="0086799F">
      <w:pPr>
        <w:spacing w:before="120"/>
        <w:rPr>
          <w:lang w:eastAsia="zh-CN"/>
        </w:rPr>
      </w:pPr>
      <w:proofErr w:type="spellStart"/>
      <w:r>
        <w:rPr>
          <w:rFonts w:cs="宋体"/>
          <w:color w:val="auto"/>
          <w:szCs w:val="22"/>
          <w:lang w:bidi="ar-SA"/>
        </w:rPr>
        <w:t>电子版意见和建议可随时提交至</w:t>
      </w:r>
      <w:hyperlink r:id="rId12">
        <w:r>
          <w:rPr>
            <w:rFonts w:cs="宋体"/>
            <w:color w:val="0000FF"/>
            <w:u w:val="single" w:color="0000FF"/>
            <w:lang w:bidi="ar-SA"/>
          </w:rPr>
          <w:t>http</w:t>
        </w:r>
        <w:proofErr w:type="spellEnd"/>
        <w:r>
          <w:rPr>
            <w:rFonts w:cs="宋体"/>
            <w:color w:val="0000FF"/>
            <w:u w:val="single" w:color="0000FF"/>
            <w:lang w:bidi="ar-SA"/>
          </w:rPr>
          <w:t>://www.regulations.gov</w:t>
        </w:r>
      </w:hyperlink>
      <w:r>
        <w:rPr>
          <w:rFonts w:cs="宋体"/>
          <w:color w:val="auto"/>
          <w:szCs w:val="22"/>
          <w:lang w:bidi="ar-SA"/>
        </w:rPr>
        <w:t>，供</w:t>
      </w:r>
      <w:r>
        <w:rPr>
          <w:rFonts w:cs="宋体"/>
          <w:color w:val="auto"/>
          <w:szCs w:val="22"/>
          <w:lang w:bidi="ar-SA"/>
        </w:rPr>
        <w:t>FDA</w:t>
      </w:r>
      <w:r>
        <w:rPr>
          <w:rFonts w:cs="宋体"/>
          <w:color w:val="auto"/>
          <w:szCs w:val="22"/>
          <w:lang w:bidi="ar-SA"/>
        </w:rPr>
        <w:t>审议。</w:t>
      </w:r>
      <w:r>
        <w:rPr>
          <w:rFonts w:cs="宋体"/>
          <w:szCs w:val="22"/>
          <w:lang w:bidi="ar-SA"/>
        </w:rPr>
        <w:t>可将书面意见提交至：</w:t>
      </w:r>
      <w:r w:rsidR="002E064B">
        <w:rPr>
          <w:rFonts w:cs="宋体"/>
          <w:lang w:eastAsia="zh-CN"/>
        </w:rPr>
        <w:t>美国食品药品监督管理局</w:t>
      </w:r>
      <w:r>
        <w:rPr>
          <w:rFonts w:cs="宋体"/>
          <w:lang w:eastAsia="zh-CN"/>
        </w:rPr>
        <w:t>备案文件管理部（</w:t>
      </w:r>
      <w:r>
        <w:rPr>
          <w:rFonts w:cs="宋体"/>
          <w:lang w:eastAsia="zh-CN"/>
        </w:rPr>
        <w:t>HFA-305</w:t>
      </w:r>
      <w:r>
        <w:rPr>
          <w:rFonts w:cs="宋体"/>
          <w:lang w:eastAsia="zh-CN"/>
        </w:rPr>
        <w:t>）</w:t>
      </w:r>
      <w:r w:rsidR="002E064B" w:rsidRPr="002E064B">
        <w:rPr>
          <w:rFonts w:cs="宋体" w:hint="eastAsia"/>
          <w:lang w:eastAsia="zh-CN"/>
        </w:rPr>
        <w:t>，地址为</w:t>
      </w:r>
      <w:r w:rsidR="002E064B" w:rsidRPr="002E064B">
        <w:rPr>
          <w:rFonts w:cs="宋体" w:hint="eastAsia"/>
          <w:lang w:eastAsia="zh-CN"/>
        </w:rPr>
        <w:t>5630 Fishers Lane, Room 1061, (HFA-305), Rockville, MD 20852</w:t>
      </w:r>
      <w:r w:rsidR="002E064B" w:rsidRPr="002E064B">
        <w:rPr>
          <w:rFonts w:cs="宋体" w:hint="eastAsia"/>
          <w:lang w:eastAsia="zh-CN"/>
        </w:rPr>
        <w:t>。</w:t>
      </w:r>
      <w:r>
        <w:rPr>
          <w:rFonts w:cs="宋体"/>
          <w:lang w:eastAsia="zh-CN"/>
        </w:rPr>
        <w:t>在递交所有意见时，请标注编号</w:t>
      </w:r>
      <w:r>
        <w:rPr>
          <w:rFonts w:cs="宋体"/>
          <w:lang w:eastAsia="zh-CN"/>
        </w:rPr>
        <w:t>FDA-2016-D-2153</w:t>
      </w:r>
      <w:r>
        <w:rPr>
          <w:rFonts w:cs="宋体"/>
          <w:lang w:eastAsia="zh-CN"/>
        </w:rPr>
        <w:t>。</w:t>
      </w:r>
      <w:r w:rsidR="00CA767B">
        <w:rPr>
          <w:rFonts w:cs="宋体" w:hint="eastAsia"/>
          <w:lang w:eastAsia="zh-CN"/>
        </w:rPr>
        <w:t>相关反馈</w:t>
      </w:r>
      <w:r w:rsidR="00CA767B">
        <w:rPr>
          <w:rFonts w:cs="宋体"/>
          <w:lang w:eastAsia="zh-CN"/>
        </w:rPr>
        <w:t>意见</w:t>
      </w:r>
      <w:r w:rsidR="00CA767B">
        <w:rPr>
          <w:rFonts w:cs="宋体" w:hint="eastAsia"/>
          <w:lang w:eastAsia="zh-CN"/>
        </w:rPr>
        <w:t>可能需要到下</w:t>
      </w:r>
      <w:r w:rsidR="00CA767B">
        <w:rPr>
          <w:rFonts w:cs="宋体"/>
          <w:lang w:eastAsia="zh-CN"/>
        </w:rPr>
        <w:t>次修订或更新本文件时</w:t>
      </w:r>
      <w:r w:rsidR="00CA767B">
        <w:rPr>
          <w:rFonts w:cs="宋体" w:hint="eastAsia"/>
          <w:lang w:eastAsia="zh-CN"/>
        </w:rPr>
        <w:t>，方可能被</w:t>
      </w:r>
      <w:r w:rsidR="00CA767B">
        <w:rPr>
          <w:rFonts w:cs="宋体"/>
          <w:lang w:eastAsia="zh-CN"/>
        </w:rPr>
        <w:t>FDA</w:t>
      </w:r>
      <w:r w:rsidR="00CA767B">
        <w:rPr>
          <w:rFonts w:cs="宋体"/>
          <w:lang w:eastAsia="zh-CN"/>
        </w:rPr>
        <w:t>考虑实施。</w:t>
      </w:r>
    </w:p>
    <w:p w14:paraId="760CFDE9" w14:textId="77777777" w:rsidR="00D33511" w:rsidRDefault="0086799F">
      <w:pPr>
        <w:spacing w:before="120"/>
        <w:rPr>
          <w:b/>
          <w:bCs/>
          <w:sz w:val="32"/>
          <w:szCs w:val="32"/>
          <w:lang w:eastAsia="zh-CN"/>
        </w:rPr>
      </w:pPr>
      <w:r>
        <w:rPr>
          <w:rFonts w:cs="宋体"/>
          <w:b/>
          <w:sz w:val="32"/>
          <w:lang w:eastAsia="zh-CN"/>
        </w:rPr>
        <w:t>更多副本</w:t>
      </w:r>
    </w:p>
    <w:p w14:paraId="6B75CADA" w14:textId="77777777" w:rsidR="00D33511" w:rsidRDefault="0086799F">
      <w:pPr>
        <w:spacing w:before="120"/>
        <w:rPr>
          <w:b/>
          <w:bCs/>
          <w:sz w:val="28"/>
          <w:szCs w:val="28"/>
          <w:lang w:eastAsia="zh-CN"/>
        </w:rPr>
      </w:pPr>
      <w:r>
        <w:rPr>
          <w:b/>
          <w:bCs/>
          <w:sz w:val="28"/>
          <w:szCs w:val="28"/>
          <w:lang w:eastAsia="zh-CN"/>
        </w:rPr>
        <w:t>CDRH</w:t>
      </w:r>
    </w:p>
    <w:p w14:paraId="20F40D1A" w14:textId="77777777" w:rsidR="00D33511" w:rsidRDefault="0086799F">
      <w:pPr>
        <w:spacing w:before="120"/>
        <w:rPr>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获取本指南的副本。请使用文件编号</w:t>
      </w:r>
      <w:r>
        <w:rPr>
          <w:rFonts w:cs="宋体"/>
          <w:lang w:eastAsia="zh-CN"/>
        </w:rPr>
        <w:t>1500012</w:t>
      </w:r>
      <w:r>
        <w:rPr>
          <w:rFonts w:cs="宋体"/>
          <w:lang w:eastAsia="zh-CN"/>
        </w:rPr>
        <w:t>，注明您所要求获取的指南。</w:t>
      </w:r>
    </w:p>
    <w:p w14:paraId="4DA75451" w14:textId="77777777" w:rsidR="00D33511" w:rsidRDefault="0086799F">
      <w:pPr>
        <w:spacing w:before="120"/>
        <w:rPr>
          <w:b/>
          <w:bCs/>
          <w:sz w:val="28"/>
          <w:szCs w:val="28"/>
        </w:rPr>
      </w:pPr>
      <w:r>
        <w:rPr>
          <w:b/>
          <w:bCs/>
          <w:sz w:val="28"/>
          <w:szCs w:val="28"/>
        </w:rPr>
        <w:t>CBER</w:t>
      </w:r>
    </w:p>
    <w:p w14:paraId="275A9845" w14:textId="77777777" w:rsidR="00D33511" w:rsidRDefault="0086799F">
      <w:pPr>
        <w:spacing w:before="120"/>
        <w:jc w:val="left"/>
      </w:pPr>
      <w:proofErr w:type="spellStart"/>
      <w:r>
        <w:rPr>
          <w:rFonts w:cs="宋体"/>
        </w:rPr>
        <w:t>您可从如下地址获得本指南的副本：生物制品评价与研究中心（</w:t>
      </w:r>
      <w:r>
        <w:rPr>
          <w:rFonts w:cs="宋体"/>
        </w:rPr>
        <w:t>CBER</w:t>
      </w:r>
      <w:proofErr w:type="spellEnd"/>
      <w:r>
        <w:rPr>
          <w:rFonts w:cs="宋体"/>
        </w:rPr>
        <w:t>），</w:t>
      </w:r>
      <w:proofErr w:type="spellStart"/>
      <w:r>
        <w:rPr>
          <w:rFonts w:cs="宋体"/>
        </w:rPr>
        <w:t>交流、外联和发展办公室（</w:t>
      </w:r>
      <w:r>
        <w:rPr>
          <w:rFonts w:cs="宋体"/>
        </w:rPr>
        <w:t>OCOD</w:t>
      </w:r>
      <w:proofErr w:type="spellEnd"/>
      <w:r>
        <w:rPr>
          <w:rFonts w:cs="宋体"/>
        </w:rPr>
        <w:t>），</w:t>
      </w:r>
      <w:r>
        <w:rPr>
          <w:rFonts w:cs="宋体"/>
        </w:rPr>
        <w:t>10903 New Hampshire Ave., Bldg. 71, Room 3128, Silver Spring, MD 20993-0002</w:t>
      </w:r>
      <w:r>
        <w:rPr>
          <w:rFonts w:cs="宋体"/>
        </w:rPr>
        <w:t>，或致电</w:t>
      </w:r>
      <w:r>
        <w:rPr>
          <w:rFonts w:cs="宋体"/>
        </w:rPr>
        <w:t>1-800-835-4709</w:t>
      </w:r>
      <w:r>
        <w:rPr>
          <w:rFonts w:cs="宋体"/>
        </w:rPr>
        <w:t>或</w:t>
      </w:r>
      <w:r>
        <w:rPr>
          <w:rFonts w:cs="宋体"/>
        </w:rPr>
        <w:t>240-402-8010</w:t>
      </w:r>
      <w:r>
        <w:rPr>
          <w:rFonts w:cs="宋体"/>
        </w:rPr>
        <w:t>，</w:t>
      </w:r>
      <w:r>
        <w:rPr>
          <w:rFonts w:cs="宋体" w:hint="eastAsia"/>
          <w:lang w:eastAsia="zh-CN"/>
        </w:rPr>
        <w:t>或</w:t>
      </w:r>
      <w:r>
        <w:rPr>
          <w:rFonts w:cs="宋体"/>
        </w:rPr>
        <w:t>发电子邮件至</w:t>
      </w:r>
      <w:r>
        <w:rPr>
          <w:rFonts w:cs="宋体"/>
          <w:color w:val="0000FF"/>
          <w:u w:val="single"/>
        </w:rPr>
        <w:t>ocod@fda.hhs.gov</w:t>
      </w:r>
      <w:r>
        <w:rPr>
          <w:rFonts w:cs="宋体"/>
        </w:rPr>
        <w:t>，或登录网址</w:t>
      </w:r>
      <w:r>
        <w:rPr>
          <w:rFonts w:cs="宋体"/>
          <w:color w:val="0000FF"/>
          <w:u w:val="single"/>
        </w:rPr>
        <w:t>http://www.fda.gov/BiologicsBloodVaccines/GuidanceComplianceRegulatoryInformation/Guidances/default.htm</w:t>
      </w:r>
      <w:r>
        <w:rPr>
          <w:rFonts w:cs="宋体"/>
        </w:rPr>
        <w:t>。</w:t>
      </w:r>
    </w:p>
    <w:p w14:paraId="599057AC" w14:textId="77777777" w:rsidR="00D33511" w:rsidRDefault="0086799F">
      <w:pPr>
        <w:spacing w:before="120"/>
      </w:pPr>
      <w:r>
        <w:rPr>
          <w:rFonts w:cs="宋体"/>
        </w:rPr>
        <w:br w:type="page"/>
      </w:r>
    </w:p>
    <w:p w14:paraId="11803BB4" w14:textId="77777777" w:rsidR="00D33511" w:rsidRDefault="0086799F">
      <w:pPr>
        <w:spacing w:before="120"/>
        <w:jc w:val="center"/>
        <w:rPr>
          <w:b/>
          <w:bCs/>
          <w:sz w:val="32"/>
          <w:szCs w:val="32"/>
        </w:rPr>
      </w:pPr>
      <w:proofErr w:type="spellStart"/>
      <w:r>
        <w:rPr>
          <w:rFonts w:cs="宋体"/>
          <w:b/>
          <w:sz w:val="32"/>
        </w:rPr>
        <w:lastRenderedPageBreak/>
        <w:t>目录</w:t>
      </w:r>
      <w:proofErr w:type="spellEnd"/>
    </w:p>
    <w:bookmarkStart w:id="0" w:name="bookmark40"/>
    <w:bookmarkEnd w:id="0"/>
    <w:p w14:paraId="7F7F102D" w14:textId="77777777" w:rsidR="00D33511" w:rsidRDefault="0086799F">
      <w:pPr>
        <w:pStyle w:val="1"/>
        <w:tabs>
          <w:tab w:val="left" w:pos="400"/>
          <w:tab w:val="right" w:leader="dot" w:pos="9060"/>
        </w:tabs>
        <w:spacing w:before="120"/>
        <w:rPr>
          <w:rFonts w:asciiTheme="minorHAnsi" w:eastAsiaTheme="minorEastAsia" w:hAnsiTheme="minorHAnsi" w:cstheme="minorBidi"/>
          <w:color w:val="auto"/>
          <w:kern w:val="2"/>
          <w:sz w:val="21"/>
          <w:szCs w:val="22"/>
          <w:lang w:eastAsia="zh-CN" w:bidi="ar-SA"/>
        </w:rPr>
      </w:pPr>
      <w:r>
        <w:fldChar w:fldCharType="begin"/>
      </w:r>
      <w:r>
        <w:instrText xml:space="preserve"> TOC \o "1-3" \h \z \u </w:instrText>
      </w:r>
      <w:r>
        <w:fldChar w:fldCharType="separate"/>
      </w:r>
      <w:hyperlink w:anchor="_Toc90485541" w:history="1">
        <w:r>
          <w:rPr>
            <w:rStyle w:val="a7"/>
            <w:bCs/>
          </w:rPr>
          <w:t>I.</w:t>
        </w:r>
        <w:r>
          <w:rPr>
            <w:rFonts w:asciiTheme="minorHAnsi" w:eastAsiaTheme="minorEastAsia" w:hAnsiTheme="minorHAnsi" w:cstheme="minorBidi"/>
            <w:color w:val="auto"/>
            <w:kern w:val="2"/>
            <w:sz w:val="21"/>
            <w:szCs w:val="22"/>
            <w:lang w:eastAsia="zh-CN" w:bidi="ar-SA"/>
          </w:rPr>
          <w:tab/>
        </w:r>
        <w:r>
          <w:rPr>
            <w:rStyle w:val="a7"/>
            <w:rFonts w:cs="宋体" w:hint="eastAsia"/>
          </w:rPr>
          <w:t>引言和范围</w:t>
        </w:r>
        <w:r>
          <w:tab/>
        </w:r>
        <w:r>
          <w:fldChar w:fldCharType="begin"/>
        </w:r>
        <w:r>
          <w:instrText xml:space="preserve"> PAGEREF _Toc90485541 \h </w:instrText>
        </w:r>
        <w:r>
          <w:fldChar w:fldCharType="separate"/>
        </w:r>
        <w:r>
          <w:t>4</w:t>
        </w:r>
        <w:r>
          <w:fldChar w:fldCharType="end"/>
        </w:r>
      </w:hyperlink>
    </w:p>
    <w:p w14:paraId="489C797F" w14:textId="77777777" w:rsidR="00D33511" w:rsidRDefault="00FA798F">
      <w:pPr>
        <w:pStyle w:val="1"/>
        <w:tabs>
          <w:tab w:val="left" w:pos="630"/>
          <w:tab w:val="right" w:leader="dot" w:pos="9060"/>
        </w:tabs>
        <w:rPr>
          <w:rFonts w:asciiTheme="minorHAnsi" w:eastAsiaTheme="minorEastAsia" w:hAnsiTheme="minorHAnsi" w:cstheme="minorBidi"/>
          <w:color w:val="auto"/>
          <w:kern w:val="2"/>
          <w:sz w:val="21"/>
          <w:szCs w:val="22"/>
          <w:lang w:eastAsia="zh-CN" w:bidi="ar-SA"/>
        </w:rPr>
      </w:pPr>
      <w:hyperlink w:anchor="_Toc90485542" w:history="1">
        <w:r w:rsidR="0086799F">
          <w:rPr>
            <w:rStyle w:val="a7"/>
            <w:bCs/>
          </w:rPr>
          <w:t>II.</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背景</w:t>
        </w:r>
        <w:r w:rsidR="0086799F">
          <w:tab/>
        </w:r>
        <w:r w:rsidR="0086799F">
          <w:fldChar w:fldCharType="begin"/>
        </w:r>
        <w:r w:rsidR="0086799F">
          <w:instrText xml:space="preserve"> PAGEREF _Toc90485542 \h </w:instrText>
        </w:r>
        <w:r w:rsidR="0086799F">
          <w:fldChar w:fldCharType="separate"/>
        </w:r>
        <w:r w:rsidR="0086799F">
          <w:t>5</w:t>
        </w:r>
        <w:r w:rsidR="0086799F">
          <w:fldChar w:fldCharType="end"/>
        </w:r>
      </w:hyperlink>
    </w:p>
    <w:p w14:paraId="35EDCD63" w14:textId="77777777" w:rsidR="00D33511" w:rsidRDefault="00FA798F">
      <w:pPr>
        <w:pStyle w:val="1"/>
        <w:tabs>
          <w:tab w:val="left" w:pos="630"/>
          <w:tab w:val="right" w:leader="dot" w:pos="9060"/>
        </w:tabs>
        <w:rPr>
          <w:rFonts w:asciiTheme="minorHAnsi" w:eastAsiaTheme="minorEastAsia" w:hAnsiTheme="minorHAnsi" w:cstheme="minorBidi"/>
          <w:color w:val="auto"/>
          <w:kern w:val="2"/>
          <w:sz w:val="21"/>
          <w:szCs w:val="22"/>
          <w:lang w:eastAsia="zh-CN" w:bidi="ar-SA"/>
        </w:rPr>
      </w:pPr>
      <w:hyperlink w:anchor="_Toc90485543" w:history="1">
        <w:r w:rsidR="0086799F">
          <w:rPr>
            <w:rStyle w:val="a7"/>
            <w:bCs/>
          </w:rPr>
          <w:t>III.</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真实世界证据</w:t>
        </w:r>
        <w:r w:rsidR="0086799F">
          <w:tab/>
        </w:r>
        <w:r w:rsidR="0086799F">
          <w:fldChar w:fldCharType="begin"/>
        </w:r>
        <w:r w:rsidR="0086799F">
          <w:instrText xml:space="preserve"> PAGEREF _Toc90485543 \h </w:instrText>
        </w:r>
        <w:r w:rsidR="0086799F">
          <w:fldChar w:fldCharType="separate"/>
        </w:r>
        <w:r w:rsidR="0086799F">
          <w:t>8</w:t>
        </w:r>
        <w:r w:rsidR="0086799F">
          <w:fldChar w:fldCharType="end"/>
        </w:r>
      </w:hyperlink>
    </w:p>
    <w:p w14:paraId="7EED170B" w14:textId="77777777" w:rsidR="00D33511" w:rsidRDefault="00FA798F">
      <w:pPr>
        <w:pStyle w:val="1"/>
        <w:tabs>
          <w:tab w:val="left" w:pos="630"/>
          <w:tab w:val="right" w:leader="dot" w:pos="9060"/>
        </w:tabs>
        <w:rPr>
          <w:rFonts w:asciiTheme="minorHAnsi" w:eastAsiaTheme="minorEastAsia" w:hAnsiTheme="minorHAnsi" w:cstheme="minorBidi"/>
          <w:color w:val="auto"/>
          <w:kern w:val="2"/>
          <w:sz w:val="21"/>
          <w:szCs w:val="22"/>
          <w:lang w:eastAsia="zh-CN" w:bidi="ar-SA"/>
        </w:rPr>
      </w:pPr>
      <w:hyperlink w:anchor="_Toc90485544" w:history="1">
        <w:r w:rsidR="0086799F">
          <w:rPr>
            <w:rStyle w:val="a7"/>
            <w:bCs/>
            <w:lang w:eastAsia="zh-CN"/>
          </w:rPr>
          <w:t>IV.</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lang w:eastAsia="zh-CN"/>
          </w:rPr>
          <w:t>可使用</w:t>
        </w:r>
        <w:r w:rsidR="0086799F">
          <w:rPr>
            <w:rStyle w:val="a7"/>
            <w:rFonts w:cs="宋体"/>
            <w:lang w:eastAsia="zh-CN"/>
          </w:rPr>
          <w:t>RWE</w:t>
        </w:r>
        <w:r w:rsidR="0086799F">
          <w:rPr>
            <w:rStyle w:val="a7"/>
            <w:rFonts w:cs="宋体" w:hint="eastAsia"/>
            <w:lang w:eastAsia="zh-CN"/>
          </w:rPr>
          <w:t>的监管情况</w:t>
        </w:r>
        <w:r w:rsidR="0086799F">
          <w:tab/>
        </w:r>
        <w:r w:rsidR="0086799F">
          <w:fldChar w:fldCharType="begin"/>
        </w:r>
        <w:r w:rsidR="0086799F">
          <w:instrText xml:space="preserve"> PAGEREF _Toc90485544 \h </w:instrText>
        </w:r>
        <w:r w:rsidR="0086799F">
          <w:fldChar w:fldCharType="separate"/>
        </w:r>
        <w:r w:rsidR="0086799F">
          <w:t>9</w:t>
        </w:r>
        <w:r w:rsidR="0086799F">
          <w:fldChar w:fldCharType="end"/>
        </w:r>
      </w:hyperlink>
    </w:p>
    <w:p w14:paraId="6899F728"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45" w:history="1">
        <w:r w:rsidR="0086799F">
          <w:rPr>
            <w:rStyle w:val="a7"/>
            <w:bCs/>
            <w:lang w:eastAsia="zh-CN"/>
          </w:rPr>
          <w:t>A.</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lang w:eastAsia="zh-CN"/>
          </w:rPr>
          <w:t>使用</w:t>
        </w:r>
        <w:r w:rsidR="0086799F">
          <w:rPr>
            <w:rStyle w:val="a7"/>
            <w:rFonts w:cs="宋体"/>
            <w:lang w:eastAsia="zh-CN"/>
          </w:rPr>
          <w:t>RWE</w:t>
        </w:r>
        <w:r w:rsidR="0086799F">
          <w:rPr>
            <w:rStyle w:val="a7"/>
            <w:rFonts w:cs="宋体" w:hint="eastAsia"/>
            <w:lang w:eastAsia="zh-CN"/>
          </w:rPr>
          <w:t>的一般考虑因素</w:t>
        </w:r>
        <w:r w:rsidR="0086799F">
          <w:tab/>
        </w:r>
        <w:r w:rsidR="0086799F">
          <w:fldChar w:fldCharType="begin"/>
        </w:r>
        <w:r w:rsidR="0086799F">
          <w:instrText xml:space="preserve"> PAGEREF _Toc90485545 \h </w:instrText>
        </w:r>
        <w:r w:rsidR="0086799F">
          <w:fldChar w:fldCharType="separate"/>
        </w:r>
        <w:r w:rsidR="0086799F">
          <w:t>9</w:t>
        </w:r>
        <w:r w:rsidR="0086799F">
          <w:fldChar w:fldCharType="end"/>
        </w:r>
      </w:hyperlink>
    </w:p>
    <w:p w14:paraId="75ABA49A"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46" w:history="1">
        <w:r w:rsidR="0086799F">
          <w:rPr>
            <w:rStyle w:val="a7"/>
            <w:bCs/>
          </w:rPr>
          <w:t>B.</w:t>
        </w:r>
        <w:r w:rsidR="0086799F">
          <w:rPr>
            <w:rFonts w:asciiTheme="minorHAnsi" w:eastAsiaTheme="minorEastAsia" w:hAnsiTheme="minorHAnsi" w:cstheme="minorBidi"/>
            <w:color w:val="auto"/>
            <w:kern w:val="2"/>
            <w:sz w:val="21"/>
            <w:szCs w:val="22"/>
            <w:lang w:eastAsia="zh-CN" w:bidi="ar-SA"/>
          </w:rPr>
          <w:tab/>
        </w:r>
        <w:r w:rsidR="0086799F">
          <w:rPr>
            <w:rStyle w:val="a7"/>
            <w:rFonts w:cs="宋体"/>
          </w:rPr>
          <w:t>21 CFR 812</w:t>
        </w:r>
        <w:r w:rsidR="0086799F">
          <w:rPr>
            <w:rStyle w:val="a7"/>
            <w:rFonts w:cs="宋体" w:hint="eastAsia"/>
          </w:rPr>
          <w:t>中试验用器械豁免（</w:t>
        </w:r>
        <w:r w:rsidR="0086799F">
          <w:rPr>
            <w:rStyle w:val="a7"/>
            <w:rFonts w:cs="宋体"/>
          </w:rPr>
          <w:t>IDE</w:t>
        </w:r>
        <w:r w:rsidR="0086799F">
          <w:rPr>
            <w:rStyle w:val="a7"/>
            <w:rFonts w:cs="宋体" w:hint="eastAsia"/>
          </w:rPr>
          <w:t>）要求在</w:t>
        </w:r>
        <w:r w:rsidR="0086799F">
          <w:rPr>
            <w:rStyle w:val="a7"/>
            <w:rFonts w:cs="宋体"/>
          </w:rPr>
          <w:t>RWD</w:t>
        </w:r>
        <w:r w:rsidR="0086799F">
          <w:rPr>
            <w:rStyle w:val="a7"/>
            <w:rFonts w:cs="宋体" w:hint="eastAsia"/>
          </w:rPr>
          <w:t>收集中的应用</w:t>
        </w:r>
        <w:r w:rsidR="0086799F">
          <w:tab/>
        </w:r>
        <w:r w:rsidR="0086799F">
          <w:fldChar w:fldCharType="begin"/>
        </w:r>
        <w:r w:rsidR="0086799F">
          <w:instrText xml:space="preserve"> PAGEREF _Toc90485546 \h </w:instrText>
        </w:r>
        <w:r w:rsidR="0086799F">
          <w:fldChar w:fldCharType="separate"/>
        </w:r>
        <w:r w:rsidR="0086799F">
          <w:t>11</w:t>
        </w:r>
        <w:r w:rsidR="0086799F">
          <w:fldChar w:fldCharType="end"/>
        </w:r>
      </w:hyperlink>
    </w:p>
    <w:p w14:paraId="54D69770" w14:textId="77777777" w:rsidR="00D33511" w:rsidRDefault="00FA798F">
      <w:pPr>
        <w:pStyle w:val="1"/>
        <w:tabs>
          <w:tab w:val="left" w:pos="630"/>
          <w:tab w:val="right" w:leader="dot" w:pos="9060"/>
        </w:tabs>
        <w:rPr>
          <w:rFonts w:asciiTheme="minorHAnsi" w:eastAsiaTheme="minorEastAsia" w:hAnsiTheme="minorHAnsi" w:cstheme="minorBidi"/>
          <w:color w:val="auto"/>
          <w:kern w:val="2"/>
          <w:sz w:val="21"/>
          <w:szCs w:val="22"/>
          <w:lang w:eastAsia="zh-CN" w:bidi="ar-SA"/>
        </w:rPr>
      </w:pPr>
      <w:hyperlink w:anchor="_Toc90485547" w:history="1">
        <w:r w:rsidR="0086799F">
          <w:rPr>
            <w:rStyle w:val="a7"/>
            <w:bCs/>
          </w:rPr>
          <w:t>V.</w:t>
        </w:r>
        <w:r w:rsidR="0086799F">
          <w:rPr>
            <w:rFonts w:asciiTheme="minorHAnsi" w:eastAsiaTheme="minorEastAsia" w:hAnsiTheme="minorHAnsi" w:cstheme="minorBidi"/>
            <w:color w:val="auto"/>
            <w:kern w:val="2"/>
            <w:sz w:val="21"/>
            <w:szCs w:val="22"/>
            <w:lang w:eastAsia="zh-CN" w:bidi="ar-SA"/>
          </w:rPr>
          <w:tab/>
        </w:r>
        <w:r w:rsidR="0086799F">
          <w:rPr>
            <w:rStyle w:val="a7"/>
            <w:rFonts w:cs="宋体"/>
          </w:rPr>
          <w:t>RWD</w:t>
        </w:r>
        <w:r w:rsidR="0086799F">
          <w:rPr>
            <w:rStyle w:val="a7"/>
            <w:rFonts w:cs="宋体" w:hint="eastAsia"/>
          </w:rPr>
          <w:t>的特征</w:t>
        </w:r>
        <w:r w:rsidR="0086799F">
          <w:tab/>
        </w:r>
        <w:r w:rsidR="0086799F">
          <w:fldChar w:fldCharType="begin"/>
        </w:r>
        <w:r w:rsidR="0086799F">
          <w:instrText xml:space="preserve"> PAGEREF _Toc90485547 \h </w:instrText>
        </w:r>
        <w:r w:rsidR="0086799F">
          <w:fldChar w:fldCharType="separate"/>
        </w:r>
        <w:r w:rsidR="0086799F">
          <w:t>12</w:t>
        </w:r>
        <w:r w:rsidR="0086799F">
          <w:fldChar w:fldCharType="end"/>
        </w:r>
      </w:hyperlink>
    </w:p>
    <w:p w14:paraId="477C8851"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48" w:history="1">
        <w:r w:rsidR="0086799F">
          <w:rPr>
            <w:rStyle w:val="a7"/>
            <w:bCs/>
          </w:rPr>
          <w:t>A.</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相关性</w:t>
        </w:r>
        <w:r w:rsidR="0086799F">
          <w:tab/>
        </w:r>
        <w:r w:rsidR="0086799F">
          <w:fldChar w:fldCharType="begin"/>
        </w:r>
        <w:r w:rsidR="0086799F">
          <w:instrText xml:space="preserve"> PAGEREF _Toc90485548 \h </w:instrText>
        </w:r>
        <w:r w:rsidR="0086799F">
          <w:fldChar w:fldCharType="separate"/>
        </w:r>
        <w:r w:rsidR="0086799F">
          <w:t>13</w:t>
        </w:r>
        <w:r w:rsidR="0086799F">
          <w:fldChar w:fldCharType="end"/>
        </w:r>
      </w:hyperlink>
    </w:p>
    <w:p w14:paraId="0F866318"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49" w:history="1">
        <w:r w:rsidR="0086799F">
          <w:rPr>
            <w:rStyle w:val="a7"/>
            <w:bCs/>
          </w:rPr>
          <w:t>B.</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可靠性</w:t>
        </w:r>
        <w:r w:rsidR="0086799F">
          <w:tab/>
        </w:r>
        <w:r w:rsidR="0086799F">
          <w:fldChar w:fldCharType="begin"/>
        </w:r>
        <w:r w:rsidR="0086799F">
          <w:instrText xml:space="preserve"> PAGEREF _Toc90485549 \h </w:instrText>
        </w:r>
        <w:r w:rsidR="0086799F">
          <w:fldChar w:fldCharType="separate"/>
        </w:r>
        <w:r w:rsidR="0086799F">
          <w:t>15</w:t>
        </w:r>
        <w:r w:rsidR="0086799F">
          <w:fldChar w:fldCharType="end"/>
        </w:r>
      </w:hyperlink>
    </w:p>
    <w:p w14:paraId="31945720" w14:textId="77777777" w:rsidR="00D33511" w:rsidRDefault="00FA798F">
      <w:pPr>
        <w:pStyle w:val="3"/>
        <w:rPr>
          <w:rFonts w:asciiTheme="minorHAnsi" w:eastAsiaTheme="minorEastAsia" w:hAnsiTheme="minorHAnsi" w:cstheme="minorBidi"/>
          <w:color w:val="auto"/>
          <w:kern w:val="2"/>
          <w:sz w:val="21"/>
          <w:szCs w:val="22"/>
          <w:lang w:eastAsia="zh-CN" w:bidi="ar-SA"/>
        </w:rPr>
      </w:pPr>
      <w:hyperlink w:anchor="_Toc90485550" w:history="1">
        <w:r w:rsidR="0086799F">
          <w:rPr>
            <w:rStyle w:val="a7"/>
            <w:bCs/>
          </w:rPr>
          <w:t>(1)</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数据获取</w:t>
        </w:r>
        <w:r w:rsidR="0086799F">
          <w:tab/>
        </w:r>
        <w:r w:rsidR="0086799F">
          <w:fldChar w:fldCharType="begin"/>
        </w:r>
        <w:r w:rsidR="0086799F">
          <w:instrText xml:space="preserve"> PAGEREF _Toc90485550 \h </w:instrText>
        </w:r>
        <w:r w:rsidR="0086799F">
          <w:fldChar w:fldCharType="separate"/>
        </w:r>
        <w:r w:rsidR="0086799F">
          <w:t>15</w:t>
        </w:r>
        <w:r w:rsidR="0086799F">
          <w:fldChar w:fldCharType="end"/>
        </w:r>
      </w:hyperlink>
    </w:p>
    <w:p w14:paraId="22DF4470" w14:textId="77777777" w:rsidR="00D33511" w:rsidRDefault="00FA798F">
      <w:pPr>
        <w:pStyle w:val="3"/>
        <w:rPr>
          <w:rFonts w:asciiTheme="minorHAnsi" w:eastAsiaTheme="minorEastAsia" w:hAnsiTheme="minorHAnsi" w:cstheme="minorBidi"/>
          <w:color w:val="auto"/>
          <w:kern w:val="2"/>
          <w:sz w:val="21"/>
          <w:szCs w:val="22"/>
          <w:lang w:eastAsia="zh-CN" w:bidi="ar-SA"/>
        </w:rPr>
      </w:pPr>
      <w:hyperlink w:anchor="_Toc90485551" w:history="1">
        <w:r w:rsidR="0086799F">
          <w:rPr>
            <w:rStyle w:val="a7"/>
            <w:bCs/>
          </w:rPr>
          <w:t>(2)</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数据保证</w:t>
        </w:r>
        <w:r w:rsidR="0086799F">
          <w:rPr>
            <w:rStyle w:val="a7"/>
            <w:rFonts w:cs="宋体"/>
          </w:rPr>
          <w:t>-</w:t>
        </w:r>
        <w:r w:rsidR="0086799F">
          <w:rPr>
            <w:rStyle w:val="a7"/>
            <w:rFonts w:cs="宋体" w:hint="eastAsia"/>
          </w:rPr>
          <w:t>质量控制</w:t>
        </w:r>
        <w:r w:rsidR="0086799F">
          <w:tab/>
        </w:r>
        <w:r w:rsidR="0086799F">
          <w:fldChar w:fldCharType="begin"/>
        </w:r>
        <w:r w:rsidR="0086799F">
          <w:instrText xml:space="preserve"> PAGEREF _Toc90485551 \h </w:instrText>
        </w:r>
        <w:r w:rsidR="0086799F">
          <w:fldChar w:fldCharType="separate"/>
        </w:r>
        <w:r w:rsidR="0086799F">
          <w:t>16</w:t>
        </w:r>
        <w:r w:rsidR="0086799F">
          <w:fldChar w:fldCharType="end"/>
        </w:r>
      </w:hyperlink>
    </w:p>
    <w:p w14:paraId="6A51400C" w14:textId="77777777" w:rsidR="00D33511" w:rsidRDefault="00FA798F">
      <w:pPr>
        <w:pStyle w:val="1"/>
        <w:tabs>
          <w:tab w:val="left" w:pos="630"/>
          <w:tab w:val="right" w:leader="dot" w:pos="9060"/>
        </w:tabs>
        <w:rPr>
          <w:rFonts w:asciiTheme="minorHAnsi" w:eastAsiaTheme="minorEastAsia" w:hAnsiTheme="minorHAnsi" w:cstheme="minorBidi"/>
          <w:color w:val="auto"/>
          <w:kern w:val="2"/>
          <w:sz w:val="21"/>
          <w:szCs w:val="22"/>
          <w:lang w:eastAsia="zh-CN" w:bidi="ar-SA"/>
        </w:rPr>
      </w:pPr>
      <w:hyperlink w:anchor="_Toc90485552" w:history="1">
        <w:r w:rsidR="0086799F">
          <w:rPr>
            <w:rStyle w:val="a7"/>
            <w:bCs/>
          </w:rPr>
          <w:t>VI.</w:t>
        </w:r>
        <w:r w:rsidR="0086799F">
          <w:rPr>
            <w:rFonts w:asciiTheme="minorHAnsi" w:eastAsiaTheme="minorEastAsia" w:hAnsiTheme="minorHAnsi" w:cstheme="minorBidi"/>
            <w:color w:val="auto"/>
            <w:kern w:val="2"/>
            <w:sz w:val="21"/>
            <w:szCs w:val="22"/>
            <w:lang w:eastAsia="zh-CN" w:bidi="ar-SA"/>
          </w:rPr>
          <w:tab/>
        </w:r>
        <w:r w:rsidR="0086799F">
          <w:rPr>
            <w:rStyle w:val="a7"/>
            <w:rFonts w:cs="宋体"/>
          </w:rPr>
          <w:t>RWE</w:t>
        </w:r>
        <w:r w:rsidR="0086799F">
          <w:rPr>
            <w:rStyle w:val="a7"/>
            <w:rFonts w:cs="宋体" w:hint="eastAsia"/>
          </w:rPr>
          <w:t>使用示例</w:t>
        </w:r>
        <w:r w:rsidR="0086799F">
          <w:tab/>
        </w:r>
        <w:r w:rsidR="0086799F">
          <w:fldChar w:fldCharType="begin"/>
        </w:r>
        <w:r w:rsidR="0086799F">
          <w:instrText xml:space="preserve"> PAGEREF _Toc90485552 \h </w:instrText>
        </w:r>
        <w:r w:rsidR="0086799F">
          <w:fldChar w:fldCharType="separate"/>
        </w:r>
        <w:r w:rsidR="0086799F">
          <w:t>17</w:t>
        </w:r>
        <w:r w:rsidR="0086799F">
          <w:fldChar w:fldCharType="end"/>
        </w:r>
      </w:hyperlink>
    </w:p>
    <w:p w14:paraId="4A12F183"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3" w:history="1">
        <w:r w:rsidR="0086799F">
          <w:rPr>
            <w:rStyle w:val="a7"/>
            <w:bCs/>
          </w:rPr>
          <w:t>A.</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扩展适应症</w:t>
        </w:r>
        <w:r w:rsidR="0086799F">
          <w:tab/>
        </w:r>
        <w:r w:rsidR="0086799F">
          <w:fldChar w:fldCharType="begin"/>
        </w:r>
        <w:r w:rsidR="0086799F">
          <w:instrText xml:space="preserve"> PAGEREF _Toc90485553 \h </w:instrText>
        </w:r>
        <w:r w:rsidR="0086799F">
          <w:fldChar w:fldCharType="separate"/>
        </w:r>
        <w:r w:rsidR="0086799F">
          <w:t>17</w:t>
        </w:r>
        <w:r w:rsidR="0086799F">
          <w:fldChar w:fldCharType="end"/>
        </w:r>
      </w:hyperlink>
    </w:p>
    <w:p w14:paraId="53C810AC"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4" w:history="1">
        <w:r w:rsidR="0086799F">
          <w:rPr>
            <w:rStyle w:val="a7"/>
            <w:bCs/>
            <w:lang w:eastAsia="zh-CN"/>
          </w:rPr>
          <w:t>B.</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lang w:eastAsia="zh-CN"/>
          </w:rPr>
          <w:t>上市后监督研究（第</w:t>
        </w:r>
        <w:r w:rsidR="0086799F">
          <w:rPr>
            <w:rStyle w:val="a7"/>
            <w:rFonts w:cs="宋体"/>
            <w:lang w:eastAsia="zh-CN"/>
          </w:rPr>
          <w:t>522</w:t>
        </w:r>
        <w:r w:rsidR="0086799F">
          <w:rPr>
            <w:rStyle w:val="a7"/>
            <w:rFonts w:cs="宋体" w:hint="eastAsia"/>
            <w:lang w:eastAsia="zh-CN"/>
          </w:rPr>
          <w:t>节）</w:t>
        </w:r>
        <w:r w:rsidR="0086799F">
          <w:tab/>
        </w:r>
        <w:r w:rsidR="0086799F">
          <w:fldChar w:fldCharType="begin"/>
        </w:r>
        <w:r w:rsidR="0086799F">
          <w:instrText xml:space="preserve"> PAGEREF _Toc90485554 \h </w:instrText>
        </w:r>
        <w:r w:rsidR="0086799F">
          <w:fldChar w:fldCharType="separate"/>
        </w:r>
        <w:r w:rsidR="0086799F">
          <w:t>18</w:t>
        </w:r>
        <w:r w:rsidR="0086799F">
          <w:fldChar w:fldCharType="end"/>
        </w:r>
      </w:hyperlink>
    </w:p>
    <w:p w14:paraId="3D346768"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5" w:history="1">
        <w:r w:rsidR="0086799F">
          <w:rPr>
            <w:rStyle w:val="a7"/>
            <w:bCs/>
            <w:lang w:eastAsia="zh-CN"/>
          </w:rPr>
          <w:t>C.</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lang w:eastAsia="zh-CN"/>
          </w:rPr>
          <w:t>作为批准条件的批准后器械监督</w:t>
        </w:r>
        <w:r w:rsidR="0086799F">
          <w:tab/>
        </w:r>
        <w:r w:rsidR="0086799F">
          <w:fldChar w:fldCharType="begin"/>
        </w:r>
        <w:r w:rsidR="0086799F">
          <w:instrText xml:space="preserve"> PAGEREF _Toc90485555 \h </w:instrText>
        </w:r>
        <w:r w:rsidR="0086799F">
          <w:fldChar w:fldCharType="separate"/>
        </w:r>
        <w:r w:rsidR="0086799F">
          <w:t>19</w:t>
        </w:r>
        <w:r w:rsidR="0086799F">
          <w:fldChar w:fldCharType="end"/>
        </w:r>
      </w:hyperlink>
    </w:p>
    <w:p w14:paraId="1E6FE137"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6" w:history="1">
        <w:r w:rsidR="0086799F">
          <w:rPr>
            <w:rStyle w:val="a7"/>
            <w:bCs/>
          </w:rPr>
          <w:t>D.</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对照组</w:t>
        </w:r>
        <w:r w:rsidR="0086799F">
          <w:tab/>
        </w:r>
        <w:r w:rsidR="0086799F">
          <w:fldChar w:fldCharType="begin"/>
        </w:r>
        <w:r w:rsidR="0086799F">
          <w:instrText xml:space="preserve"> PAGEREF _Toc90485556 \h </w:instrText>
        </w:r>
        <w:r w:rsidR="0086799F">
          <w:fldChar w:fldCharType="separate"/>
        </w:r>
        <w:r w:rsidR="0086799F">
          <w:t>19</w:t>
        </w:r>
        <w:r w:rsidR="0086799F">
          <w:fldChar w:fldCharType="end"/>
        </w:r>
      </w:hyperlink>
    </w:p>
    <w:p w14:paraId="451FCC0E" w14:textId="77777777" w:rsidR="00D33511" w:rsidRDefault="00FA798F">
      <w:pPr>
        <w:pStyle w:val="2"/>
        <w:tabs>
          <w:tab w:val="left" w:pos="105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7" w:history="1">
        <w:r w:rsidR="0086799F">
          <w:rPr>
            <w:rStyle w:val="a7"/>
            <w:bCs/>
          </w:rPr>
          <w:t>E.</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补充数据</w:t>
        </w:r>
        <w:r w:rsidR="0086799F">
          <w:tab/>
        </w:r>
        <w:r w:rsidR="0086799F">
          <w:fldChar w:fldCharType="begin"/>
        </w:r>
        <w:r w:rsidR="0086799F">
          <w:instrText xml:space="preserve"> PAGEREF _Toc90485557 \h </w:instrText>
        </w:r>
        <w:r w:rsidR="0086799F">
          <w:fldChar w:fldCharType="separate"/>
        </w:r>
        <w:r w:rsidR="0086799F">
          <w:t>20</w:t>
        </w:r>
        <w:r w:rsidR="0086799F">
          <w:fldChar w:fldCharType="end"/>
        </w:r>
      </w:hyperlink>
    </w:p>
    <w:p w14:paraId="6FE3FD17" w14:textId="77777777" w:rsidR="00D33511" w:rsidRDefault="00FA798F">
      <w:pPr>
        <w:pStyle w:val="2"/>
        <w:tabs>
          <w:tab w:val="left" w:pos="840"/>
          <w:tab w:val="right" w:leader="dot" w:pos="9060"/>
        </w:tabs>
        <w:ind w:left="480"/>
        <w:rPr>
          <w:rFonts w:asciiTheme="minorHAnsi" w:eastAsiaTheme="minorEastAsia" w:hAnsiTheme="minorHAnsi" w:cstheme="minorBidi"/>
          <w:color w:val="auto"/>
          <w:kern w:val="2"/>
          <w:sz w:val="21"/>
          <w:szCs w:val="22"/>
          <w:lang w:eastAsia="zh-CN" w:bidi="ar-SA"/>
        </w:rPr>
      </w:pPr>
      <w:hyperlink w:anchor="_Toc90485558" w:history="1">
        <w:r w:rsidR="0086799F">
          <w:rPr>
            <w:rStyle w:val="a7"/>
            <w:bCs/>
            <w:lang w:eastAsia="zh-CN"/>
          </w:rPr>
          <w:t>F.</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lang w:eastAsia="zh-CN"/>
          </w:rPr>
          <w:t>客观性能标准和性能目标</w:t>
        </w:r>
        <w:r w:rsidR="0086799F">
          <w:tab/>
        </w:r>
        <w:r w:rsidR="0086799F">
          <w:fldChar w:fldCharType="begin"/>
        </w:r>
        <w:r w:rsidR="0086799F">
          <w:instrText xml:space="preserve"> PAGEREF _Toc90485558 \h </w:instrText>
        </w:r>
        <w:r w:rsidR="0086799F">
          <w:fldChar w:fldCharType="separate"/>
        </w:r>
        <w:r w:rsidR="0086799F">
          <w:t>20</w:t>
        </w:r>
        <w:r w:rsidR="0086799F">
          <w:fldChar w:fldCharType="end"/>
        </w:r>
      </w:hyperlink>
    </w:p>
    <w:p w14:paraId="18714A8D" w14:textId="77777777" w:rsidR="00D33511" w:rsidRDefault="00FA798F">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0485559" w:history="1">
        <w:r w:rsidR="0086799F">
          <w:rPr>
            <w:rStyle w:val="a7"/>
            <w:bCs/>
          </w:rPr>
          <w:t>VII.</w:t>
        </w:r>
        <w:r w:rsidR="0086799F">
          <w:rPr>
            <w:rFonts w:asciiTheme="minorHAnsi" w:eastAsiaTheme="minorEastAsia" w:hAnsiTheme="minorHAnsi" w:cstheme="minorBidi"/>
            <w:color w:val="auto"/>
            <w:kern w:val="2"/>
            <w:sz w:val="21"/>
            <w:szCs w:val="22"/>
            <w:lang w:eastAsia="zh-CN" w:bidi="ar-SA"/>
          </w:rPr>
          <w:tab/>
        </w:r>
        <w:r w:rsidR="0086799F">
          <w:rPr>
            <w:rStyle w:val="a7"/>
            <w:rFonts w:cs="宋体" w:hint="eastAsia"/>
          </w:rPr>
          <w:t>术语表</w:t>
        </w:r>
        <w:r w:rsidR="0086799F">
          <w:tab/>
        </w:r>
        <w:r w:rsidR="0086799F">
          <w:fldChar w:fldCharType="begin"/>
        </w:r>
        <w:r w:rsidR="0086799F">
          <w:instrText xml:space="preserve"> PAGEREF _Toc90485559 \h </w:instrText>
        </w:r>
        <w:r w:rsidR="0086799F">
          <w:fldChar w:fldCharType="separate"/>
        </w:r>
        <w:r w:rsidR="0086799F">
          <w:t>21</w:t>
        </w:r>
        <w:r w:rsidR="0086799F">
          <w:fldChar w:fldCharType="end"/>
        </w:r>
      </w:hyperlink>
    </w:p>
    <w:p w14:paraId="4D45CBFA" w14:textId="77777777" w:rsidR="00D33511" w:rsidRDefault="0086799F">
      <w:pPr>
        <w:pStyle w:val="1"/>
        <w:tabs>
          <w:tab w:val="left" w:pos="630"/>
          <w:tab w:val="right" w:leader="dot" w:pos="9060"/>
        </w:tabs>
        <w:rPr>
          <w:lang w:eastAsia="zh-CN"/>
        </w:rPr>
      </w:pPr>
      <w:r>
        <w:fldChar w:fldCharType="end"/>
      </w:r>
      <w:r>
        <w:rPr>
          <w:rFonts w:cs="宋体"/>
          <w:lang w:eastAsia="zh-CN"/>
        </w:rPr>
        <w:br w:type="page"/>
      </w:r>
    </w:p>
    <w:p w14:paraId="09AF1DF9" w14:textId="77777777" w:rsidR="00D33511" w:rsidRDefault="0086799F">
      <w:pPr>
        <w:pBdr>
          <w:bottom w:val="single" w:sz="4" w:space="1" w:color="auto"/>
        </w:pBdr>
        <w:spacing w:before="120"/>
        <w:jc w:val="center"/>
        <w:rPr>
          <w:b/>
          <w:bCs/>
          <w:sz w:val="44"/>
          <w:szCs w:val="44"/>
          <w:lang w:eastAsia="zh-CN"/>
        </w:rPr>
      </w:pPr>
      <w:r>
        <w:rPr>
          <w:rFonts w:cs="宋体"/>
          <w:b/>
          <w:sz w:val="44"/>
          <w:lang w:eastAsia="zh-CN"/>
        </w:rPr>
        <w:lastRenderedPageBreak/>
        <w:t>用于支持医疗器械的监管决策</w:t>
      </w:r>
      <w:r>
        <w:rPr>
          <w:rFonts w:cs="宋体" w:hint="eastAsia"/>
          <w:b/>
          <w:sz w:val="44"/>
          <w:lang w:eastAsia="zh-CN"/>
        </w:rPr>
        <w:t>的</w:t>
      </w:r>
      <w:r>
        <w:rPr>
          <w:rFonts w:cs="宋体"/>
          <w:b/>
          <w:sz w:val="44"/>
          <w:lang w:eastAsia="zh-CN"/>
        </w:rPr>
        <w:t>真实世界证据</w:t>
      </w:r>
    </w:p>
    <w:p w14:paraId="1E1D9F5E" w14:textId="59DE0122" w:rsidR="00D33511" w:rsidRDefault="0086799F">
      <w:pPr>
        <w:spacing w:before="120"/>
        <w:jc w:val="center"/>
        <w:rPr>
          <w:b/>
          <w:bCs/>
          <w:sz w:val="44"/>
          <w:szCs w:val="44"/>
          <w:lang w:eastAsia="zh-CN"/>
        </w:rPr>
      </w:pPr>
      <w:r>
        <w:rPr>
          <w:rFonts w:cs="宋体"/>
          <w:b/>
          <w:sz w:val="44"/>
          <w:lang w:eastAsia="zh-CN"/>
        </w:rPr>
        <w:t>行业和</w:t>
      </w:r>
      <w:r w:rsidR="002E064B">
        <w:rPr>
          <w:rFonts w:cs="宋体"/>
          <w:b/>
          <w:sz w:val="44"/>
          <w:lang w:eastAsia="zh-CN"/>
        </w:rPr>
        <w:t>美国食品药品监督管理局</w:t>
      </w:r>
      <w:r>
        <w:rPr>
          <w:rFonts w:cs="宋体"/>
          <w:b/>
          <w:sz w:val="44"/>
          <w:lang w:eastAsia="zh-CN"/>
        </w:rPr>
        <w:t>工作人员指南</w:t>
      </w:r>
    </w:p>
    <w:tbl>
      <w:tblPr>
        <w:tblStyle w:val="a6"/>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060"/>
      </w:tblGrid>
      <w:tr w:rsidR="00D33511" w14:paraId="150F68A2" w14:textId="77777777">
        <w:tc>
          <w:tcPr>
            <w:tcW w:w="9060" w:type="dxa"/>
          </w:tcPr>
          <w:p w14:paraId="71779EAE" w14:textId="4B33D4CB" w:rsidR="00D33511" w:rsidRDefault="0086799F">
            <w:pPr>
              <w:pStyle w:val="af"/>
              <w:spacing w:before="36"/>
              <w:rPr>
                <w:b/>
                <w:bCs/>
                <w:i/>
                <w:iCs/>
                <w:lang w:eastAsia="zh-CN"/>
              </w:rPr>
            </w:pPr>
            <w:bookmarkStart w:id="1" w:name="_GoBack"/>
            <w:r>
              <w:rPr>
                <w:rFonts w:cs="宋体" w:hint="eastAsia"/>
                <w:b/>
                <w:i/>
                <w:lang w:eastAsia="zh-CN"/>
              </w:rPr>
              <w:t>本指南代表食品药品监督管理局（</w:t>
            </w:r>
            <w:r>
              <w:rPr>
                <w:rFonts w:cs="宋体" w:hint="eastAsia"/>
                <w:b/>
                <w:i/>
                <w:lang w:eastAsia="zh-CN"/>
              </w:rPr>
              <w:t>FDA</w:t>
            </w:r>
            <w:r>
              <w:rPr>
                <w:rFonts w:cs="宋体" w:hint="eastAsia"/>
                <w:b/>
                <w:i/>
                <w:lang w:eastAsia="zh-CN"/>
              </w:rPr>
              <w:t>）目前关于该主题的思考。其不会为任何人创造或赋予任何权利，也不会对</w:t>
            </w:r>
            <w:r>
              <w:rPr>
                <w:rFonts w:cs="宋体" w:hint="eastAsia"/>
                <w:b/>
                <w:i/>
                <w:lang w:eastAsia="zh-CN"/>
              </w:rPr>
              <w:t>FDA</w:t>
            </w:r>
            <w:r>
              <w:rPr>
                <w:rFonts w:cs="宋体" w:hint="eastAsia"/>
                <w:b/>
                <w:i/>
                <w:lang w:eastAsia="zh-CN"/>
              </w:rPr>
              <w:t>或公众产生约束。如果替代方法满足适用的法律法规的要求，则可以使用该方法。如需讨论替代方法，请联系</w:t>
            </w:r>
            <w:r w:rsidR="00733EC2">
              <w:rPr>
                <w:rFonts w:cs="宋体" w:hint="eastAsia"/>
                <w:b/>
                <w:i/>
                <w:lang w:eastAsia="zh-CN"/>
              </w:rPr>
              <w:t>负责实施本指南文件的</w:t>
            </w:r>
            <w:r w:rsidR="00733EC2">
              <w:rPr>
                <w:rFonts w:cs="宋体" w:hint="eastAsia"/>
                <w:b/>
                <w:i/>
                <w:lang w:eastAsia="zh-CN"/>
              </w:rPr>
              <w:t>FDA</w:t>
            </w:r>
            <w:r w:rsidR="00733EC2">
              <w:rPr>
                <w:rFonts w:cs="宋体" w:hint="eastAsia"/>
                <w:b/>
                <w:i/>
                <w:lang w:eastAsia="zh-CN"/>
              </w:rPr>
              <w:t>工作人员。如果您无法确认合适的</w:t>
            </w:r>
            <w:r w:rsidR="00733EC2">
              <w:rPr>
                <w:rFonts w:cs="宋体" w:hint="eastAsia"/>
                <w:b/>
                <w:i/>
                <w:lang w:eastAsia="zh-CN"/>
              </w:rPr>
              <w:t>FDA</w:t>
            </w:r>
            <w:r w:rsidR="00733EC2">
              <w:rPr>
                <w:rFonts w:cs="宋体" w:hint="eastAsia"/>
                <w:b/>
                <w:i/>
                <w:lang w:eastAsia="zh-CN"/>
              </w:rPr>
              <w:t>工作人员，请拨打本指南</w:t>
            </w:r>
            <w:proofErr w:type="gramStart"/>
            <w:r w:rsidR="00742D5D">
              <w:rPr>
                <w:rFonts w:cs="宋体" w:hint="eastAsia"/>
                <w:b/>
                <w:i/>
                <w:lang w:eastAsia="zh-CN"/>
              </w:rPr>
              <w:t>标题页</w:t>
            </w:r>
            <w:proofErr w:type="gramEnd"/>
            <w:r w:rsidR="00733EC2">
              <w:rPr>
                <w:rFonts w:cs="宋体" w:hint="eastAsia"/>
                <w:b/>
                <w:i/>
                <w:lang w:eastAsia="zh-CN"/>
              </w:rPr>
              <w:t>上合适的电话号码</w:t>
            </w:r>
            <w:r>
              <w:rPr>
                <w:rFonts w:cs="宋体" w:hint="eastAsia"/>
                <w:b/>
                <w:i/>
                <w:lang w:eastAsia="zh-CN"/>
              </w:rPr>
              <w:t>。</w:t>
            </w:r>
            <w:bookmarkEnd w:id="1"/>
          </w:p>
        </w:tc>
      </w:tr>
    </w:tbl>
    <w:p w14:paraId="0B2DC63A" w14:textId="77777777" w:rsidR="00D33511" w:rsidRDefault="0086799F">
      <w:pPr>
        <w:pStyle w:val="af0"/>
        <w:numPr>
          <w:ilvl w:val="0"/>
          <w:numId w:val="1"/>
        </w:numPr>
        <w:spacing w:before="120"/>
        <w:ind w:left="643" w:hangingChars="200" w:hanging="643"/>
        <w:outlineLvl w:val="0"/>
        <w:rPr>
          <w:b/>
          <w:bCs/>
          <w:sz w:val="32"/>
          <w:szCs w:val="32"/>
        </w:rPr>
      </w:pPr>
      <w:bookmarkStart w:id="2" w:name="_Toc90485541"/>
      <w:proofErr w:type="spellStart"/>
      <w:r>
        <w:rPr>
          <w:rFonts w:cs="宋体"/>
          <w:b/>
          <w:sz w:val="32"/>
        </w:rPr>
        <w:t>引言和范围</w:t>
      </w:r>
      <w:bookmarkEnd w:id="2"/>
      <w:proofErr w:type="spellEnd"/>
    </w:p>
    <w:p w14:paraId="761A5B76" w14:textId="72002144" w:rsidR="00D33511" w:rsidRDefault="0086799F">
      <w:pPr>
        <w:spacing w:before="120"/>
        <w:rPr>
          <w:lang w:eastAsia="zh-CN"/>
        </w:rPr>
      </w:pPr>
      <w:r>
        <w:rPr>
          <w:rFonts w:cs="宋体"/>
          <w:lang w:eastAsia="zh-CN"/>
        </w:rPr>
        <w:t>FDA</w:t>
      </w:r>
      <w:r>
        <w:rPr>
          <w:rFonts w:cs="宋体"/>
          <w:lang w:eastAsia="zh-CN"/>
        </w:rPr>
        <w:t>发布本指南</w:t>
      </w:r>
      <w:r>
        <w:rPr>
          <w:rFonts w:cs="宋体" w:hint="eastAsia"/>
          <w:lang w:eastAsia="zh-CN"/>
        </w:rPr>
        <w:t>旨在</w:t>
      </w:r>
      <w:r>
        <w:rPr>
          <w:rFonts w:cs="宋体"/>
          <w:lang w:eastAsia="zh-CN"/>
        </w:rPr>
        <w:t>阐述说明：</w:t>
      </w:r>
      <w:r>
        <w:rPr>
          <w:rFonts w:cs="宋体" w:hint="eastAsia"/>
          <w:lang w:eastAsia="zh-CN"/>
        </w:rPr>
        <w:t>FDA</w:t>
      </w:r>
      <w:r>
        <w:rPr>
          <w:rFonts w:cs="宋体"/>
          <w:lang w:eastAsia="zh-CN"/>
        </w:rPr>
        <w:t>是如何通过评价真实世界数据来确定是否足以生成各类真实世界证据，以用于</w:t>
      </w:r>
      <w:r>
        <w:rPr>
          <w:rFonts w:cs="宋体"/>
          <w:lang w:eastAsia="zh-CN"/>
        </w:rPr>
        <w:t>FDA</w:t>
      </w:r>
      <w:r>
        <w:rPr>
          <w:rFonts w:cs="宋体"/>
          <w:lang w:eastAsia="zh-CN"/>
        </w:rPr>
        <w:t>的医疗器械监管决策。本指南适用于所有器械，术语定义可参见《联邦食品、药品和化妆品法案》（</w:t>
      </w:r>
      <w:r>
        <w:rPr>
          <w:rFonts w:cs="宋体" w:hint="eastAsia"/>
          <w:lang w:eastAsia="zh-CN"/>
        </w:rPr>
        <w:t>《</w:t>
      </w:r>
      <w:r>
        <w:rPr>
          <w:rFonts w:cs="宋体"/>
          <w:lang w:eastAsia="zh-CN"/>
        </w:rPr>
        <w:t>FD&amp;C</w:t>
      </w:r>
      <w:r>
        <w:rPr>
          <w:rFonts w:cs="宋体"/>
          <w:lang w:eastAsia="zh-CN"/>
        </w:rPr>
        <w:t>法案</w:t>
      </w:r>
      <w:r>
        <w:rPr>
          <w:rFonts w:cs="宋体" w:hint="eastAsia"/>
          <w:lang w:eastAsia="zh-CN"/>
        </w:rPr>
        <w:t>》</w:t>
      </w:r>
      <w:r>
        <w:rPr>
          <w:rFonts w:cs="宋体"/>
          <w:lang w:eastAsia="zh-CN"/>
        </w:rPr>
        <w:t>）第</w:t>
      </w:r>
      <w:r>
        <w:rPr>
          <w:rFonts w:cs="宋体"/>
          <w:lang w:eastAsia="zh-CN"/>
        </w:rPr>
        <w:t>201(h)</w:t>
      </w:r>
      <w:r>
        <w:rPr>
          <w:rFonts w:cs="宋体"/>
          <w:lang w:eastAsia="zh-CN"/>
        </w:rPr>
        <w:t>条（包括符合器械定义的软件）。</w:t>
      </w:r>
    </w:p>
    <w:p w14:paraId="6C33A724" w14:textId="77777777" w:rsidR="00D33511" w:rsidRDefault="0086799F">
      <w:pPr>
        <w:spacing w:before="120"/>
        <w:rPr>
          <w:lang w:eastAsia="zh-CN"/>
        </w:rPr>
      </w:pPr>
      <w:r>
        <w:rPr>
          <w:rFonts w:cs="宋体"/>
          <w:b/>
          <w:lang w:eastAsia="zh-CN"/>
        </w:rPr>
        <w:t>真实世界数据（</w:t>
      </w:r>
      <w:r>
        <w:rPr>
          <w:rFonts w:cs="宋体"/>
          <w:b/>
          <w:lang w:eastAsia="zh-CN"/>
        </w:rPr>
        <w:t>RWD</w:t>
      </w:r>
      <w:r>
        <w:rPr>
          <w:rFonts w:cs="宋体"/>
          <w:b/>
          <w:lang w:eastAsia="zh-CN"/>
        </w:rPr>
        <w:t>）</w:t>
      </w:r>
      <w:r>
        <w:rPr>
          <w:rFonts w:cs="宋体"/>
          <w:lang w:eastAsia="zh-CN"/>
        </w:rPr>
        <w:t>是指从各种来源常规收集的与患者健康状况和／或医疗服务相关的数据。</w:t>
      </w:r>
    </w:p>
    <w:p w14:paraId="149FF1DD" w14:textId="5442666A" w:rsidR="00D33511" w:rsidRDefault="0086799F">
      <w:pPr>
        <w:spacing w:before="120"/>
        <w:rPr>
          <w:lang w:eastAsia="zh-CN"/>
        </w:rPr>
      </w:pPr>
      <w:r>
        <w:rPr>
          <w:rFonts w:cs="宋体"/>
          <w:lang w:eastAsia="zh-CN"/>
        </w:rPr>
        <w:t>例如，</w:t>
      </w:r>
      <w:r>
        <w:rPr>
          <w:rFonts w:cs="宋体"/>
          <w:lang w:eastAsia="zh-CN"/>
        </w:rPr>
        <w:t>RWD</w:t>
      </w:r>
      <w:r>
        <w:rPr>
          <w:rFonts w:cs="宋体"/>
          <w:lang w:eastAsia="zh-CN"/>
        </w:rPr>
        <w:t>包括电子健康记录（</w:t>
      </w:r>
      <w:r>
        <w:rPr>
          <w:rFonts w:cs="宋体"/>
          <w:lang w:eastAsia="zh-CN"/>
        </w:rPr>
        <w:t>EHR</w:t>
      </w:r>
      <w:r>
        <w:rPr>
          <w:rFonts w:cs="宋体"/>
          <w:lang w:eastAsia="zh-CN"/>
        </w:rPr>
        <w:t>）、赔付和账单数据、来自产品和疾病登记注册的数据、患者生成的数据（包括家用环境设置）以及从移动终端等其他来源收集的数据，可用于了解健康状况。可将</w:t>
      </w:r>
      <w:r>
        <w:rPr>
          <w:rFonts w:cs="宋体"/>
          <w:lang w:eastAsia="zh-CN"/>
        </w:rPr>
        <w:t>RWD</w:t>
      </w:r>
      <w:r>
        <w:rPr>
          <w:rFonts w:cs="宋体"/>
          <w:lang w:eastAsia="zh-CN"/>
        </w:rPr>
        <w:t>来源（例如：登记注册处收集的</w:t>
      </w:r>
      <w:r>
        <w:rPr>
          <w:rFonts w:cs="宋体"/>
          <w:lang w:eastAsia="zh-CN"/>
        </w:rPr>
        <w:t>EHR</w:t>
      </w:r>
      <w:r>
        <w:rPr>
          <w:rFonts w:cs="宋体"/>
          <w:lang w:eastAsia="zh-CN"/>
        </w:rPr>
        <w:t>，以及行政管理和医疗赔付数据库）用作数据收集和分析的基础设施，以支持多种类型的试验设计，包括但不仅限于随机试验（如大规模简单试验）、实效性临床试验和观察性研究（前瞻性和／或回顾性）。</w:t>
      </w:r>
    </w:p>
    <w:p w14:paraId="570E6069" w14:textId="692B474C" w:rsidR="00D33511" w:rsidRDefault="0086799F">
      <w:pPr>
        <w:spacing w:before="120"/>
        <w:rPr>
          <w:lang w:eastAsia="zh-CN"/>
        </w:rPr>
      </w:pPr>
      <w:r>
        <w:rPr>
          <w:rFonts w:cs="宋体"/>
          <w:b/>
          <w:lang w:eastAsia="zh-CN"/>
        </w:rPr>
        <w:t>真实世界证据（</w:t>
      </w:r>
      <w:r>
        <w:rPr>
          <w:rFonts w:cs="宋体"/>
          <w:b/>
          <w:lang w:eastAsia="zh-CN"/>
        </w:rPr>
        <w:t>RWE</w:t>
      </w:r>
      <w:r>
        <w:rPr>
          <w:rFonts w:cs="宋体"/>
          <w:b/>
          <w:lang w:eastAsia="zh-CN"/>
        </w:rPr>
        <w:t>）</w:t>
      </w:r>
      <w:r>
        <w:rPr>
          <w:rFonts w:cs="宋体"/>
          <w:lang w:eastAsia="zh-CN"/>
        </w:rPr>
        <w:t>是指通过分析</w:t>
      </w:r>
      <w:r>
        <w:rPr>
          <w:rFonts w:cs="宋体"/>
          <w:lang w:eastAsia="zh-CN"/>
        </w:rPr>
        <w:t>RWD</w:t>
      </w:r>
      <w:r>
        <w:rPr>
          <w:rFonts w:cs="宋体"/>
          <w:lang w:eastAsia="zh-CN"/>
        </w:rPr>
        <w:t>得出的关于</w:t>
      </w:r>
      <w:r>
        <w:rPr>
          <w:rFonts w:cs="宋体" w:hint="eastAsia"/>
          <w:lang w:eastAsia="zh-CN"/>
        </w:rPr>
        <w:t>医药</w:t>
      </w:r>
      <w:r>
        <w:rPr>
          <w:rFonts w:cs="宋体"/>
          <w:lang w:eastAsia="zh-CN"/>
        </w:rPr>
        <w:t>产品的使用以及潜在</w:t>
      </w:r>
      <w:r w:rsidR="00733EC2">
        <w:rPr>
          <w:rFonts w:cs="宋体"/>
          <w:lang w:eastAsia="zh-CN"/>
        </w:rPr>
        <w:t>受益</w:t>
      </w:r>
      <w:r>
        <w:rPr>
          <w:rFonts w:cs="宋体"/>
          <w:lang w:eastAsia="zh-CN"/>
        </w:rPr>
        <w:t>或风险的临床证据。</w:t>
      </w:r>
    </w:p>
    <w:p w14:paraId="5D956DAA" w14:textId="77777777" w:rsidR="00D33511" w:rsidRDefault="0086799F">
      <w:pPr>
        <w:spacing w:before="120"/>
        <w:rPr>
          <w:lang w:eastAsia="zh-CN"/>
        </w:rPr>
      </w:pPr>
      <w:r>
        <w:rPr>
          <w:rFonts w:cs="宋体"/>
          <w:lang w:eastAsia="zh-CN"/>
        </w:rPr>
        <w:br w:type="page"/>
      </w:r>
    </w:p>
    <w:p w14:paraId="489D0493" w14:textId="00610451" w:rsidR="00D33511" w:rsidRDefault="0086799F">
      <w:pPr>
        <w:spacing w:before="120"/>
        <w:rPr>
          <w:lang w:eastAsia="zh-CN"/>
        </w:rPr>
      </w:pPr>
      <w:r>
        <w:rPr>
          <w:rFonts w:cs="宋体"/>
          <w:lang w:eastAsia="zh-CN"/>
        </w:rPr>
        <w:lastRenderedPageBreak/>
        <w:t>在适当条件下，来自真实世界的数据可用于支持监管决策。</w:t>
      </w:r>
      <w:r>
        <w:rPr>
          <w:rFonts w:cs="宋体"/>
          <w:lang w:eastAsia="zh-CN"/>
        </w:rPr>
        <w:t>RWD</w:t>
      </w:r>
      <w:r>
        <w:rPr>
          <w:rFonts w:cs="宋体"/>
          <w:lang w:eastAsia="zh-CN"/>
        </w:rPr>
        <w:t>和相关</w:t>
      </w:r>
      <w:r>
        <w:rPr>
          <w:rFonts w:cs="宋体"/>
          <w:lang w:eastAsia="zh-CN"/>
        </w:rPr>
        <w:t>RWE</w:t>
      </w:r>
      <w:r>
        <w:rPr>
          <w:rFonts w:cs="宋体"/>
          <w:lang w:eastAsia="zh-CN"/>
        </w:rPr>
        <w:t>可构成有效科学证据，这取决于数据的特征。本指南不应被解释为以任何方式</w:t>
      </w:r>
      <w:r>
        <w:rPr>
          <w:rFonts w:cs="宋体" w:hint="eastAsia"/>
          <w:lang w:eastAsia="zh-CN"/>
        </w:rPr>
        <w:t>修正</w:t>
      </w:r>
      <w:r>
        <w:rPr>
          <w:rFonts w:cs="宋体"/>
          <w:lang w:eastAsia="zh-CN"/>
        </w:rPr>
        <w:t>或改变适用于</w:t>
      </w:r>
      <w:r>
        <w:rPr>
          <w:rFonts w:cs="宋体"/>
          <w:lang w:eastAsia="zh-CN"/>
        </w:rPr>
        <w:t>FDA</w:t>
      </w:r>
      <w:r>
        <w:rPr>
          <w:rFonts w:cs="宋体"/>
          <w:lang w:eastAsia="zh-CN"/>
        </w:rPr>
        <w:t>监管决策的现有证据标准；相反，它描述了基于现有证据标准的</w:t>
      </w:r>
      <w:r>
        <w:rPr>
          <w:rFonts w:cs="宋体"/>
          <w:lang w:eastAsia="zh-CN"/>
        </w:rPr>
        <w:t>RWD</w:t>
      </w:r>
      <w:r>
        <w:rPr>
          <w:rFonts w:cs="宋体"/>
          <w:lang w:eastAsia="zh-CN"/>
        </w:rPr>
        <w:t>可用于支持各种</w:t>
      </w:r>
      <w:r>
        <w:rPr>
          <w:rFonts w:cs="宋体"/>
          <w:lang w:eastAsia="zh-CN"/>
        </w:rPr>
        <w:t>FDA</w:t>
      </w:r>
      <w:r>
        <w:rPr>
          <w:rFonts w:cs="宋体"/>
          <w:lang w:eastAsia="zh-CN"/>
        </w:rPr>
        <w:t>决定的情况。虽然</w:t>
      </w:r>
      <w:r>
        <w:rPr>
          <w:rFonts w:cs="宋体"/>
          <w:lang w:eastAsia="zh-CN"/>
        </w:rPr>
        <w:t>FDA</w:t>
      </w:r>
      <w:r>
        <w:rPr>
          <w:rFonts w:cs="宋体"/>
          <w:lang w:eastAsia="zh-CN"/>
        </w:rPr>
        <w:t>鼓励使用相关且可靠的</w:t>
      </w:r>
      <w:r>
        <w:rPr>
          <w:rFonts w:cs="宋体"/>
          <w:lang w:eastAsia="zh-CN"/>
        </w:rPr>
        <w:t>RWD</w:t>
      </w:r>
      <w:r>
        <w:rPr>
          <w:rFonts w:cs="宋体"/>
          <w:lang w:eastAsia="zh-CN"/>
        </w:rPr>
        <w:t>，但本指南未强制要求或限制通过其他方式提供证据来支持监管决策。本指南重点说明了</w:t>
      </w:r>
      <w:r>
        <w:rPr>
          <w:rFonts w:cs="宋体"/>
          <w:lang w:eastAsia="zh-CN"/>
        </w:rPr>
        <w:t>RWD</w:t>
      </w:r>
      <w:r>
        <w:rPr>
          <w:rFonts w:cs="宋体"/>
          <w:lang w:eastAsia="zh-CN"/>
        </w:rPr>
        <w:t>的一些潜在用途，并说明了</w:t>
      </w:r>
      <w:r>
        <w:rPr>
          <w:rFonts w:cs="宋体"/>
          <w:lang w:eastAsia="zh-CN"/>
        </w:rPr>
        <w:t>FDA</w:t>
      </w:r>
      <w:r>
        <w:rPr>
          <w:rFonts w:cs="宋体"/>
          <w:lang w:eastAsia="zh-CN"/>
        </w:rPr>
        <w:t>在评价是否特定</w:t>
      </w:r>
      <w:r>
        <w:rPr>
          <w:rFonts w:cs="宋体"/>
          <w:lang w:eastAsia="zh-CN"/>
        </w:rPr>
        <w:t>RWD</w:t>
      </w:r>
      <w:r>
        <w:rPr>
          <w:rFonts w:cs="宋体"/>
          <w:lang w:eastAsia="zh-CN"/>
        </w:rPr>
        <w:t>质量足以用于或支持监管决策时的考虑因素。本指南还阐述说明了需要在何时前瞻性采集试验用器械豁免（</w:t>
      </w:r>
      <w:r>
        <w:rPr>
          <w:rFonts w:cs="宋体"/>
          <w:lang w:eastAsia="zh-CN"/>
        </w:rPr>
        <w:t>IDE</w:t>
      </w:r>
      <w:r>
        <w:rPr>
          <w:rFonts w:cs="宋体"/>
          <w:lang w:eastAsia="zh-CN"/>
        </w:rPr>
        <w:t>）数据，并将</w:t>
      </w:r>
      <w:r>
        <w:rPr>
          <w:rFonts w:cs="宋体"/>
          <w:lang w:eastAsia="zh-CN"/>
        </w:rPr>
        <w:t>RWD</w:t>
      </w:r>
      <w:r>
        <w:rPr>
          <w:rFonts w:cs="宋体"/>
          <w:lang w:eastAsia="zh-CN"/>
        </w:rPr>
        <w:t>用于确定器械的安全性和有效性。</w:t>
      </w:r>
    </w:p>
    <w:p w14:paraId="4AC551DF" w14:textId="77777777" w:rsidR="00D33511" w:rsidRDefault="0086799F">
      <w:pPr>
        <w:spacing w:before="120"/>
        <w:rPr>
          <w:lang w:eastAsia="zh-CN"/>
        </w:rPr>
      </w:pPr>
      <w:r>
        <w:rPr>
          <w:rFonts w:cs="宋体"/>
          <w:lang w:eastAsia="zh-CN"/>
        </w:rPr>
        <w:t>本文件不涉及非临床数据的利用、不良事件报告和临床试验数据的二次利用（如事后分析）或系统文献综述。也不涉及研究设计／实施或分析方法。虽然本文件说明了</w:t>
      </w:r>
      <w:r>
        <w:rPr>
          <w:rFonts w:cs="宋体"/>
          <w:lang w:eastAsia="zh-CN"/>
        </w:rPr>
        <w:t>FDA</w:t>
      </w:r>
      <w:r>
        <w:rPr>
          <w:rFonts w:cs="宋体"/>
          <w:lang w:eastAsia="zh-CN"/>
        </w:rPr>
        <w:t>在评价</w:t>
      </w:r>
      <w:r>
        <w:rPr>
          <w:rFonts w:cs="宋体"/>
          <w:lang w:eastAsia="zh-CN"/>
        </w:rPr>
        <w:t>RWD</w:t>
      </w:r>
      <w:r>
        <w:rPr>
          <w:rFonts w:cs="宋体"/>
          <w:lang w:eastAsia="zh-CN"/>
        </w:rPr>
        <w:t>或</w:t>
      </w:r>
      <w:r>
        <w:rPr>
          <w:rFonts w:cs="宋体"/>
          <w:lang w:eastAsia="zh-CN"/>
        </w:rPr>
        <w:t>RWE</w:t>
      </w:r>
      <w:r>
        <w:rPr>
          <w:rFonts w:cs="宋体"/>
          <w:lang w:eastAsia="zh-CN"/>
        </w:rPr>
        <w:t>时的考虑因素，但未提供专门的合格／不合格标准或其他评分工具来判定</w:t>
      </w:r>
      <w:r>
        <w:rPr>
          <w:rFonts w:cs="宋体"/>
          <w:lang w:eastAsia="zh-CN"/>
        </w:rPr>
        <w:t>RWD</w:t>
      </w:r>
      <w:r>
        <w:rPr>
          <w:rFonts w:cs="宋体"/>
          <w:lang w:eastAsia="zh-CN"/>
        </w:rPr>
        <w:t>或</w:t>
      </w:r>
      <w:r>
        <w:rPr>
          <w:rFonts w:cs="宋体"/>
          <w:lang w:eastAsia="zh-CN"/>
        </w:rPr>
        <w:t>RWE</w:t>
      </w:r>
      <w:r>
        <w:rPr>
          <w:rFonts w:cs="宋体"/>
          <w:lang w:eastAsia="zh-CN"/>
        </w:rPr>
        <w:t>对特定监管决策的适用性。</w:t>
      </w:r>
    </w:p>
    <w:p w14:paraId="0EE2A305" w14:textId="77777777" w:rsidR="00D33511" w:rsidRDefault="0086799F">
      <w:pPr>
        <w:spacing w:before="120"/>
        <w:rPr>
          <w:lang w:eastAsia="zh-CN"/>
        </w:rPr>
      </w:pPr>
      <w:r>
        <w:rPr>
          <w:rFonts w:cs="宋体"/>
          <w:lang w:eastAsia="zh-CN"/>
        </w:rPr>
        <w:t>本指南未影响到适用于</w:t>
      </w:r>
      <w:r>
        <w:rPr>
          <w:rFonts w:cs="宋体"/>
          <w:lang w:eastAsia="zh-CN"/>
        </w:rPr>
        <w:t>RWD</w:t>
      </w:r>
      <w:r>
        <w:rPr>
          <w:rFonts w:cs="宋体"/>
          <w:lang w:eastAsia="zh-CN"/>
        </w:rPr>
        <w:t>使用或采集或者为人类受试者（包括知情同意要求）提供的保护或患者隐私的任何联邦、州或本地法律法规或外国法律法规。本指南应被用作补充文件</w:t>
      </w:r>
      <w:r>
        <w:rPr>
          <w:rFonts w:cs="宋体" w:hint="eastAsia"/>
          <w:lang w:eastAsia="zh-CN"/>
        </w:rPr>
        <w:t>，</w:t>
      </w:r>
      <w:r>
        <w:rPr>
          <w:rFonts w:cs="宋体"/>
          <w:lang w:eastAsia="zh-CN"/>
        </w:rPr>
        <w:t>而非取代其他</w:t>
      </w:r>
      <w:r>
        <w:rPr>
          <w:rFonts w:cs="宋体" w:hint="eastAsia"/>
          <w:lang w:eastAsia="zh-CN"/>
        </w:rPr>
        <w:t>特定</w:t>
      </w:r>
      <w:r>
        <w:rPr>
          <w:rFonts w:cs="宋体"/>
          <w:lang w:eastAsia="zh-CN"/>
        </w:rPr>
        <w:t>器械</w:t>
      </w:r>
      <w:r>
        <w:rPr>
          <w:rFonts w:cs="宋体" w:hint="eastAsia"/>
          <w:lang w:eastAsia="zh-CN"/>
        </w:rPr>
        <w:t>相关的</w:t>
      </w:r>
      <w:r>
        <w:rPr>
          <w:rFonts w:cs="宋体"/>
          <w:lang w:eastAsia="zh-CN"/>
        </w:rPr>
        <w:t>和临床试验质量管理规范专用</w:t>
      </w:r>
      <w:r>
        <w:rPr>
          <w:rFonts w:cs="宋体" w:hint="eastAsia"/>
          <w:lang w:eastAsia="zh-CN"/>
        </w:rPr>
        <w:t>的</w:t>
      </w:r>
      <w:r>
        <w:rPr>
          <w:rFonts w:cs="宋体"/>
          <w:lang w:eastAsia="zh-CN"/>
        </w:rPr>
        <w:t>指南文件。</w:t>
      </w:r>
    </w:p>
    <w:p w14:paraId="2794A37A" w14:textId="77777777" w:rsidR="00D33511" w:rsidRDefault="0086799F">
      <w:pPr>
        <w:spacing w:before="120"/>
        <w:rPr>
          <w:lang w:eastAsia="zh-CN"/>
        </w:rPr>
      </w:pPr>
      <w:r>
        <w:rPr>
          <w:rFonts w:cs="宋体"/>
          <w:lang w:eastAsia="zh-CN"/>
        </w:rPr>
        <w:t>包括本指南在内的</w:t>
      </w:r>
      <w:r>
        <w:rPr>
          <w:rFonts w:cs="宋体"/>
          <w:lang w:eastAsia="zh-CN"/>
        </w:rPr>
        <w:t>FDA</w:t>
      </w:r>
      <w:r>
        <w:rPr>
          <w:rFonts w:cs="宋体"/>
          <w:lang w:eastAsia="zh-CN"/>
        </w:rPr>
        <w:t>指南文件都不属于具有法律强制执行力的文件。相反，此类指南文件描述的是</w:t>
      </w:r>
      <w:r>
        <w:rPr>
          <w:rFonts w:cs="宋体"/>
          <w:lang w:eastAsia="zh-CN"/>
        </w:rPr>
        <w:t>FDA</w:t>
      </w:r>
      <w:r>
        <w:rPr>
          <w:rFonts w:cs="宋体"/>
          <w:lang w:eastAsia="zh-CN"/>
        </w:rPr>
        <w:t>目前对某个议题的看法，仅作为建议使用，但引用了特定的法规或法令要求的除外。在</w:t>
      </w:r>
      <w:r>
        <w:rPr>
          <w:rFonts w:cs="宋体"/>
          <w:lang w:eastAsia="zh-CN"/>
        </w:rPr>
        <w:t>FDA</w:t>
      </w:r>
      <w:r>
        <w:rPr>
          <w:rFonts w:cs="宋体"/>
          <w:lang w:eastAsia="zh-CN"/>
        </w:rPr>
        <w:t>的指南文件中，</w:t>
      </w:r>
      <w:r>
        <w:rPr>
          <w:rFonts w:cs="宋体"/>
          <w:lang w:eastAsia="zh-CN"/>
        </w:rPr>
        <w:t>“</w:t>
      </w:r>
      <w:r>
        <w:rPr>
          <w:rFonts w:cs="宋体"/>
          <w:lang w:eastAsia="zh-CN"/>
        </w:rPr>
        <w:t>应</w:t>
      </w:r>
      <w:r>
        <w:rPr>
          <w:rFonts w:cs="宋体"/>
          <w:lang w:eastAsia="zh-CN"/>
        </w:rPr>
        <w:t>”</w:t>
      </w:r>
      <w:r>
        <w:rPr>
          <w:rFonts w:cs="宋体"/>
          <w:lang w:eastAsia="zh-CN"/>
        </w:rPr>
        <w:t>一词是指建议或推荐，而不是要求。</w:t>
      </w:r>
    </w:p>
    <w:p w14:paraId="0C503CB1" w14:textId="77777777" w:rsidR="00D33511" w:rsidRDefault="0086799F">
      <w:pPr>
        <w:pStyle w:val="af0"/>
        <w:numPr>
          <w:ilvl w:val="0"/>
          <w:numId w:val="1"/>
        </w:numPr>
        <w:spacing w:before="120"/>
        <w:ind w:left="643" w:hangingChars="200" w:hanging="643"/>
        <w:outlineLvl w:val="0"/>
        <w:rPr>
          <w:b/>
          <w:bCs/>
          <w:sz w:val="32"/>
          <w:szCs w:val="32"/>
        </w:rPr>
      </w:pPr>
      <w:bookmarkStart w:id="3" w:name="_Toc90485542"/>
      <w:proofErr w:type="spellStart"/>
      <w:r>
        <w:rPr>
          <w:rFonts w:cs="宋体"/>
          <w:b/>
          <w:sz w:val="32"/>
        </w:rPr>
        <w:t>背景</w:t>
      </w:r>
      <w:bookmarkEnd w:id="3"/>
      <w:proofErr w:type="spellEnd"/>
    </w:p>
    <w:p w14:paraId="7D34FCB5" w14:textId="0CE403FE" w:rsidR="00D33511" w:rsidRDefault="0086799F">
      <w:pPr>
        <w:spacing w:before="120"/>
        <w:rPr>
          <w:lang w:eastAsia="zh-CN"/>
        </w:rPr>
      </w:pPr>
      <w:r>
        <w:rPr>
          <w:rFonts w:cs="宋体"/>
          <w:lang w:eastAsia="zh-CN"/>
        </w:rPr>
        <w:t>为了保护并促进公共卫生，</w:t>
      </w:r>
      <w:r>
        <w:rPr>
          <w:rFonts w:cs="宋体"/>
          <w:lang w:eastAsia="zh-CN"/>
        </w:rPr>
        <w:t>FDA</w:t>
      </w:r>
      <w:r>
        <w:rPr>
          <w:rFonts w:cs="宋体"/>
          <w:lang w:eastAsia="zh-CN"/>
        </w:rPr>
        <w:t>需要了解并评价与受监管产品相关的现有证据。</w:t>
      </w:r>
      <w:r>
        <w:rPr>
          <w:rFonts w:cs="宋体"/>
          <w:vertAlign w:val="superscript"/>
          <w:lang w:eastAsia="zh-CN"/>
        </w:rPr>
        <w:t>1</w:t>
      </w:r>
      <w:r>
        <w:rPr>
          <w:rFonts w:cs="宋体"/>
          <w:lang w:eastAsia="zh-CN"/>
        </w:rPr>
        <w:t>对于医疗器械，现有证据通常包括非临床研究以及在某些情况下，器械制造商或</w:t>
      </w:r>
      <w:r>
        <w:rPr>
          <w:rFonts w:cs="宋体" w:hint="eastAsia"/>
          <w:lang w:eastAsia="zh-CN"/>
        </w:rPr>
        <w:t>申请人</w:t>
      </w:r>
      <w:r>
        <w:rPr>
          <w:rFonts w:cs="宋体"/>
          <w:lang w:eastAsia="zh-CN"/>
        </w:rPr>
        <w:t>开展并提交至</w:t>
      </w:r>
      <w:r>
        <w:rPr>
          <w:rFonts w:cs="宋体"/>
          <w:lang w:eastAsia="zh-CN"/>
        </w:rPr>
        <w:t>FDA</w:t>
      </w:r>
      <w:r>
        <w:rPr>
          <w:rFonts w:cs="宋体"/>
          <w:lang w:eastAsia="zh-CN"/>
        </w:rPr>
        <w:t>的临床研究。但是，</w:t>
      </w:r>
      <w:r>
        <w:rPr>
          <w:rFonts w:cs="宋体"/>
          <w:lang w:eastAsia="zh-CN"/>
        </w:rPr>
        <w:t>FDA</w:t>
      </w:r>
      <w:r>
        <w:rPr>
          <w:rFonts w:cs="宋体"/>
          <w:lang w:eastAsia="zh-CN"/>
        </w:rPr>
        <w:t>意识到大量</w:t>
      </w:r>
      <w:r>
        <w:rPr>
          <w:rFonts w:cs="宋体"/>
          <w:lang w:eastAsia="zh-CN"/>
        </w:rPr>
        <w:t>RWD</w:t>
      </w:r>
      <w:r>
        <w:rPr>
          <w:rFonts w:cs="宋体"/>
          <w:lang w:eastAsia="zh-CN"/>
        </w:rPr>
        <w:t>存在包含医疗器械经验，并在患者的治疗与管理过程中进行了常规的数据采集。对于临床治疗或居家治疗过程中采集到的数据，数据质量控制程度可能与临床试验中采集到的数据不同。即便如此，在特定情况下，</w:t>
      </w:r>
      <w:r>
        <w:rPr>
          <w:rFonts w:cs="宋体"/>
          <w:lang w:eastAsia="zh-CN"/>
        </w:rPr>
        <w:t>RWD</w:t>
      </w:r>
      <w:r>
        <w:rPr>
          <w:rFonts w:cs="宋体"/>
          <w:lang w:eastAsia="zh-CN"/>
        </w:rPr>
        <w:t>的质量可能足以用于使</w:t>
      </w:r>
      <w:r>
        <w:rPr>
          <w:rFonts w:cs="宋体"/>
          <w:lang w:eastAsia="zh-CN"/>
        </w:rPr>
        <w:t>FDA</w:t>
      </w:r>
      <w:r>
        <w:rPr>
          <w:rFonts w:cs="宋体"/>
          <w:lang w:eastAsia="zh-CN"/>
        </w:rPr>
        <w:t>了解或进一步了解器械在生命周期的不同时间点的风险</w:t>
      </w:r>
      <w:r w:rsidR="00733EC2">
        <w:rPr>
          <w:rFonts w:cs="宋体"/>
          <w:lang w:eastAsia="zh-CN"/>
        </w:rPr>
        <w:t>受益</w:t>
      </w:r>
      <w:r>
        <w:rPr>
          <w:rFonts w:cs="宋体"/>
          <w:lang w:eastAsia="zh-CN"/>
        </w:rPr>
        <w:t>特征。通过电子健康记录（</w:t>
      </w:r>
      <w:r>
        <w:rPr>
          <w:rFonts w:cs="宋体"/>
          <w:lang w:eastAsia="zh-CN"/>
        </w:rPr>
        <w:t>EHR</w:t>
      </w:r>
      <w:r>
        <w:rPr>
          <w:rFonts w:cs="宋体"/>
          <w:lang w:eastAsia="zh-CN"/>
        </w:rPr>
        <w:t>）、注册登记处和行政管理与医疗赔付数据采集到的</w:t>
      </w:r>
      <w:r>
        <w:rPr>
          <w:rFonts w:cs="宋体"/>
          <w:lang w:eastAsia="zh-CN"/>
        </w:rPr>
        <w:t>RWD</w:t>
      </w:r>
      <w:r>
        <w:rPr>
          <w:rFonts w:cs="宋体"/>
          <w:lang w:eastAsia="zh-CN"/>
        </w:rPr>
        <w:t>通常是为了非监管目的而采集的，可提供关于医疗器械使用性能和临床结局的新观点。本信息可供申请</w:t>
      </w:r>
      <w:r>
        <w:rPr>
          <w:rFonts w:cs="宋体" w:hint="eastAsia"/>
          <w:lang w:eastAsia="zh-CN"/>
        </w:rPr>
        <w:t>人</w:t>
      </w:r>
      <w:r>
        <w:rPr>
          <w:rFonts w:cs="宋体"/>
          <w:lang w:eastAsia="zh-CN"/>
        </w:rPr>
        <w:t>用于证明符合监管要求，并帮助</w:t>
      </w:r>
      <w:r>
        <w:rPr>
          <w:rFonts w:cs="宋体"/>
          <w:lang w:eastAsia="zh-CN"/>
        </w:rPr>
        <w:t>FDA</w:t>
      </w:r>
      <w:r>
        <w:rPr>
          <w:rFonts w:cs="宋体"/>
          <w:lang w:eastAsia="zh-CN"/>
        </w:rPr>
        <w:t>制定监管决策。</w:t>
      </w:r>
    </w:p>
    <w:p w14:paraId="74CFA49C" w14:textId="77777777" w:rsidR="00D33511" w:rsidRDefault="0086799F">
      <w:pPr>
        <w:spacing w:beforeLines="350" w:before="840"/>
        <w:rPr>
          <w:lang w:eastAsia="zh-CN"/>
        </w:rPr>
      </w:pPr>
      <w:r>
        <w:rPr>
          <w:rFonts w:cs="宋体"/>
        </w:rPr>
        <w:t>________________________</w:t>
      </w:r>
    </w:p>
    <w:p w14:paraId="5CEAF46C" w14:textId="074448BD" w:rsidR="00D33511" w:rsidRDefault="0086799F">
      <w:pPr>
        <w:spacing w:beforeLines="0" w:before="0"/>
      </w:pPr>
      <w:r>
        <w:rPr>
          <w:sz w:val="21"/>
          <w:szCs w:val="21"/>
          <w:vertAlign w:val="superscript"/>
        </w:rPr>
        <w:t>1</w:t>
      </w:r>
      <w:r>
        <w:rPr>
          <w:sz w:val="21"/>
          <w:szCs w:val="21"/>
        </w:rPr>
        <w:t xml:space="preserve"> </w:t>
      </w:r>
      <w:proofErr w:type="spellStart"/>
      <w:r>
        <w:rPr>
          <w:color w:val="0000FF"/>
          <w:sz w:val="21"/>
          <w:szCs w:val="21"/>
          <w:u w:val="single"/>
        </w:rPr>
        <w:t>FDA</w:t>
      </w:r>
      <w:r>
        <w:rPr>
          <w:color w:val="0000FF"/>
          <w:sz w:val="21"/>
          <w:szCs w:val="21"/>
          <w:u w:val="single"/>
          <w:lang w:eastAsia="zh-CN"/>
        </w:rPr>
        <w:t>’What</w:t>
      </w:r>
      <w:proofErr w:type="spellEnd"/>
      <w:r>
        <w:rPr>
          <w:color w:val="0000FF"/>
          <w:sz w:val="21"/>
          <w:szCs w:val="21"/>
          <w:u w:val="single"/>
          <w:lang w:eastAsia="zh-CN"/>
        </w:rPr>
        <w:t xml:space="preserve"> We Do </w:t>
      </w:r>
      <w:r>
        <w:rPr>
          <w:sz w:val="21"/>
          <w:szCs w:val="21"/>
        </w:rPr>
        <w:t>(</w:t>
      </w:r>
      <w:r>
        <w:rPr>
          <w:color w:val="0000FF"/>
          <w:sz w:val="21"/>
          <w:szCs w:val="21"/>
          <w:u w:val="single"/>
        </w:rPr>
        <w:t>http://www.fda.gov/AboutFDA/WhatWeDo/default.htm</w:t>
      </w:r>
      <w:r>
        <w:rPr>
          <w:sz w:val="21"/>
          <w:szCs w:val="21"/>
        </w:rPr>
        <w:t>).</w:t>
      </w:r>
      <w:r>
        <w:rPr>
          <w:rFonts w:cs="宋体"/>
        </w:rPr>
        <w:br w:type="page"/>
      </w:r>
    </w:p>
    <w:p w14:paraId="3CAFC7E6" w14:textId="36EE83D7" w:rsidR="00D33511" w:rsidRDefault="0086799F">
      <w:pPr>
        <w:spacing w:before="120"/>
        <w:rPr>
          <w:lang w:eastAsia="zh-CN"/>
        </w:rPr>
      </w:pPr>
      <w:r>
        <w:rPr>
          <w:rFonts w:cs="宋体"/>
          <w:lang w:eastAsia="zh-CN"/>
        </w:rPr>
        <w:lastRenderedPageBreak/>
        <w:t>FDA</w:t>
      </w:r>
      <w:r>
        <w:rPr>
          <w:rFonts w:cs="宋体"/>
          <w:lang w:eastAsia="zh-CN"/>
        </w:rPr>
        <w:t>已发布了关于上市前和上市后数据采集</w:t>
      </w:r>
      <w:r>
        <w:rPr>
          <w:rFonts w:cs="宋体"/>
          <w:vertAlign w:val="superscript"/>
          <w:lang w:eastAsia="zh-CN"/>
        </w:rPr>
        <w:t>2</w:t>
      </w:r>
      <w:r>
        <w:rPr>
          <w:rFonts w:cs="宋体"/>
          <w:lang w:eastAsia="zh-CN"/>
        </w:rPr>
        <w:t>、风险</w:t>
      </w:r>
      <w:r w:rsidR="00733EC2">
        <w:rPr>
          <w:rFonts w:cs="宋体"/>
          <w:lang w:eastAsia="zh-CN"/>
        </w:rPr>
        <w:t>受益</w:t>
      </w:r>
      <w:r>
        <w:rPr>
          <w:rFonts w:cs="宋体"/>
          <w:lang w:eastAsia="zh-CN"/>
        </w:rPr>
        <w:t>判定</w:t>
      </w:r>
      <w:r>
        <w:rPr>
          <w:rFonts w:cs="宋体"/>
          <w:vertAlign w:val="superscript"/>
          <w:lang w:eastAsia="zh-CN"/>
        </w:rPr>
        <w:t>3</w:t>
      </w:r>
      <w:r>
        <w:rPr>
          <w:rFonts w:cs="宋体"/>
          <w:lang w:eastAsia="zh-CN"/>
        </w:rPr>
        <w:t>、患者偏好信息</w:t>
      </w:r>
      <w:r>
        <w:rPr>
          <w:rFonts w:cs="宋体"/>
          <w:vertAlign w:val="superscript"/>
          <w:lang w:eastAsia="zh-CN"/>
        </w:rPr>
        <w:t>4</w:t>
      </w:r>
      <w:r>
        <w:rPr>
          <w:rFonts w:cs="宋体"/>
          <w:lang w:eastAsia="zh-CN"/>
        </w:rPr>
        <w:t>以及用于未满足医疗需求的医疗器械的快速上市等方面的指南，旨在简化新技术上市的流程，同时合理保证对医疗器械的安全性和有效性的评估。</w:t>
      </w:r>
      <w:r>
        <w:rPr>
          <w:rFonts w:cs="宋体"/>
          <w:lang w:eastAsia="zh-CN"/>
        </w:rPr>
        <w:t>FDA</w:t>
      </w:r>
      <w:r>
        <w:rPr>
          <w:rFonts w:cs="宋体"/>
          <w:lang w:eastAsia="zh-CN"/>
        </w:rPr>
        <w:t>还发布了计划并开始实施国家卫生技术评价系统（</w:t>
      </w:r>
      <w:r>
        <w:rPr>
          <w:rFonts w:cs="宋体"/>
          <w:lang w:eastAsia="zh-CN"/>
        </w:rPr>
        <w:t>NEST</w:t>
      </w:r>
      <w:r>
        <w:rPr>
          <w:rFonts w:cs="宋体"/>
          <w:lang w:eastAsia="zh-CN"/>
        </w:rPr>
        <w:t>）</w:t>
      </w:r>
      <w:r>
        <w:rPr>
          <w:rFonts w:cs="宋体"/>
          <w:vertAlign w:val="superscript"/>
          <w:lang w:eastAsia="zh-CN"/>
        </w:rPr>
        <w:t>5</w:t>
      </w:r>
      <w:r>
        <w:rPr>
          <w:rFonts w:cs="宋体"/>
          <w:vertAlign w:val="superscript"/>
          <w:lang w:eastAsia="zh-CN"/>
        </w:rPr>
        <w:t>，</w:t>
      </w:r>
      <w:r>
        <w:rPr>
          <w:rFonts w:cs="宋体"/>
          <w:vertAlign w:val="superscript"/>
          <w:lang w:eastAsia="zh-CN"/>
        </w:rPr>
        <w:t>6</w:t>
      </w:r>
      <w:r>
        <w:rPr>
          <w:rFonts w:cs="宋体"/>
          <w:vertAlign w:val="superscript"/>
          <w:lang w:eastAsia="zh-CN"/>
        </w:rPr>
        <w:t>，</w:t>
      </w:r>
      <w:r>
        <w:rPr>
          <w:rFonts w:cs="宋体"/>
          <w:vertAlign w:val="superscript"/>
          <w:lang w:eastAsia="zh-CN"/>
        </w:rPr>
        <w:t>7</w:t>
      </w:r>
      <w:r>
        <w:rPr>
          <w:rFonts w:cs="宋体"/>
          <w:vertAlign w:val="superscript"/>
          <w:lang w:eastAsia="zh-CN"/>
        </w:rPr>
        <w:t>，</w:t>
      </w:r>
      <w:r>
        <w:rPr>
          <w:rFonts w:cs="宋体"/>
          <w:vertAlign w:val="superscript"/>
          <w:lang w:eastAsia="zh-CN"/>
        </w:rPr>
        <w:t>8</w:t>
      </w:r>
      <w:r>
        <w:rPr>
          <w:rFonts w:cs="宋体"/>
          <w:lang w:eastAsia="zh-CN"/>
        </w:rPr>
        <w:t>，可利用</w:t>
      </w:r>
      <w:r>
        <w:rPr>
          <w:rFonts w:cs="宋体"/>
          <w:lang w:eastAsia="zh-CN"/>
        </w:rPr>
        <w:t>RWD</w:t>
      </w:r>
      <w:r>
        <w:rPr>
          <w:rFonts w:cs="宋体"/>
          <w:lang w:eastAsia="zh-CN"/>
        </w:rPr>
        <w:t>更快速地识别安全性问题，更好地理解器械用于临床医疗的风险</w:t>
      </w:r>
      <w:r w:rsidR="00733EC2">
        <w:rPr>
          <w:rFonts w:cs="宋体"/>
          <w:lang w:eastAsia="zh-CN"/>
        </w:rPr>
        <w:t>受益</w:t>
      </w:r>
      <w:r>
        <w:rPr>
          <w:rFonts w:cs="宋体"/>
          <w:lang w:eastAsia="zh-CN"/>
        </w:rPr>
        <w:t>特征。</w:t>
      </w:r>
      <w:r>
        <w:rPr>
          <w:rFonts w:cs="宋体"/>
          <w:lang w:eastAsia="zh-CN"/>
        </w:rPr>
        <w:t>FDA</w:t>
      </w:r>
      <w:r>
        <w:rPr>
          <w:rFonts w:cs="宋体"/>
          <w:lang w:eastAsia="zh-CN"/>
        </w:rPr>
        <w:t>认为，在适当利用的条件下，</w:t>
      </w:r>
      <w:r>
        <w:rPr>
          <w:rFonts w:cs="宋体"/>
          <w:lang w:eastAsia="zh-CN"/>
        </w:rPr>
        <w:t>NEST</w:t>
      </w:r>
      <w:r>
        <w:rPr>
          <w:rFonts w:cs="宋体"/>
          <w:lang w:eastAsia="zh-CN"/>
        </w:rPr>
        <w:t>也可能有助于缩短用于支持</w:t>
      </w:r>
      <w:r>
        <w:rPr>
          <w:rFonts w:cs="宋体"/>
          <w:lang w:eastAsia="zh-CN"/>
        </w:rPr>
        <w:t>FDA</w:t>
      </w:r>
      <w:r>
        <w:rPr>
          <w:rFonts w:cs="宋体"/>
          <w:lang w:eastAsia="zh-CN"/>
        </w:rPr>
        <w:t>监管产品的上市许可</w:t>
      </w:r>
      <w:r>
        <w:rPr>
          <w:rFonts w:cs="宋体" w:hint="eastAsia"/>
          <w:lang w:eastAsia="zh-CN"/>
        </w:rPr>
        <w:t>时限</w:t>
      </w:r>
      <w:r>
        <w:rPr>
          <w:rFonts w:cs="宋体"/>
          <w:lang w:eastAsia="zh-CN"/>
        </w:rPr>
        <w:t>并达到上市后研究与报告要求的证据类型的时间和成本。</w:t>
      </w:r>
    </w:p>
    <w:p w14:paraId="3E949547" w14:textId="1E3762FB" w:rsidR="00D33511" w:rsidRDefault="0086799F">
      <w:pPr>
        <w:spacing w:before="120"/>
        <w:rPr>
          <w:lang w:eastAsia="zh-CN"/>
        </w:rPr>
      </w:pPr>
      <w:r>
        <w:rPr>
          <w:rFonts w:cs="宋体"/>
          <w:lang w:eastAsia="zh-CN"/>
        </w:rPr>
        <w:t>在常规临床实践中，器械往往会被用于</w:t>
      </w:r>
      <w:r>
        <w:rPr>
          <w:rFonts w:cs="宋体" w:hint="eastAsia"/>
          <w:lang w:eastAsia="zh-CN"/>
        </w:rPr>
        <w:t>尚</w:t>
      </w:r>
      <w:r>
        <w:rPr>
          <w:rFonts w:cs="宋体"/>
          <w:lang w:eastAsia="zh-CN"/>
        </w:rPr>
        <w:t>未获得认可或批准的适应症。但是，从医疗实践中的所有器械使用中获得</w:t>
      </w:r>
      <w:r>
        <w:rPr>
          <w:rFonts w:cs="宋体" w:hint="eastAsia"/>
          <w:lang w:eastAsia="zh-CN"/>
        </w:rPr>
        <w:t>的</w:t>
      </w:r>
      <w:r>
        <w:rPr>
          <w:rFonts w:cs="宋体"/>
          <w:lang w:eastAsia="zh-CN"/>
        </w:rPr>
        <w:t>知识往往无法实现，由于采集到的数据未经系统性表征、</w:t>
      </w:r>
      <w:r>
        <w:rPr>
          <w:rFonts w:cs="宋体" w:hint="eastAsia"/>
          <w:lang w:eastAsia="zh-CN"/>
        </w:rPr>
        <w:t>汇总</w:t>
      </w:r>
      <w:r>
        <w:rPr>
          <w:rFonts w:cs="宋体"/>
          <w:lang w:eastAsia="zh-CN"/>
        </w:rPr>
        <w:t>和分析，无法可靠地用于监管决策。通过认识到</w:t>
      </w:r>
      <w:r>
        <w:rPr>
          <w:rFonts w:cs="宋体"/>
          <w:lang w:eastAsia="zh-CN"/>
        </w:rPr>
        <w:t>RWE</w:t>
      </w:r>
      <w:r>
        <w:rPr>
          <w:rFonts w:cs="宋体"/>
          <w:lang w:eastAsia="zh-CN"/>
        </w:rPr>
        <w:t>的价值</w:t>
      </w:r>
      <w:r>
        <w:rPr>
          <w:rFonts w:cs="宋体"/>
          <w:lang w:eastAsia="zh-CN"/>
        </w:rPr>
        <w:t>——</w:t>
      </w:r>
      <w:r>
        <w:rPr>
          <w:rFonts w:cs="宋体"/>
          <w:lang w:eastAsia="zh-CN"/>
        </w:rPr>
        <w:t>是理解和监管医疗器械的重要贡献因素，我们希望鼓励医学界从常规临床医疗中了解比我们当下更多的情况。</w:t>
      </w:r>
    </w:p>
    <w:p w14:paraId="652F8CA6" w14:textId="77777777" w:rsidR="00D33511" w:rsidRDefault="0086799F">
      <w:pPr>
        <w:spacing w:beforeLines="1450" w:before="3480"/>
        <w:rPr>
          <w:lang w:eastAsia="zh-CN"/>
        </w:rPr>
      </w:pPr>
      <w:r>
        <w:rPr>
          <w:rFonts w:cs="宋体"/>
        </w:rPr>
        <w:t>________________________</w:t>
      </w:r>
    </w:p>
    <w:p w14:paraId="6C339D8F" w14:textId="77777777" w:rsidR="00D33511" w:rsidRDefault="0086799F">
      <w:pPr>
        <w:wordWrap w:val="0"/>
        <w:spacing w:beforeLines="0" w:before="0" w:line="276" w:lineRule="auto"/>
        <w:rPr>
          <w:sz w:val="21"/>
          <w:szCs w:val="21"/>
        </w:rPr>
      </w:pPr>
      <w:r>
        <w:rPr>
          <w:rFonts w:cs="宋体"/>
          <w:sz w:val="21"/>
          <w:vertAlign w:val="superscript"/>
        </w:rPr>
        <w:t>2</w:t>
      </w:r>
      <w:r>
        <w:rPr>
          <w:rFonts w:cs="宋体"/>
          <w:sz w:val="21"/>
        </w:rPr>
        <w:t>上市前批准器械的上市前和上市后数据采集的平衡（</w:t>
      </w:r>
      <w:r>
        <w:rPr>
          <w:rFonts w:cs="宋体"/>
          <w:color w:val="0000FF"/>
          <w:sz w:val="21"/>
          <w:u w:val="single"/>
        </w:rPr>
        <w:t>http://www.fda.gov/ucm/groups/fdagov-public/@fdagov-meddev-gen/documents/document/ucm393994.pdf</w:t>
      </w:r>
      <w:r>
        <w:rPr>
          <w:rFonts w:cs="宋体"/>
          <w:sz w:val="21"/>
        </w:rPr>
        <w:t>）。</w:t>
      </w:r>
    </w:p>
    <w:p w14:paraId="13306E50" w14:textId="1EC78C76" w:rsidR="00D33511" w:rsidRDefault="0086799F">
      <w:pPr>
        <w:wordWrap w:val="0"/>
        <w:spacing w:beforeLines="0" w:before="0" w:line="276" w:lineRule="auto"/>
        <w:rPr>
          <w:sz w:val="21"/>
          <w:szCs w:val="21"/>
        </w:rPr>
      </w:pPr>
      <w:r>
        <w:rPr>
          <w:rFonts w:cs="宋体"/>
          <w:sz w:val="21"/>
          <w:vertAlign w:val="superscript"/>
        </w:rPr>
        <w:t>3</w:t>
      </w:r>
      <w:r>
        <w:rPr>
          <w:rFonts w:cs="宋体"/>
          <w:sz w:val="21"/>
        </w:rPr>
        <w:t>医疗器械上市前批准和重新分类中确定风险</w:t>
      </w:r>
      <w:r w:rsidR="00733EC2">
        <w:rPr>
          <w:rFonts w:cs="宋体"/>
          <w:sz w:val="21"/>
        </w:rPr>
        <w:t>受益</w:t>
      </w:r>
      <w:r>
        <w:rPr>
          <w:rFonts w:cs="宋体"/>
          <w:sz w:val="21"/>
        </w:rPr>
        <w:t>时需要考虑的因素（</w:t>
      </w:r>
      <w:r>
        <w:rPr>
          <w:rFonts w:cs="宋体"/>
          <w:color w:val="0000FF"/>
          <w:sz w:val="21"/>
          <w:u w:val="single"/>
        </w:rPr>
        <w:t>http://www.fda.gov/ucm/groups/fdagov-public/@fdagov-meddevgen/documents/document/ucm517504.pdf</w:t>
      </w:r>
      <w:r>
        <w:rPr>
          <w:rFonts w:cs="宋体"/>
          <w:sz w:val="21"/>
        </w:rPr>
        <w:t>）。</w:t>
      </w:r>
    </w:p>
    <w:p w14:paraId="4404B42D" w14:textId="77777777" w:rsidR="00D33511" w:rsidRDefault="0086799F">
      <w:pPr>
        <w:wordWrap w:val="0"/>
        <w:spacing w:beforeLines="0" w:before="0" w:line="276" w:lineRule="auto"/>
        <w:rPr>
          <w:sz w:val="21"/>
          <w:szCs w:val="21"/>
        </w:rPr>
      </w:pPr>
      <w:r>
        <w:rPr>
          <w:rFonts w:cs="宋体"/>
          <w:sz w:val="21"/>
          <w:vertAlign w:val="superscript"/>
        </w:rPr>
        <w:t>4</w:t>
      </w:r>
      <w:r>
        <w:rPr>
          <w:rFonts w:cs="宋体"/>
          <w:sz w:val="21"/>
        </w:rPr>
        <w:t>患者偏好信息</w:t>
      </w:r>
      <w:r>
        <w:rPr>
          <w:rFonts w:cs="宋体"/>
          <w:sz w:val="21"/>
        </w:rPr>
        <w:t>-</w:t>
      </w:r>
      <w:r>
        <w:rPr>
          <w:rFonts w:cs="宋体"/>
          <w:sz w:val="21"/>
        </w:rPr>
        <w:t>自愿提交；上市前批准申请审评；人道主义器械豁免申请和重新分类申请；纳入决策概要和器械标签（</w:t>
      </w:r>
      <w:r>
        <w:rPr>
          <w:rFonts w:cs="宋体"/>
          <w:color w:val="0000FF"/>
          <w:sz w:val="21"/>
          <w:u w:val="single"/>
        </w:rPr>
        <w:t>患者偏好信息</w:t>
      </w:r>
      <w:r>
        <w:rPr>
          <w:rFonts w:cs="宋体"/>
          <w:color w:val="0000FF"/>
          <w:sz w:val="21"/>
          <w:u w:val="single"/>
        </w:rPr>
        <w:t>-</w:t>
      </w:r>
      <w:r>
        <w:rPr>
          <w:rFonts w:cs="宋体"/>
          <w:color w:val="0000FF"/>
          <w:sz w:val="21"/>
          <w:u w:val="single"/>
        </w:rPr>
        <w:t>自愿提交；上市前批准申请审评；人道主义器械豁免申请和重新分类申请；纳入决策概要和器械标签</w:t>
      </w:r>
      <w:r>
        <w:rPr>
          <w:rFonts w:cs="宋体"/>
          <w:color w:val="0000FF"/>
          <w:sz w:val="21"/>
          <w:u w:val="single"/>
        </w:rPr>
        <w:t>http://www.fda.gov/downloads/medicaldevices/deviceregulationandguidance/guidancedocuments/ucm446680.pdf</w:t>
      </w:r>
      <w:r>
        <w:rPr>
          <w:rFonts w:cs="宋体"/>
          <w:sz w:val="21"/>
        </w:rPr>
        <w:t>）。</w:t>
      </w:r>
    </w:p>
    <w:p w14:paraId="0380F645" w14:textId="77777777" w:rsidR="00D33511" w:rsidRDefault="0086799F">
      <w:pPr>
        <w:wordWrap w:val="0"/>
        <w:spacing w:beforeLines="0" w:before="0" w:line="276" w:lineRule="auto"/>
        <w:rPr>
          <w:sz w:val="21"/>
          <w:szCs w:val="21"/>
        </w:rPr>
      </w:pPr>
      <w:r>
        <w:rPr>
          <w:rFonts w:cs="宋体"/>
          <w:sz w:val="21"/>
          <w:vertAlign w:val="superscript"/>
        </w:rPr>
        <w:t>5</w:t>
      </w:r>
      <w:r>
        <w:rPr>
          <w:rFonts w:cs="宋体"/>
          <w:sz w:val="21"/>
        </w:rPr>
        <w:t>加强我国医疗器械上市后监督系统（</w:t>
      </w:r>
      <w:r>
        <w:rPr>
          <w:rFonts w:cs="宋体"/>
          <w:color w:val="0000FF"/>
          <w:sz w:val="21"/>
          <w:u w:val="single"/>
        </w:rPr>
        <w:t>http://www.fda.gov/downloads/AboutFDA/CentersOffices/OfficeofMedicalProductsandTobacco/CDRH/CDRH Reports/UCM301924.pdf</w:t>
      </w:r>
      <w:r>
        <w:rPr>
          <w:rFonts w:cs="宋体"/>
          <w:sz w:val="21"/>
        </w:rPr>
        <w:t>）。</w:t>
      </w:r>
    </w:p>
    <w:p w14:paraId="05747954" w14:textId="77777777" w:rsidR="00D33511" w:rsidRDefault="0086799F">
      <w:pPr>
        <w:wordWrap w:val="0"/>
        <w:spacing w:beforeLines="0" w:before="0" w:line="276" w:lineRule="auto"/>
        <w:rPr>
          <w:sz w:val="21"/>
          <w:szCs w:val="21"/>
        </w:rPr>
      </w:pPr>
      <w:r>
        <w:rPr>
          <w:rFonts w:cs="宋体"/>
          <w:sz w:val="21"/>
          <w:vertAlign w:val="superscript"/>
        </w:rPr>
        <w:t>6</w:t>
      </w:r>
      <w:r>
        <w:rPr>
          <w:rFonts w:cs="宋体"/>
          <w:sz w:val="21"/>
        </w:rPr>
        <w:t>加强我国医疗器械上市后监督系统更新与后续步骤</w:t>
      </w:r>
      <w:r>
        <w:rPr>
          <w:rFonts w:cs="宋体"/>
          <w:sz w:val="21"/>
        </w:rPr>
        <w:t>-2013</w:t>
      </w:r>
      <w:r>
        <w:rPr>
          <w:rFonts w:cs="宋体"/>
          <w:sz w:val="21"/>
        </w:rPr>
        <w:t>年</w:t>
      </w:r>
      <w:r>
        <w:rPr>
          <w:rFonts w:cs="宋体"/>
          <w:sz w:val="21"/>
        </w:rPr>
        <w:t>4</w:t>
      </w:r>
      <w:r>
        <w:rPr>
          <w:rFonts w:cs="宋体"/>
          <w:sz w:val="21"/>
        </w:rPr>
        <w:t>月（</w:t>
      </w:r>
      <w:r>
        <w:rPr>
          <w:rFonts w:cs="宋体"/>
          <w:color w:val="0000FF"/>
          <w:sz w:val="21"/>
          <w:u w:val="single"/>
        </w:rPr>
        <w:t>http://www.fda.gov/downloads/MedicalDevices/Safety/CDRHPostmarketSurveillance/UCM348845.pdf</w:t>
      </w:r>
      <w:r>
        <w:rPr>
          <w:rFonts w:cs="宋体"/>
          <w:sz w:val="21"/>
        </w:rPr>
        <w:t>）。</w:t>
      </w:r>
    </w:p>
    <w:p w14:paraId="605F5133" w14:textId="77777777" w:rsidR="00D33511" w:rsidRDefault="0086799F">
      <w:pPr>
        <w:wordWrap w:val="0"/>
        <w:spacing w:beforeLines="0" w:before="0" w:line="276" w:lineRule="auto"/>
        <w:rPr>
          <w:sz w:val="21"/>
          <w:szCs w:val="21"/>
        </w:rPr>
      </w:pPr>
      <w:r>
        <w:rPr>
          <w:rFonts w:cs="宋体"/>
          <w:sz w:val="21"/>
          <w:vertAlign w:val="superscript"/>
        </w:rPr>
        <w:t>7</w:t>
      </w:r>
      <w:r>
        <w:rPr>
          <w:rFonts w:cs="宋体"/>
          <w:sz w:val="21"/>
        </w:rPr>
        <w:t>加强患者治疗：构建国家医疗器械上市后监督系统（</w:t>
      </w:r>
      <w:r>
        <w:rPr>
          <w:rFonts w:cs="宋体"/>
          <w:color w:val="0000FF"/>
          <w:sz w:val="21"/>
          <w:u w:val="single"/>
        </w:rPr>
        <w:t>http://www.fda.gov/downloads/AboutFDA/CentersOffices/OfficeofMedicalProductsandTobacco/CDRH/CDRH Reports/UCM435112.pdf</w:t>
      </w:r>
      <w:r>
        <w:rPr>
          <w:rFonts w:cs="宋体"/>
          <w:sz w:val="21"/>
        </w:rPr>
        <w:t>）。</w:t>
      </w:r>
    </w:p>
    <w:p w14:paraId="43BAE885" w14:textId="77777777" w:rsidR="00D33511" w:rsidRDefault="0086799F">
      <w:pPr>
        <w:wordWrap w:val="0"/>
        <w:spacing w:beforeLines="0" w:before="0" w:line="276" w:lineRule="auto"/>
      </w:pPr>
      <w:r>
        <w:rPr>
          <w:rFonts w:cs="宋体"/>
          <w:sz w:val="21"/>
          <w:vertAlign w:val="superscript"/>
        </w:rPr>
        <w:t>8</w:t>
      </w:r>
      <w:r>
        <w:rPr>
          <w:rFonts w:cs="宋体"/>
          <w:sz w:val="21"/>
        </w:rPr>
        <w:t>国家医疗器械评价系统建议：将临床治疗与研究桥接的战略协调注册网络</w:t>
      </w:r>
      <w:r>
        <w:rPr>
          <w:rFonts w:cs="宋体"/>
          <w:sz w:val="21"/>
        </w:rPr>
        <w:t>-2015</w:t>
      </w:r>
      <w:r>
        <w:rPr>
          <w:rFonts w:cs="宋体"/>
          <w:sz w:val="21"/>
        </w:rPr>
        <w:t>年</w:t>
      </w:r>
      <w:r>
        <w:rPr>
          <w:rFonts w:cs="宋体"/>
          <w:sz w:val="21"/>
        </w:rPr>
        <w:t>8</w:t>
      </w:r>
      <w:r>
        <w:rPr>
          <w:rFonts w:cs="宋体"/>
          <w:sz w:val="21"/>
        </w:rPr>
        <w:t>月（</w:t>
      </w:r>
      <w:r>
        <w:rPr>
          <w:rFonts w:cs="宋体"/>
          <w:color w:val="0000FF"/>
          <w:sz w:val="21"/>
          <w:u w:val="single"/>
        </w:rPr>
        <w:t>http://www.fda.gov/downloads/AboutFDA/CentersOffices/OfficeofMedicalProductsandTobacco/CDRH/CDRHRe ports/UCM459368.pdf</w:t>
      </w:r>
      <w:r>
        <w:rPr>
          <w:rFonts w:cs="宋体"/>
          <w:sz w:val="21"/>
        </w:rPr>
        <w:t>）。</w:t>
      </w:r>
      <w:r>
        <w:rPr>
          <w:rFonts w:cs="宋体"/>
          <w:sz w:val="21"/>
        </w:rPr>
        <w:br w:type="page"/>
      </w:r>
    </w:p>
    <w:p w14:paraId="74770BBB" w14:textId="4DDD0C74" w:rsidR="00D33511" w:rsidRDefault="0086799F">
      <w:pPr>
        <w:spacing w:before="120"/>
        <w:rPr>
          <w:lang w:eastAsia="zh-CN"/>
        </w:rPr>
      </w:pPr>
      <w:r>
        <w:rPr>
          <w:rFonts w:cs="宋体"/>
          <w:lang w:eastAsia="zh-CN"/>
        </w:rPr>
        <w:lastRenderedPageBreak/>
        <w:t>FDA</w:t>
      </w:r>
      <w:r>
        <w:rPr>
          <w:rFonts w:cs="宋体"/>
          <w:lang w:eastAsia="zh-CN"/>
        </w:rPr>
        <w:t>将使用本指南所述标准来评价</w:t>
      </w:r>
      <w:r>
        <w:rPr>
          <w:rFonts w:cs="宋体"/>
          <w:lang w:eastAsia="zh-CN"/>
        </w:rPr>
        <w:t>RWD</w:t>
      </w:r>
      <w:r>
        <w:rPr>
          <w:rFonts w:cs="宋体"/>
          <w:lang w:eastAsia="zh-CN"/>
        </w:rPr>
        <w:t>质量是否足以支持监管决策，包括生成有效的科学证据。</w:t>
      </w:r>
      <w:r>
        <w:rPr>
          <w:rFonts w:cs="宋体"/>
          <w:vertAlign w:val="superscript"/>
          <w:lang w:eastAsia="zh-CN"/>
        </w:rPr>
        <w:t>9</w:t>
      </w:r>
      <w:r>
        <w:rPr>
          <w:rFonts w:cs="宋体"/>
          <w:lang w:eastAsia="zh-CN"/>
        </w:rPr>
        <w:t>FDA</w:t>
      </w:r>
      <w:r>
        <w:rPr>
          <w:rFonts w:cs="宋体"/>
          <w:lang w:eastAsia="zh-CN"/>
        </w:rPr>
        <w:t>只能依赖于有效的科学证据来确定是否可以合理保证器械的安全性和有效性。但是，如果在整个器械生命周期内，可以在临床相关时间间隔准确可靠采集</w:t>
      </w:r>
      <w:r>
        <w:rPr>
          <w:rFonts w:cs="宋体"/>
          <w:lang w:eastAsia="zh-CN"/>
        </w:rPr>
        <w:t>RWD</w:t>
      </w:r>
      <w:r>
        <w:rPr>
          <w:rFonts w:cs="宋体"/>
          <w:lang w:eastAsia="zh-CN"/>
        </w:rPr>
        <w:t>，则</w:t>
      </w:r>
      <w:r>
        <w:rPr>
          <w:rFonts w:cs="宋体"/>
          <w:lang w:eastAsia="zh-CN"/>
        </w:rPr>
        <w:t>RWE</w:t>
      </w:r>
      <w:r>
        <w:rPr>
          <w:rFonts w:cs="宋体"/>
          <w:lang w:eastAsia="zh-CN"/>
        </w:rPr>
        <w:t>可能会符合这一阈值。在适当条件下，</w:t>
      </w:r>
      <w:r>
        <w:rPr>
          <w:rFonts w:cs="宋体"/>
          <w:lang w:eastAsia="zh-CN"/>
        </w:rPr>
        <w:t>RWE</w:t>
      </w:r>
      <w:r>
        <w:rPr>
          <w:rFonts w:cs="宋体"/>
          <w:lang w:eastAsia="zh-CN"/>
        </w:rPr>
        <w:t>可用于支持新器械的许可或批准，或者扩展已上市器械的适应</w:t>
      </w:r>
      <w:r>
        <w:rPr>
          <w:rFonts w:cs="宋体" w:hint="eastAsia"/>
          <w:lang w:eastAsia="zh-CN"/>
        </w:rPr>
        <w:t>症</w:t>
      </w:r>
      <w:r>
        <w:rPr>
          <w:rFonts w:cs="宋体"/>
          <w:lang w:eastAsia="zh-CN"/>
        </w:rPr>
        <w:t>。</w:t>
      </w:r>
      <w:r>
        <w:rPr>
          <w:rFonts w:cs="宋体"/>
          <w:lang w:eastAsia="zh-CN"/>
        </w:rPr>
        <w:t>RWE</w:t>
      </w:r>
      <w:r>
        <w:rPr>
          <w:rFonts w:cs="宋体"/>
          <w:lang w:eastAsia="zh-CN"/>
        </w:rPr>
        <w:t>也可用于补充此类许可或批准所需的总体证据。在上市前决策中，</w:t>
      </w:r>
      <w:r>
        <w:rPr>
          <w:rFonts w:cs="宋体"/>
          <w:lang w:eastAsia="zh-CN"/>
        </w:rPr>
        <w:t>RWE</w:t>
      </w:r>
      <w:r>
        <w:rPr>
          <w:rFonts w:cs="宋体"/>
          <w:lang w:eastAsia="zh-CN"/>
        </w:rPr>
        <w:t>也可能有其他的应用，尤其是用于推进</w:t>
      </w:r>
      <w:r>
        <w:rPr>
          <w:rFonts w:cs="宋体"/>
          <w:lang w:eastAsia="zh-CN"/>
        </w:rPr>
        <w:t>RWD</w:t>
      </w:r>
      <w:r>
        <w:rPr>
          <w:rFonts w:cs="宋体"/>
          <w:lang w:eastAsia="zh-CN"/>
        </w:rPr>
        <w:t>系统和分析方法。</w:t>
      </w:r>
    </w:p>
    <w:p w14:paraId="160A07D6" w14:textId="43154D16" w:rsidR="00D33511" w:rsidRDefault="0086799F">
      <w:pPr>
        <w:spacing w:before="120"/>
        <w:rPr>
          <w:lang w:eastAsia="zh-CN"/>
        </w:rPr>
      </w:pPr>
      <w:r>
        <w:rPr>
          <w:rFonts w:cs="宋体"/>
          <w:lang w:eastAsia="zh-CN"/>
        </w:rPr>
        <w:t>此外，</w:t>
      </w:r>
      <w:r>
        <w:rPr>
          <w:rFonts w:cs="宋体"/>
          <w:lang w:eastAsia="zh-CN"/>
        </w:rPr>
        <w:t>RWD</w:t>
      </w:r>
      <w:r>
        <w:rPr>
          <w:rFonts w:cs="宋体" w:hint="eastAsia"/>
          <w:lang w:eastAsia="zh-CN"/>
        </w:rPr>
        <w:t>汇总</w:t>
      </w:r>
      <w:r>
        <w:rPr>
          <w:rFonts w:cs="宋体"/>
          <w:lang w:eastAsia="zh-CN"/>
        </w:rPr>
        <w:t>（例如：医疗器械注册登记）也可能是有用的，可作为上市后</w:t>
      </w:r>
      <w:r>
        <w:rPr>
          <w:rFonts w:cs="宋体" w:hint="eastAsia"/>
          <w:lang w:eastAsia="zh-CN"/>
        </w:rPr>
        <w:t>管理</w:t>
      </w:r>
      <w:r>
        <w:rPr>
          <w:rFonts w:cs="宋体"/>
          <w:lang w:eastAsia="zh-CN"/>
        </w:rPr>
        <w:t>，适用于持续提供关于器械安全性监督的信息，并提供关于有效性的更多证据。长期以来，</w:t>
      </w:r>
      <w:r>
        <w:rPr>
          <w:rFonts w:cs="宋体"/>
          <w:lang w:eastAsia="zh-CN"/>
        </w:rPr>
        <w:t>FDA</w:t>
      </w:r>
      <w:r>
        <w:rPr>
          <w:rFonts w:cs="宋体"/>
          <w:lang w:eastAsia="zh-CN"/>
        </w:rPr>
        <w:t>已经将上市后</w:t>
      </w:r>
      <w:r>
        <w:rPr>
          <w:rFonts w:cs="宋体" w:hint="eastAsia"/>
          <w:lang w:eastAsia="zh-CN"/>
        </w:rPr>
        <w:t>管理</w:t>
      </w:r>
      <w:r>
        <w:rPr>
          <w:rFonts w:cs="宋体"/>
          <w:lang w:eastAsia="zh-CN"/>
        </w:rPr>
        <w:t>用作降低上市前数据采集量的方法，同时确保仍然能够在合理水平上保证安全性和有效性达到法定标准。</w:t>
      </w:r>
      <w:r>
        <w:rPr>
          <w:rFonts w:cs="宋体"/>
          <w:vertAlign w:val="superscript"/>
          <w:lang w:eastAsia="zh-CN"/>
        </w:rPr>
        <w:t>10</w:t>
      </w:r>
      <w:r>
        <w:rPr>
          <w:rFonts w:cs="宋体"/>
          <w:lang w:eastAsia="zh-CN"/>
        </w:rPr>
        <w:t>FDA</w:t>
      </w:r>
      <w:r>
        <w:rPr>
          <w:rFonts w:cs="宋体"/>
          <w:lang w:eastAsia="zh-CN"/>
        </w:rPr>
        <w:t>认为，在适当情况下，通过采用上市后</w:t>
      </w:r>
      <w:r>
        <w:rPr>
          <w:rFonts w:cs="宋体" w:hint="eastAsia"/>
          <w:lang w:eastAsia="zh-CN"/>
        </w:rPr>
        <w:t>管理</w:t>
      </w:r>
      <w:r>
        <w:rPr>
          <w:rFonts w:cs="宋体"/>
          <w:lang w:eastAsia="zh-CN"/>
        </w:rPr>
        <w:t>来降低上市前数据采集量，可提高患者对安全、有效的医疗器械的可及性。</w:t>
      </w:r>
      <w:r>
        <w:rPr>
          <w:rFonts w:cs="宋体"/>
          <w:vertAlign w:val="superscript"/>
          <w:lang w:eastAsia="zh-CN"/>
        </w:rPr>
        <w:t>11</w:t>
      </w:r>
    </w:p>
    <w:p w14:paraId="19DB5CCF" w14:textId="306AC869" w:rsidR="00D33511" w:rsidRDefault="0086799F">
      <w:pPr>
        <w:spacing w:before="120"/>
        <w:rPr>
          <w:lang w:eastAsia="zh-CN"/>
        </w:rPr>
      </w:pPr>
      <w:r>
        <w:rPr>
          <w:rFonts w:cs="宋体"/>
          <w:lang w:eastAsia="zh-CN"/>
        </w:rPr>
        <w:t>在某些情况下，</w:t>
      </w:r>
      <w:r>
        <w:rPr>
          <w:rFonts w:cs="宋体"/>
          <w:lang w:eastAsia="zh-CN"/>
        </w:rPr>
        <w:t>“</w:t>
      </w:r>
      <w:r>
        <w:rPr>
          <w:rFonts w:cs="宋体"/>
          <w:lang w:eastAsia="zh-CN"/>
        </w:rPr>
        <w:t>传统</w:t>
      </w:r>
      <w:r>
        <w:rPr>
          <w:rFonts w:cs="宋体"/>
          <w:lang w:eastAsia="zh-CN"/>
        </w:rPr>
        <w:t>”</w:t>
      </w:r>
      <w:r>
        <w:rPr>
          <w:rFonts w:cs="宋体"/>
          <w:lang w:eastAsia="zh-CN"/>
        </w:rPr>
        <w:t>临床试验可能不切实际或过于具有挑战性。在开发并尝试开展高质量临床试验时，可能会出现关于治疗分配和其他类似挑战的伦理问题。在某些情况下，采用适当方法进行</w:t>
      </w:r>
      <w:r>
        <w:rPr>
          <w:rFonts w:cs="宋体"/>
          <w:lang w:eastAsia="zh-CN"/>
        </w:rPr>
        <w:t>RWD</w:t>
      </w:r>
      <w:r>
        <w:rPr>
          <w:rFonts w:cs="宋体"/>
          <w:lang w:eastAsia="zh-CN"/>
        </w:rPr>
        <w:t>分析可能会提供类似于传统临床试验采集并分析的信息，但信息特征类似于甚至优于传统临床试验采集到的信息。例如，使用登记注册内的随机暴露分配收集的</w:t>
      </w:r>
      <w:r>
        <w:rPr>
          <w:rFonts w:cs="宋体"/>
          <w:lang w:eastAsia="zh-CN"/>
        </w:rPr>
        <w:t>RWD</w:t>
      </w:r>
      <w:r>
        <w:rPr>
          <w:rFonts w:cs="宋体"/>
          <w:lang w:eastAsia="zh-CN"/>
        </w:rPr>
        <w:t>可提供充足数量的患者，用于有效的亚组分析，从而可以用于扩展器械的适应症。但是，并非所有</w:t>
      </w:r>
      <w:r>
        <w:rPr>
          <w:rFonts w:cs="宋体"/>
          <w:lang w:eastAsia="zh-CN"/>
        </w:rPr>
        <w:t>RWD</w:t>
      </w:r>
      <w:r>
        <w:rPr>
          <w:rFonts w:cs="宋体"/>
          <w:lang w:eastAsia="zh-CN"/>
        </w:rPr>
        <w:t>的收集和维护方式都具有足够的可靠性。因此，将根据对</w:t>
      </w:r>
      <w:r>
        <w:rPr>
          <w:rFonts w:cs="宋体"/>
          <w:lang w:eastAsia="zh-CN"/>
        </w:rPr>
        <w:t>RWE</w:t>
      </w:r>
      <w:r>
        <w:rPr>
          <w:rFonts w:cs="宋体"/>
          <w:lang w:eastAsia="zh-CN"/>
        </w:rPr>
        <w:t>的总体相关性和可靠性的评估标准来评价</w:t>
      </w:r>
      <w:r>
        <w:rPr>
          <w:rFonts w:cs="宋体"/>
          <w:lang w:eastAsia="zh-CN"/>
        </w:rPr>
        <w:t>RWE</w:t>
      </w:r>
      <w:r>
        <w:rPr>
          <w:rFonts w:cs="宋体"/>
          <w:lang w:eastAsia="zh-CN"/>
        </w:rPr>
        <w:t>是否适用于特定监管目的。如果申请</w:t>
      </w:r>
      <w:r>
        <w:rPr>
          <w:rFonts w:cs="宋体" w:hint="eastAsia"/>
          <w:lang w:eastAsia="zh-CN"/>
        </w:rPr>
        <w:t>人</w:t>
      </w:r>
      <w:r>
        <w:rPr>
          <w:rFonts w:cs="宋体"/>
          <w:lang w:eastAsia="zh-CN"/>
        </w:rPr>
        <w:t>考虑将</w:t>
      </w:r>
      <w:r>
        <w:rPr>
          <w:rFonts w:cs="宋体"/>
          <w:lang w:eastAsia="zh-CN"/>
        </w:rPr>
        <w:t>RWE</w:t>
      </w:r>
      <w:r>
        <w:rPr>
          <w:rFonts w:cs="宋体"/>
          <w:lang w:eastAsia="zh-CN"/>
        </w:rPr>
        <w:t>用于满足特定的</w:t>
      </w:r>
      <w:r>
        <w:rPr>
          <w:rFonts w:cs="宋体"/>
          <w:lang w:eastAsia="zh-CN"/>
        </w:rPr>
        <w:t>FDA</w:t>
      </w:r>
      <w:r>
        <w:rPr>
          <w:rFonts w:cs="宋体"/>
          <w:lang w:eastAsia="zh-CN"/>
        </w:rPr>
        <w:t>监管要求，则申请</w:t>
      </w:r>
      <w:r>
        <w:rPr>
          <w:rFonts w:cs="宋体" w:hint="eastAsia"/>
          <w:lang w:eastAsia="zh-CN"/>
        </w:rPr>
        <w:t>人</w:t>
      </w:r>
      <w:r>
        <w:rPr>
          <w:rFonts w:cs="宋体"/>
          <w:lang w:eastAsia="zh-CN"/>
        </w:rPr>
        <w:t>应通过申请前</w:t>
      </w:r>
      <w:r>
        <w:rPr>
          <w:rFonts w:cs="宋体" w:hint="eastAsia"/>
          <w:lang w:eastAsia="zh-CN"/>
        </w:rPr>
        <w:t>沟通咨询</w:t>
      </w:r>
      <w:r>
        <w:rPr>
          <w:rFonts w:cs="宋体"/>
          <w:lang w:eastAsia="zh-CN"/>
        </w:rPr>
        <w:t>流程与</w:t>
      </w:r>
      <w:r>
        <w:rPr>
          <w:rFonts w:cs="宋体"/>
          <w:lang w:eastAsia="zh-CN"/>
        </w:rPr>
        <w:t>FDA</w:t>
      </w:r>
      <w:r>
        <w:rPr>
          <w:rFonts w:cs="宋体"/>
          <w:lang w:eastAsia="zh-CN"/>
        </w:rPr>
        <w:t>取得联系。</w:t>
      </w:r>
      <w:r>
        <w:rPr>
          <w:rFonts w:cs="宋体"/>
          <w:vertAlign w:val="superscript"/>
          <w:lang w:eastAsia="zh-CN"/>
        </w:rPr>
        <w:t>12</w:t>
      </w:r>
    </w:p>
    <w:p w14:paraId="0F84304B" w14:textId="77777777" w:rsidR="00D33511" w:rsidRDefault="0086799F">
      <w:pPr>
        <w:wordWrap w:val="0"/>
        <w:spacing w:beforeLines="450" w:before="1080"/>
        <w:rPr>
          <w:lang w:eastAsia="zh-CN"/>
        </w:rPr>
      </w:pPr>
      <w:r>
        <w:rPr>
          <w:rFonts w:cs="宋体"/>
          <w:lang w:eastAsia="zh-CN"/>
        </w:rPr>
        <w:t>________________________</w:t>
      </w:r>
    </w:p>
    <w:p w14:paraId="5D3D5E79" w14:textId="77777777" w:rsidR="00D33511" w:rsidRDefault="0086799F">
      <w:pPr>
        <w:wordWrap w:val="0"/>
        <w:spacing w:beforeLines="0" w:before="0"/>
        <w:rPr>
          <w:sz w:val="21"/>
          <w:szCs w:val="21"/>
        </w:rPr>
      </w:pPr>
      <w:r>
        <w:rPr>
          <w:rFonts w:cs="宋体"/>
          <w:sz w:val="21"/>
          <w:vertAlign w:val="superscript"/>
          <w:lang w:eastAsia="zh-CN"/>
        </w:rPr>
        <w:t>9</w:t>
      </w:r>
      <w:r>
        <w:rPr>
          <w:rFonts w:cs="宋体"/>
          <w:sz w:val="21"/>
          <w:lang w:eastAsia="zh-CN"/>
        </w:rPr>
        <w:t>有效的科学证据定义为</w:t>
      </w:r>
      <w:r>
        <w:rPr>
          <w:rFonts w:cs="宋体"/>
          <w:sz w:val="21"/>
          <w:lang w:eastAsia="zh-CN"/>
        </w:rPr>
        <w:t>“</w:t>
      </w:r>
      <w:r>
        <w:rPr>
          <w:rFonts w:cs="宋体"/>
          <w:sz w:val="21"/>
          <w:lang w:eastAsia="zh-CN"/>
        </w:rPr>
        <w:t>来自完全对照研究、部分对照研究、没有匹配对照的研究和客观试验、有资质专家详细记录的病历，和已上市销售器械的重要人用经验报告中的证据，有资质专家据此可以公平而负责地得出结论，认为器械在其使用条件下，安全性和有效性具有合理保证。</w:t>
      </w:r>
      <w:r>
        <w:rPr>
          <w:rFonts w:cs="宋体"/>
          <w:sz w:val="21"/>
          <w:lang w:eastAsia="zh-CN"/>
        </w:rPr>
        <w:t>”</w:t>
      </w:r>
      <w:r>
        <w:rPr>
          <w:rFonts w:cs="宋体"/>
          <w:sz w:val="21"/>
          <w:lang w:eastAsia="zh-CN"/>
        </w:rPr>
        <w:t>根据器械特征、使用条件、警告与其他限制的规定和适用性、使用经验程度，所需的证据各不相同。</w:t>
      </w:r>
      <w:r>
        <w:rPr>
          <w:rFonts w:cs="宋体"/>
          <w:sz w:val="21"/>
        </w:rPr>
        <w:t>”[21 CFR 860.7(c)(2)](</w:t>
      </w:r>
      <w:r>
        <w:rPr>
          <w:rFonts w:cs="宋体"/>
          <w:color w:val="0000FF"/>
          <w:sz w:val="21"/>
          <w:u w:val="single"/>
        </w:rPr>
        <w:t>http://www.accessdata.fda.gov/scripts/cdrh/cfdocs/cfCFR/CFRSearch.cfm?FR=860.7</w:t>
      </w:r>
      <w:r>
        <w:rPr>
          <w:rFonts w:cs="宋体"/>
          <w:sz w:val="21"/>
        </w:rPr>
        <w:t>)</w:t>
      </w:r>
      <w:r>
        <w:rPr>
          <w:rFonts w:cs="宋体"/>
          <w:sz w:val="21"/>
        </w:rPr>
        <w:t>。</w:t>
      </w:r>
    </w:p>
    <w:p w14:paraId="165E2EC3" w14:textId="77777777" w:rsidR="00D33511" w:rsidRDefault="0086799F">
      <w:pPr>
        <w:wordWrap w:val="0"/>
        <w:spacing w:beforeLines="0" w:before="0"/>
        <w:rPr>
          <w:sz w:val="21"/>
          <w:szCs w:val="21"/>
        </w:rPr>
      </w:pPr>
      <w:r>
        <w:rPr>
          <w:rFonts w:cs="宋体"/>
          <w:sz w:val="21"/>
          <w:vertAlign w:val="superscript"/>
        </w:rPr>
        <w:t>10</w:t>
      </w:r>
      <w:r>
        <w:rPr>
          <w:rFonts w:cs="宋体"/>
          <w:sz w:val="21"/>
        </w:rPr>
        <w:t xml:space="preserve"> 1997</w:t>
      </w:r>
      <w:r>
        <w:rPr>
          <w:rFonts w:cs="宋体"/>
          <w:sz w:val="21"/>
        </w:rPr>
        <w:t>年的</w:t>
      </w:r>
      <w:r>
        <w:rPr>
          <w:rFonts w:cs="宋体"/>
          <w:sz w:val="21"/>
        </w:rPr>
        <w:t>FDA</w:t>
      </w:r>
      <w:r>
        <w:rPr>
          <w:rFonts w:cs="宋体"/>
          <w:sz w:val="21"/>
        </w:rPr>
        <w:t>现代化法案的最小负担规范：概念与原则，（</w:t>
      </w:r>
      <w:r>
        <w:rPr>
          <w:rFonts w:cs="宋体"/>
          <w:color w:val="0000FF"/>
          <w:sz w:val="21"/>
          <w:u w:val="single"/>
        </w:rPr>
        <w:t>http://www.fda.gov/downloads/MedicalDevices/DeviceRegulationandGuidance/GuidanceDocuments/ucm085999.pdf</w:t>
      </w:r>
      <w:r>
        <w:rPr>
          <w:rFonts w:cs="宋体"/>
          <w:sz w:val="21"/>
        </w:rPr>
        <w:t>）。</w:t>
      </w:r>
    </w:p>
    <w:p w14:paraId="3634AA69" w14:textId="77777777" w:rsidR="00D33511" w:rsidRDefault="0086799F">
      <w:pPr>
        <w:wordWrap w:val="0"/>
        <w:spacing w:beforeLines="0" w:before="0"/>
        <w:rPr>
          <w:sz w:val="21"/>
          <w:szCs w:val="21"/>
        </w:rPr>
      </w:pPr>
      <w:r>
        <w:rPr>
          <w:rFonts w:cs="宋体"/>
          <w:sz w:val="21"/>
          <w:vertAlign w:val="superscript"/>
        </w:rPr>
        <w:t>11</w:t>
      </w:r>
      <w:r>
        <w:rPr>
          <w:rFonts w:cs="宋体"/>
          <w:sz w:val="21"/>
        </w:rPr>
        <w:t>上市前批准器械的上市前和上市后数据采集的平衡，（</w:t>
      </w:r>
      <w:r>
        <w:rPr>
          <w:rFonts w:cs="宋体"/>
          <w:color w:val="0000FF"/>
          <w:sz w:val="21"/>
          <w:u w:val="single"/>
        </w:rPr>
        <w:t>http://www.fda.gov/ucm/groups/fdagov-public/@fdagov-meddev-gen/documents/document/ucm393994.pdf</w:t>
      </w:r>
      <w:r>
        <w:rPr>
          <w:rFonts w:cs="宋体"/>
          <w:sz w:val="21"/>
        </w:rPr>
        <w:t>）。</w:t>
      </w:r>
    </w:p>
    <w:p w14:paraId="1D7A4122" w14:textId="0B973898" w:rsidR="00D33511" w:rsidRDefault="0086799F">
      <w:pPr>
        <w:pBdr>
          <w:top w:val="single" w:sz="4" w:space="1" w:color="auto"/>
        </w:pBdr>
        <w:wordWrap w:val="0"/>
        <w:spacing w:beforeLines="0" w:before="0"/>
      </w:pPr>
      <w:r>
        <w:rPr>
          <w:rFonts w:cs="宋体"/>
          <w:sz w:val="21"/>
          <w:vertAlign w:val="superscript"/>
        </w:rPr>
        <w:t>12</w:t>
      </w:r>
      <w:r>
        <w:rPr>
          <w:rFonts w:cs="宋体"/>
          <w:sz w:val="21"/>
        </w:rPr>
        <w:t>医疗器械申请的反馈请求：预申请</w:t>
      </w:r>
      <w:r>
        <w:rPr>
          <w:rFonts w:cs="宋体" w:hint="eastAsia"/>
          <w:sz w:val="21"/>
          <w:lang w:eastAsia="zh-CN"/>
        </w:rPr>
        <w:t>计划</w:t>
      </w:r>
      <w:r>
        <w:rPr>
          <w:rFonts w:cs="宋体"/>
          <w:sz w:val="21"/>
        </w:rPr>
        <w:t>和与</w:t>
      </w:r>
      <w:r w:rsidR="002E064B">
        <w:rPr>
          <w:rFonts w:cs="宋体"/>
          <w:sz w:val="21"/>
        </w:rPr>
        <w:t>美国食品药品监督管理局</w:t>
      </w:r>
      <w:r>
        <w:rPr>
          <w:rFonts w:cs="宋体"/>
          <w:sz w:val="21"/>
        </w:rPr>
        <w:t>工作人员的会议（</w:t>
      </w:r>
      <w:r>
        <w:rPr>
          <w:rFonts w:cs="宋体"/>
          <w:color w:val="0000FF"/>
          <w:sz w:val="21"/>
          <w:u w:val="single"/>
        </w:rPr>
        <w:t>http://www.fda.gov/downloads/MedicalDevices/DeviceRegulationandGuidance/GuidanceDocuments/UCM311176.pdf</w:t>
      </w:r>
      <w:r>
        <w:rPr>
          <w:rFonts w:cs="宋体"/>
          <w:sz w:val="21"/>
        </w:rPr>
        <w:t>）。</w:t>
      </w:r>
      <w:r>
        <w:rPr>
          <w:rFonts w:cs="宋体"/>
        </w:rPr>
        <w:br w:type="page"/>
      </w:r>
    </w:p>
    <w:p w14:paraId="762177A9" w14:textId="77777777" w:rsidR="00D33511" w:rsidRDefault="0086799F">
      <w:pPr>
        <w:pStyle w:val="af0"/>
        <w:numPr>
          <w:ilvl w:val="0"/>
          <w:numId w:val="1"/>
        </w:numPr>
        <w:spacing w:before="120"/>
        <w:ind w:left="643" w:hangingChars="200" w:hanging="643"/>
        <w:outlineLvl w:val="0"/>
        <w:rPr>
          <w:b/>
          <w:bCs/>
          <w:sz w:val="32"/>
          <w:szCs w:val="32"/>
          <w:lang w:eastAsia="zh-CN"/>
        </w:rPr>
      </w:pPr>
      <w:bookmarkStart w:id="4" w:name="_Toc90485543"/>
      <w:r>
        <w:rPr>
          <w:rFonts w:cs="宋体"/>
          <w:b/>
          <w:sz w:val="32"/>
          <w:lang w:eastAsia="zh-CN"/>
        </w:rPr>
        <w:lastRenderedPageBreak/>
        <w:t>真实世界证据</w:t>
      </w:r>
      <w:bookmarkEnd w:id="4"/>
      <w:r>
        <w:rPr>
          <w:rFonts w:cs="宋体" w:hint="eastAsia"/>
          <w:b/>
          <w:sz w:val="32"/>
          <w:lang w:eastAsia="zh-CN"/>
        </w:rPr>
        <w:t>（</w:t>
      </w:r>
      <w:r>
        <w:rPr>
          <w:rFonts w:cs="宋体" w:hint="eastAsia"/>
          <w:b/>
          <w:sz w:val="32"/>
          <w:lang w:eastAsia="zh-CN"/>
        </w:rPr>
        <w:t>RWE</w:t>
      </w:r>
      <w:r>
        <w:rPr>
          <w:rFonts w:cs="宋体" w:hint="eastAsia"/>
          <w:b/>
          <w:sz w:val="32"/>
          <w:lang w:eastAsia="zh-CN"/>
        </w:rPr>
        <w:t>）</w:t>
      </w:r>
    </w:p>
    <w:p w14:paraId="7CF88514" w14:textId="77777777" w:rsidR="00D33511" w:rsidRDefault="0086799F">
      <w:pPr>
        <w:spacing w:before="120"/>
        <w:rPr>
          <w:lang w:eastAsia="zh-CN"/>
        </w:rPr>
      </w:pPr>
      <w:r>
        <w:rPr>
          <w:rFonts w:cs="宋体"/>
          <w:lang w:eastAsia="zh-CN"/>
        </w:rPr>
        <w:t>RWE</w:t>
      </w:r>
      <w:r>
        <w:rPr>
          <w:rFonts w:cs="宋体"/>
          <w:lang w:eastAsia="zh-CN"/>
        </w:rPr>
        <w:t>是广泛存在的，来源范围包括现有数据集中的观察性研究或者护理点采用的计划介入研究（经过或未经随机化）。</w:t>
      </w:r>
      <w:r>
        <w:rPr>
          <w:rFonts w:cs="宋体"/>
          <w:vertAlign w:val="superscript"/>
          <w:lang w:eastAsia="zh-CN"/>
        </w:rPr>
        <w:t>13</w:t>
      </w:r>
      <w:r>
        <w:rPr>
          <w:rFonts w:cs="宋体"/>
          <w:lang w:eastAsia="zh-CN"/>
        </w:rPr>
        <w:t>由于生成和解读</w:t>
      </w:r>
      <w:r>
        <w:rPr>
          <w:rFonts w:cs="宋体"/>
          <w:lang w:eastAsia="zh-CN"/>
        </w:rPr>
        <w:t>RWD</w:t>
      </w:r>
      <w:r>
        <w:rPr>
          <w:rFonts w:cs="宋体"/>
          <w:lang w:eastAsia="zh-CN"/>
        </w:rPr>
        <w:t>的方法在快速发展变化，所以本指南将不会详细说明可以使用的方法。但是，在审评</w:t>
      </w:r>
      <w:r>
        <w:rPr>
          <w:rFonts w:cs="宋体"/>
          <w:lang w:eastAsia="zh-CN"/>
        </w:rPr>
        <w:t>RWE</w:t>
      </w:r>
      <w:r>
        <w:rPr>
          <w:rFonts w:cs="宋体"/>
          <w:lang w:eastAsia="zh-CN"/>
        </w:rPr>
        <w:t>是否足以用于支持监管决策时，</w:t>
      </w:r>
      <w:r>
        <w:rPr>
          <w:rFonts w:cs="宋体"/>
          <w:lang w:eastAsia="zh-CN"/>
        </w:rPr>
        <w:t>FDA</w:t>
      </w:r>
      <w:r>
        <w:rPr>
          <w:rFonts w:cs="宋体"/>
          <w:lang w:eastAsia="zh-CN"/>
        </w:rPr>
        <w:t>将依靠科学可靠的方法来判定提交的</w:t>
      </w:r>
      <w:r>
        <w:rPr>
          <w:rFonts w:cs="宋体"/>
          <w:lang w:eastAsia="zh-CN"/>
        </w:rPr>
        <w:t>RWE</w:t>
      </w:r>
      <w:r>
        <w:rPr>
          <w:rFonts w:cs="宋体"/>
          <w:lang w:eastAsia="zh-CN"/>
        </w:rPr>
        <w:t>质量是否足以支持特定的监管决策。</w:t>
      </w:r>
    </w:p>
    <w:p w14:paraId="651645AD" w14:textId="3F8D7B9B" w:rsidR="00D33511" w:rsidRDefault="0086799F">
      <w:pPr>
        <w:spacing w:before="120"/>
        <w:rPr>
          <w:lang w:eastAsia="zh-CN"/>
        </w:rPr>
      </w:pPr>
      <w:r>
        <w:rPr>
          <w:rFonts w:cs="宋体"/>
          <w:lang w:eastAsia="zh-CN"/>
        </w:rPr>
        <w:t>临床试验旨在通过详细的资格标准和严谨设计的临床方案（由专门研究人员实施）来控制变异性。为了证明使用</w:t>
      </w:r>
      <w:r>
        <w:rPr>
          <w:rFonts w:cs="宋体" w:hint="eastAsia"/>
          <w:lang w:eastAsia="zh-CN"/>
        </w:rPr>
        <w:t>某种器械</w:t>
      </w:r>
      <w:r>
        <w:rPr>
          <w:rFonts w:cs="宋体"/>
          <w:lang w:eastAsia="zh-CN"/>
        </w:rPr>
        <w:t>可以达到预期结果，试验需要加强监测和数据稽查。虽然建立器械性能的基线标准是有用的，但由于实际的挑战，临床试验的范围可能会很窄。与之相比，利用</w:t>
      </w:r>
      <w:r>
        <w:rPr>
          <w:rFonts w:cs="宋体"/>
          <w:lang w:eastAsia="zh-CN"/>
        </w:rPr>
        <w:t>RWD</w:t>
      </w:r>
      <w:r>
        <w:rPr>
          <w:rFonts w:cs="宋体"/>
          <w:lang w:eastAsia="zh-CN"/>
        </w:rPr>
        <w:t>的研究可以提供更广泛患者人群的信息，从而提供仅通过传统临床试验无法获得的信息。但是，现有</w:t>
      </w:r>
      <w:r>
        <w:rPr>
          <w:rFonts w:cs="宋体"/>
          <w:lang w:eastAsia="zh-CN"/>
        </w:rPr>
        <w:t>RWD</w:t>
      </w:r>
      <w:r>
        <w:rPr>
          <w:rFonts w:cs="宋体"/>
          <w:lang w:eastAsia="zh-CN"/>
        </w:rPr>
        <w:t>来源可能会存在固有偏倚，从而限制</w:t>
      </w:r>
      <w:r>
        <w:rPr>
          <w:rFonts w:cs="宋体"/>
          <w:lang w:eastAsia="zh-CN"/>
        </w:rPr>
        <w:t>RWD</w:t>
      </w:r>
      <w:r>
        <w:rPr>
          <w:rFonts w:cs="宋体"/>
          <w:lang w:eastAsia="zh-CN"/>
        </w:rPr>
        <w:t>用于推断医疗器械暴露与结局之间的因果关系的价值。因此，为了减少潜在偏倚，需要严谨的研究设计并且在访问、检索和分析</w:t>
      </w:r>
      <w:r>
        <w:rPr>
          <w:rFonts w:cs="宋体"/>
          <w:lang w:eastAsia="zh-CN"/>
        </w:rPr>
        <w:t>RWD</w:t>
      </w:r>
      <w:r>
        <w:rPr>
          <w:rFonts w:cs="宋体"/>
          <w:lang w:eastAsia="zh-CN"/>
        </w:rPr>
        <w:t>之前创建研究方案和分析计划，而无论是否已经收集（回顾性）或未来将要收集（前瞻性设计）</w:t>
      </w:r>
      <w:r>
        <w:rPr>
          <w:rFonts w:cs="宋体"/>
          <w:lang w:eastAsia="zh-CN"/>
        </w:rPr>
        <w:t>RWD</w:t>
      </w:r>
      <w:r>
        <w:rPr>
          <w:rFonts w:cs="宋体"/>
          <w:lang w:eastAsia="zh-CN"/>
        </w:rPr>
        <w:t>。</w:t>
      </w:r>
      <w:r>
        <w:rPr>
          <w:rFonts w:cs="宋体"/>
          <w:lang w:eastAsia="zh-CN"/>
        </w:rPr>
        <w:t>RWD</w:t>
      </w:r>
      <w:r>
        <w:rPr>
          <w:rFonts w:cs="宋体"/>
          <w:lang w:eastAsia="zh-CN"/>
        </w:rPr>
        <w:t>的方案和分析计划应说明传统临床试验方案和统计分析计划所涵盖的相同要素。在考虑将使用</w:t>
      </w:r>
      <w:r>
        <w:rPr>
          <w:rFonts w:cs="宋体"/>
          <w:lang w:eastAsia="zh-CN"/>
        </w:rPr>
        <w:t>RWD</w:t>
      </w:r>
      <w:r>
        <w:rPr>
          <w:rFonts w:cs="宋体"/>
          <w:lang w:eastAsia="zh-CN"/>
        </w:rPr>
        <w:t>的研究用于监管申报时，</w:t>
      </w:r>
      <w:r>
        <w:rPr>
          <w:rFonts w:cs="宋体"/>
          <w:lang w:eastAsia="zh-CN"/>
        </w:rPr>
        <w:t>FDA</w:t>
      </w:r>
      <w:r>
        <w:rPr>
          <w:rFonts w:cs="宋体"/>
          <w:lang w:eastAsia="zh-CN"/>
        </w:rPr>
        <w:t>建议使用申请前</w:t>
      </w:r>
      <w:r>
        <w:rPr>
          <w:rFonts w:cs="宋体" w:hint="eastAsia"/>
          <w:lang w:eastAsia="zh-CN"/>
        </w:rPr>
        <w:t>沟通咨询</w:t>
      </w:r>
      <w:r>
        <w:rPr>
          <w:rFonts w:cs="宋体"/>
          <w:lang w:eastAsia="zh-CN"/>
        </w:rPr>
        <w:t>流程。</w:t>
      </w:r>
    </w:p>
    <w:p w14:paraId="227BEFF7" w14:textId="77777777" w:rsidR="00D33511" w:rsidRDefault="0086799F">
      <w:pPr>
        <w:spacing w:before="120"/>
        <w:rPr>
          <w:lang w:eastAsia="zh-CN"/>
        </w:rPr>
      </w:pPr>
      <w:r>
        <w:rPr>
          <w:rFonts w:cs="宋体"/>
          <w:lang w:eastAsia="zh-CN"/>
        </w:rPr>
        <w:t>在考虑前瞻性研究设计时，应考虑到</w:t>
      </w:r>
      <w:r>
        <w:rPr>
          <w:rFonts w:cs="宋体"/>
          <w:lang w:eastAsia="zh-CN"/>
        </w:rPr>
        <w:t>RWD</w:t>
      </w:r>
      <w:r>
        <w:rPr>
          <w:rFonts w:cs="宋体"/>
          <w:lang w:eastAsia="zh-CN"/>
        </w:rPr>
        <w:t>采集方法和分析基础设施是否足以用于开展试验，如果不足，则是否可以对此进行修改。最后，对于采用前瞻性研究设计采集到的</w:t>
      </w:r>
      <w:r>
        <w:rPr>
          <w:rFonts w:cs="宋体"/>
          <w:lang w:eastAsia="zh-CN"/>
        </w:rPr>
        <w:t>RWD</w:t>
      </w:r>
      <w:r>
        <w:rPr>
          <w:rFonts w:cs="宋体"/>
          <w:lang w:eastAsia="zh-CN"/>
        </w:rPr>
        <w:t>，如果可以适当减少偏倚来源，则数据可被用于生成（或有助于生成）评估医疗器械性能所需的</w:t>
      </w:r>
      <w:r>
        <w:rPr>
          <w:rFonts w:cs="宋体"/>
          <w:lang w:eastAsia="zh-CN"/>
        </w:rPr>
        <w:t>“</w:t>
      </w:r>
      <w:r>
        <w:rPr>
          <w:rFonts w:cs="宋体"/>
          <w:lang w:eastAsia="zh-CN"/>
        </w:rPr>
        <w:t>证据链完备性</w:t>
      </w:r>
      <w:r>
        <w:rPr>
          <w:rFonts w:cs="宋体"/>
          <w:lang w:eastAsia="zh-CN"/>
        </w:rPr>
        <w:t>”</w:t>
      </w:r>
      <w:r>
        <w:rPr>
          <w:rFonts w:cs="宋体"/>
          <w:lang w:eastAsia="zh-CN"/>
        </w:rPr>
        <w:t>。</w:t>
      </w:r>
    </w:p>
    <w:p w14:paraId="07B1A2B6" w14:textId="77777777" w:rsidR="00D33511" w:rsidRDefault="00D33511">
      <w:pPr>
        <w:spacing w:before="120"/>
        <w:rPr>
          <w:lang w:eastAsia="zh-CN"/>
        </w:rPr>
      </w:pPr>
    </w:p>
    <w:p w14:paraId="44BBDAA3" w14:textId="77777777" w:rsidR="00D33511" w:rsidRDefault="00D33511">
      <w:pPr>
        <w:spacing w:before="120"/>
        <w:rPr>
          <w:lang w:eastAsia="zh-CN"/>
        </w:rPr>
      </w:pPr>
    </w:p>
    <w:p w14:paraId="75BF73BB" w14:textId="77777777" w:rsidR="00D33511" w:rsidRDefault="00D33511">
      <w:pPr>
        <w:spacing w:beforeLines="1350" w:before="3240"/>
        <w:rPr>
          <w:lang w:eastAsia="zh-CN"/>
        </w:rPr>
      </w:pPr>
    </w:p>
    <w:p w14:paraId="4CC7C8F1" w14:textId="77777777" w:rsidR="00D33511" w:rsidRDefault="00D33511">
      <w:pPr>
        <w:spacing w:before="120"/>
        <w:rPr>
          <w:lang w:eastAsia="zh-CN"/>
        </w:rPr>
      </w:pPr>
    </w:p>
    <w:p w14:paraId="277490B5" w14:textId="77777777" w:rsidR="00D33511" w:rsidRDefault="0086799F">
      <w:pPr>
        <w:pBdr>
          <w:top w:val="single" w:sz="4" w:space="1" w:color="auto"/>
        </w:pBdr>
        <w:spacing w:beforeLines="0" w:before="0"/>
      </w:pPr>
      <w:r>
        <w:rPr>
          <w:rFonts w:cs="宋体"/>
          <w:sz w:val="21"/>
          <w:vertAlign w:val="superscript"/>
        </w:rPr>
        <w:t>13</w:t>
      </w:r>
      <w:r>
        <w:rPr>
          <w:rFonts w:cs="宋体"/>
          <w:sz w:val="21"/>
        </w:rPr>
        <w:t xml:space="preserve"> Sherman RE</w:t>
      </w:r>
      <w:r>
        <w:rPr>
          <w:rFonts w:cs="宋体" w:hint="eastAsia"/>
          <w:sz w:val="21"/>
          <w:lang w:eastAsia="zh-CN"/>
        </w:rPr>
        <w:t>,</w:t>
      </w:r>
      <w:r>
        <w:rPr>
          <w:rFonts w:cs="宋体"/>
          <w:sz w:val="21"/>
          <w:lang w:eastAsia="zh-CN"/>
        </w:rPr>
        <w:t xml:space="preserve"> </w:t>
      </w:r>
      <w:r>
        <w:rPr>
          <w:rFonts w:cs="宋体"/>
          <w:sz w:val="21"/>
        </w:rPr>
        <w:t>Steven A</w:t>
      </w:r>
      <w:r>
        <w:rPr>
          <w:rFonts w:cs="宋体" w:hint="eastAsia"/>
          <w:sz w:val="21"/>
          <w:lang w:eastAsia="zh-CN"/>
        </w:rPr>
        <w:t>,</w:t>
      </w:r>
      <w:r>
        <w:rPr>
          <w:rFonts w:cs="宋体"/>
          <w:sz w:val="21"/>
          <w:lang w:eastAsia="zh-CN"/>
        </w:rPr>
        <w:t xml:space="preserve"> </w:t>
      </w:r>
      <w:r>
        <w:rPr>
          <w:rFonts w:cs="宋体"/>
          <w:sz w:val="21"/>
        </w:rPr>
        <w:t>Dal Pan GJ</w:t>
      </w:r>
      <w:r>
        <w:rPr>
          <w:rFonts w:cs="宋体" w:hint="eastAsia"/>
          <w:sz w:val="21"/>
          <w:lang w:eastAsia="zh-CN"/>
        </w:rPr>
        <w:t xml:space="preserve"> </w:t>
      </w:r>
      <w:r>
        <w:rPr>
          <w:rFonts w:cs="宋体"/>
          <w:sz w:val="21"/>
          <w:lang w:eastAsia="zh-CN"/>
        </w:rPr>
        <w:t>et al.</w:t>
      </w:r>
      <w:r>
        <w:rPr>
          <w:rFonts w:cs="宋体"/>
          <w:sz w:val="21"/>
        </w:rPr>
        <w:t>；真实世界证据</w:t>
      </w:r>
      <w:r>
        <w:rPr>
          <w:rFonts w:cs="宋体"/>
          <w:sz w:val="21"/>
        </w:rPr>
        <w:t>-</w:t>
      </w:r>
      <w:r>
        <w:rPr>
          <w:rFonts w:cs="宋体"/>
          <w:sz w:val="21"/>
        </w:rPr>
        <w:t>真实世界证据是什么，能告诉我们什么？</w:t>
      </w:r>
      <w:r>
        <w:rPr>
          <w:rFonts w:cs="宋体"/>
          <w:sz w:val="21"/>
        </w:rPr>
        <w:t>NEJM</w:t>
      </w:r>
      <w:r>
        <w:rPr>
          <w:rFonts w:cs="宋体"/>
          <w:sz w:val="21"/>
        </w:rPr>
        <w:t>，</w:t>
      </w:r>
      <w:r>
        <w:rPr>
          <w:rFonts w:cs="宋体"/>
          <w:sz w:val="21"/>
        </w:rPr>
        <w:t>2016</w:t>
      </w:r>
      <w:r>
        <w:rPr>
          <w:rFonts w:cs="宋体"/>
          <w:sz w:val="21"/>
        </w:rPr>
        <w:t>年</w:t>
      </w:r>
      <w:r>
        <w:rPr>
          <w:rFonts w:cs="宋体"/>
          <w:sz w:val="21"/>
        </w:rPr>
        <w:t>12</w:t>
      </w:r>
      <w:r>
        <w:rPr>
          <w:rFonts w:cs="宋体"/>
          <w:sz w:val="21"/>
        </w:rPr>
        <w:t>月；</w:t>
      </w:r>
      <w:r>
        <w:rPr>
          <w:rFonts w:cs="宋体"/>
          <w:sz w:val="21"/>
        </w:rPr>
        <w:t>375</w:t>
      </w:r>
      <w:r>
        <w:rPr>
          <w:rFonts w:cs="宋体"/>
          <w:sz w:val="21"/>
        </w:rPr>
        <w:t>；</w:t>
      </w:r>
      <w:r>
        <w:rPr>
          <w:rFonts w:cs="宋体"/>
          <w:sz w:val="21"/>
        </w:rPr>
        <w:t>23</w:t>
      </w:r>
      <w:r>
        <w:rPr>
          <w:rFonts w:cs="宋体"/>
        </w:rPr>
        <w:br w:type="page"/>
      </w:r>
    </w:p>
    <w:p w14:paraId="3DE02A59" w14:textId="77777777" w:rsidR="00D33511" w:rsidRDefault="0086799F">
      <w:pPr>
        <w:spacing w:before="120"/>
        <w:rPr>
          <w:lang w:eastAsia="zh-CN"/>
        </w:rPr>
      </w:pPr>
      <w:r>
        <w:rPr>
          <w:rFonts w:cs="宋体"/>
          <w:lang w:eastAsia="zh-CN"/>
        </w:rPr>
        <w:lastRenderedPageBreak/>
        <w:t>由于其性质，不同数据类型和来源的</w:t>
      </w:r>
      <w:r>
        <w:rPr>
          <w:rFonts w:cs="宋体"/>
          <w:lang w:eastAsia="zh-CN"/>
        </w:rPr>
        <w:t>RWD</w:t>
      </w:r>
      <w:r>
        <w:rPr>
          <w:rFonts w:cs="宋体"/>
          <w:lang w:eastAsia="zh-CN"/>
        </w:rPr>
        <w:t>的质量差异较大。同样，有很多种类型的</w:t>
      </w:r>
      <w:r>
        <w:rPr>
          <w:rFonts w:cs="宋体"/>
          <w:lang w:eastAsia="zh-CN"/>
        </w:rPr>
        <w:t>FDA</w:t>
      </w:r>
      <w:r>
        <w:rPr>
          <w:rFonts w:cs="宋体"/>
          <w:lang w:eastAsia="zh-CN"/>
        </w:rPr>
        <w:t>监管决策（涵盖了产品总生命周期（</w:t>
      </w:r>
      <w:r>
        <w:rPr>
          <w:rFonts w:cs="宋体"/>
          <w:lang w:eastAsia="zh-CN"/>
        </w:rPr>
        <w:t>TPLC</w:t>
      </w:r>
      <w:r>
        <w:rPr>
          <w:rFonts w:cs="宋体"/>
          <w:lang w:eastAsia="zh-CN"/>
        </w:rPr>
        <w:t>））所需证据水平各不相同。本指南未改变</w:t>
      </w:r>
      <w:r>
        <w:rPr>
          <w:rFonts w:cs="宋体"/>
          <w:lang w:eastAsia="zh-CN"/>
        </w:rPr>
        <w:t>FDA</w:t>
      </w:r>
      <w:r>
        <w:rPr>
          <w:rFonts w:cs="宋体"/>
          <w:lang w:eastAsia="zh-CN"/>
        </w:rPr>
        <w:t>的监管决策证据标准，并且在每种情况下，我们都将评价现有</w:t>
      </w:r>
      <w:r>
        <w:rPr>
          <w:rFonts w:cs="宋体"/>
          <w:lang w:eastAsia="zh-CN"/>
        </w:rPr>
        <w:t>RWD</w:t>
      </w:r>
      <w:r>
        <w:rPr>
          <w:rFonts w:cs="宋体"/>
          <w:lang w:eastAsia="zh-CN"/>
        </w:rPr>
        <w:t>质量是否足以用于正在考虑的监管决策。</w:t>
      </w:r>
      <w:r>
        <w:rPr>
          <w:rFonts w:cs="宋体"/>
          <w:lang w:eastAsia="zh-CN"/>
        </w:rPr>
        <w:t>FDA</w:t>
      </w:r>
      <w:r>
        <w:rPr>
          <w:rFonts w:cs="宋体"/>
          <w:lang w:eastAsia="zh-CN"/>
        </w:rPr>
        <w:t>认为，随着医疗机构中越来越多地使用电子数据系统，可以获得大量的</w:t>
      </w:r>
      <w:r>
        <w:rPr>
          <w:rFonts w:cs="宋体"/>
          <w:lang w:eastAsia="zh-CN"/>
        </w:rPr>
        <w:t>RWD</w:t>
      </w:r>
      <w:r>
        <w:rPr>
          <w:rFonts w:cs="宋体"/>
          <w:lang w:eastAsia="zh-CN"/>
        </w:rPr>
        <w:t>。但是，由于此类系统的质量差异较大，所以并非所有</w:t>
      </w:r>
      <w:r>
        <w:rPr>
          <w:rFonts w:cs="宋体"/>
          <w:lang w:eastAsia="zh-CN"/>
        </w:rPr>
        <w:t>RWD</w:t>
      </w:r>
      <w:r>
        <w:rPr>
          <w:rFonts w:cs="宋体"/>
          <w:lang w:eastAsia="zh-CN"/>
        </w:rPr>
        <w:t>本身都足以生成证据来支持</w:t>
      </w:r>
      <w:r>
        <w:rPr>
          <w:rFonts w:cs="宋体"/>
          <w:lang w:eastAsia="zh-CN"/>
        </w:rPr>
        <w:t>FDA</w:t>
      </w:r>
      <w:r>
        <w:rPr>
          <w:rFonts w:cs="宋体"/>
          <w:lang w:eastAsia="zh-CN"/>
        </w:rPr>
        <w:t>的监管决策。即便如此，</w:t>
      </w:r>
      <w:r>
        <w:rPr>
          <w:rFonts w:cs="宋体"/>
          <w:lang w:eastAsia="zh-CN"/>
        </w:rPr>
        <w:t>RWD</w:t>
      </w:r>
      <w:r>
        <w:rPr>
          <w:rFonts w:cs="宋体"/>
          <w:lang w:eastAsia="zh-CN"/>
        </w:rPr>
        <w:t>仍然可以为决策所需的证据链完备性提供有价值的贡献。此外，为了使用</w:t>
      </w:r>
      <w:r>
        <w:rPr>
          <w:rFonts w:cs="宋体"/>
          <w:lang w:eastAsia="zh-CN"/>
        </w:rPr>
        <w:t>RWD</w:t>
      </w:r>
      <w:r>
        <w:rPr>
          <w:rFonts w:cs="宋体"/>
          <w:lang w:eastAsia="zh-CN"/>
        </w:rPr>
        <w:t>，必须充分识别器械，其详细程度足以解决监管问题。例如，为了评价某一器械，可能需要器械唯一标识符（</w:t>
      </w:r>
      <w:r>
        <w:rPr>
          <w:rFonts w:cs="宋体"/>
          <w:lang w:eastAsia="zh-CN"/>
        </w:rPr>
        <w:t>UDI</w:t>
      </w:r>
      <w:r>
        <w:rPr>
          <w:rFonts w:cs="宋体"/>
          <w:lang w:eastAsia="zh-CN"/>
        </w:rPr>
        <w:t>）或序列号／型号来识别可能包含多个相似器械数据的</w:t>
      </w:r>
      <w:r>
        <w:rPr>
          <w:rFonts w:cs="宋体"/>
          <w:lang w:eastAsia="zh-CN"/>
        </w:rPr>
        <w:t>RWD</w:t>
      </w:r>
      <w:r>
        <w:rPr>
          <w:rFonts w:cs="宋体"/>
          <w:lang w:eastAsia="zh-CN"/>
        </w:rPr>
        <w:t>来源中的器械。</w:t>
      </w:r>
    </w:p>
    <w:p w14:paraId="5BC573D1" w14:textId="77777777" w:rsidR="00D33511" w:rsidRDefault="0086799F">
      <w:pPr>
        <w:spacing w:before="120"/>
        <w:rPr>
          <w:lang w:eastAsia="zh-CN"/>
        </w:rPr>
      </w:pPr>
      <w:r>
        <w:rPr>
          <w:rFonts w:cs="宋体"/>
          <w:lang w:eastAsia="zh-CN"/>
        </w:rPr>
        <w:t>如果计划将</w:t>
      </w:r>
      <w:r>
        <w:rPr>
          <w:rFonts w:cs="宋体"/>
          <w:lang w:eastAsia="zh-CN"/>
        </w:rPr>
        <w:t>RWE</w:t>
      </w:r>
      <w:r>
        <w:rPr>
          <w:rFonts w:cs="宋体"/>
          <w:lang w:eastAsia="zh-CN"/>
        </w:rPr>
        <w:t>用于评价监管问题，那么重要的是，</w:t>
      </w:r>
      <w:r>
        <w:rPr>
          <w:rFonts w:cs="宋体"/>
          <w:lang w:eastAsia="zh-CN"/>
        </w:rPr>
        <w:t>RWD</w:t>
      </w:r>
      <w:r>
        <w:rPr>
          <w:rFonts w:cs="宋体"/>
          <w:lang w:eastAsia="zh-CN"/>
        </w:rPr>
        <w:t>不仅要符合第</w:t>
      </w:r>
      <w:r>
        <w:rPr>
          <w:rFonts w:cs="宋体"/>
          <w:lang w:eastAsia="zh-CN"/>
        </w:rPr>
        <w:t>V</w:t>
      </w:r>
      <w:r>
        <w:rPr>
          <w:rFonts w:cs="宋体"/>
          <w:lang w:eastAsia="zh-CN"/>
        </w:rPr>
        <w:t>章所述标准，还要采用公认的数据标准（即标准化文件格式和数据结构，利用标准变量和定义等）向</w:t>
      </w:r>
      <w:r>
        <w:rPr>
          <w:rFonts w:cs="宋体"/>
          <w:lang w:eastAsia="zh-CN"/>
        </w:rPr>
        <w:t>FDA</w:t>
      </w:r>
      <w:r>
        <w:rPr>
          <w:rFonts w:cs="宋体"/>
          <w:lang w:eastAsia="zh-CN"/>
        </w:rPr>
        <w:t>提交信息。其中包括讨论用于分析</w:t>
      </w:r>
      <w:r>
        <w:rPr>
          <w:rFonts w:cs="宋体"/>
          <w:lang w:eastAsia="zh-CN"/>
        </w:rPr>
        <w:t>RWD</w:t>
      </w:r>
      <w:r>
        <w:rPr>
          <w:rFonts w:cs="宋体"/>
          <w:lang w:eastAsia="zh-CN"/>
        </w:rPr>
        <w:t>以及评估临床相关差异和统计学意义的方法。</w:t>
      </w:r>
    </w:p>
    <w:p w14:paraId="40F910D0" w14:textId="77777777" w:rsidR="00D33511" w:rsidRDefault="0086799F">
      <w:pPr>
        <w:pStyle w:val="af0"/>
        <w:numPr>
          <w:ilvl w:val="0"/>
          <w:numId w:val="1"/>
        </w:numPr>
        <w:spacing w:before="120"/>
        <w:ind w:left="643" w:hangingChars="200" w:hanging="643"/>
        <w:outlineLvl w:val="0"/>
        <w:rPr>
          <w:b/>
          <w:bCs/>
          <w:sz w:val="32"/>
          <w:szCs w:val="32"/>
          <w:lang w:eastAsia="zh-CN"/>
        </w:rPr>
      </w:pPr>
      <w:bookmarkStart w:id="5" w:name="_Toc90485544"/>
      <w:r>
        <w:rPr>
          <w:rFonts w:cs="宋体"/>
          <w:b/>
          <w:sz w:val="32"/>
          <w:lang w:eastAsia="zh-CN"/>
        </w:rPr>
        <w:t>可使用</w:t>
      </w:r>
      <w:r>
        <w:rPr>
          <w:rFonts w:cs="宋体"/>
          <w:b/>
          <w:sz w:val="32"/>
          <w:lang w:eastAsia="zh-CN"/>
        </w:rPr>
        <w:t>RWE</w:t>
      </w:r>
      <w:r>
        <w:rPr>
          <w:rFonts w:cs="宋体"/>
          <w:b/>
          <w:sz w:val="32"/>
          <w:lang w:eastAsia="zh-CN"/>
        </w:rPr>
        <w:t>的监管情况</w:t>
      </w:r>
      <w:bookmarkEnd w:id="5"/>
    </w:p>
    <w:p w14:paraId="2E06C704" w14:textId="77777777" w:rsidR="00D33511" w:rsidRDefault="0086799F">
      <w:pPr>
        <w:pStyle w:val="af0"/>
        <w:numPr>
          <w:ilvl w:val="0"/>
          <w:numId w:val="2"/>
        </w:numPr>
        <w:spacing w:before="120"/>
        <w:ind w:leftChars="200" w:left="1042" w:hangingChars="200" w:hanging="562"/>
        <w:outlineLvl w:val="1"/>
        <w:rPr>
          <w:b/>
          <w:bCs/>
          <w:sz w:val="28"/>
          <w:szCs w:val="28"/>
          <w:lang w:eastAsia="zh-CN"/>
        </w:rPr>
      </w:pPr>
      <w:bookmarkStart w:id="6" w:name="_Toc90485545"/>
      <w:r>
        <w:rPr>
          <w:rFonts w:cs="宋体"/>
          <w:b/>
          <w:sz w:val="28"/>
          <w:lang w:eastAsia="zh-CN"/>
        </w:rPr>
        <w:t>使用</w:t>
      </w:r>
      <w:r>
        <w:rPr>
          <w:rFonts w:cs="宋体"/>
          <w:b/>
          <w:sz w:val="28"/>
          <w:lang w:eastAsia="zh-CN"/>
        </w:rPr>
        <w:t>RWE</w:t>
      </w:r>
      <w:r>
        <w:rPr>
          <w:rFonts w:cs="宋体"/>
          <w:b/>
          <w:sz w:val="28"/>
          <w:lang w:eastAsia="zh-CN"/>
        </w:rPr>
        <w:t>的一般考虑因素</w:t>
      </w:r>
      <w:bookmarkEnd w:id="6"/>
    </w:p>
    <w:p w14:paraId="550DBAEB" w14:textId="77777777" w:rsidR="00D33511" w:rsidRDefault="0086799F">
      <w:pPr>
        <w:spacing w:before="120"/>
        <w:rPr>
          <w:lang w:eastAsia="zh-CN"/>
        </w:rPr>
      </w:pPr>
      <w:r>
        <w:rPr>
          <w:rFonts w:cs="宋体"/>
          <w:lang w:eastAsia="zh-CN"/>
        </w:rPr>
        <w:t>如果</w:t>
      </w:r>
      <w:r>
        <w:rPr>
          <w:rFonts w:cs="宋体"/>
          <w:lang w:eastAsia="zh-CN"/>
        </w:rPr>
        <w:t>FDA</w:t>
      </w:r>
      <w:r>
        <w:rPr>
          <w:rFonts w:cs="宋体"/>
          <w:lang w:eastAsia="zh-CN"/>
        </w:rPr>
        <w:t>得出结论认为，生成</w:t>
      </w:r>
      <w:r>
        <w:rPr>
          <w:rFonts w:cs="宋体"/>
          <w:lang w:eastAsia="zh-CN"/>
        </w:rPr>
        <w:t>RWE</w:t>
      </w:r>
      <w:r>
        <w:rPr>
          <w:rFonts w:cs="宋体"/>
          <w:lang w:eastAsia="zh-CN"/>
        </w:rPr>
        <w:t>之</w:t>
      </w:r>
      <w:r>
        <w:rPr>
          <w:rFonts w:cs="宋体"/>
          <w:lang w:eastAsia="zh-CN"/>
        </w:rPr>
        <w:t>RWD</w:t>
      </w:r>
      <w:r>
        <w:rPr>
          <w:rFonts w:cs="宋体"/>
          <w:lang w:eastAsia="zh-CN"/>
        </w:rPr>
        <w:t>的质量足以为某一监管决策提供信息或支持，则</w:t>
      </w:r>
      <w:r>
        <w:rPr>
          <w:rFonts w:cs="宋体"/>
          <w:lang w:eastAsia="zh-CN"/>
        </w:rPr>
        <w:t>FDA</w:t>
      </w:r>
      <w:r>
        <w:rPr>
          <w:rFonts w:cs="宋体"/>
          <w:lang w:eastAsia="zh-CN"/>
        </w:rPr>
        <w:t>将考虑使用</w:t>
      </w:r>
      <w:r>
        <w:rPr>
          <w:rFonts w:cs="宋体"/>
          <w:lang w:eastAsia="zh-CN"/>
        </w:rPr>
        <w:t>RWE</w:t>
      </w:r>
      <w:r>
        <w:rPr>
          <w:rFonts w:cs="宋体"/>
          <w:lang w:eastAsia="zh-CN"/>
        </w:rPr>
        <w:t>来支持医疗器械的监管决策。质量是否达到标准将取决于证据的监管用途。例如，特定的注册登记可能用于上市后监督，但不足以支持上市前合理保证安全性和有效性或实质等同性的判定。</w:t>
      </w:r>
    </w:p>
    <w:p w14:paraId="0AC8BABE" w14:textId="77777777" w:rsidR="00D33511" w:rsidRDefault="0086799F">
      <w:pPr>
        <w:spacing w:before="120"/>
        <w:rPr>
          <w:lang w:eastAsia="zh-CN"/>
        </w:rPr>
      </w:pPr>
      <w:r>
        <w:rPr>
          <w:rFonts w:cs="宋体"/>
          <w:lang w:eastAsia="zh-CN"/>
        </w:rPr>
        <w:t>对于病历记录之外的</w:t>
      </w:r>
      <w:r>
        <w:rPr>
          <w:rFonts w:cs="宋体"/>
          <w:lang w:eastAsia="zh-CN"/>
        </w:rPr>
        <w:t>RWD</w:t>
      </w:r>
      <w:r>
        <w:rPr>
          <w:rFonts w:cs="宋体"/>
          <w:lang w:eastAsia="zh-CN"/>
        </w:rPr>
        <w:t>来源，其收集或汇总通常是用于预定的非监管目的。例如，通常保留的医疗管理赔付数据是用于医疗计费／付款。患者支持机构提供的关于疾病的</w:t>
      </w:r>
      <w:r>
        <w:rPr>
          <w:rFonts w:cs="宋体"/>
          <w:lang w:eastAsia="zh-CN"/>
        </w:rPr>
        <w:t>RWD</w:t>
      </w:r>
      <w:r>
        <w:rPr>
          <w:rFonts w:cs="宋体"/>
          <w:lang w:eastAsia="zh-CN"/>
        </w:rPr>
        <w:t>来源可用于跟踪特定罕见或所知甚少的疾病的进展或结局。一个或多个专业协会协调提供的关于治疗的</w:t>
      </w:r>
      <w:r>
        <w:rPr>
          <w:rFonts w:cs="宋体"/>
          <w:lang w:eastAsia="zh-CN"/>
        </w:rPr>
        <w:t>RWD</w:t>
      </w:r>
      <w:r>
        <w:rPr>
          <w:rFonts w:cs="宋体"/>
          <w:lang w:eastAsia="zh-CN"/>
        </w:rPr>
        <w:t>来源可能会有多个目的，包括评估并跟踪总体结局、提供数据用于质量评估（</w:t>
      </w:r>
      <w:r>
        <w:rPr>
          <w:rFonts w:cs="宋体"/>
          <w:lang w:eastAsia="zh-CN"/>
        </w:rPr>
        <w:t>QA</w:t>
      </w:r>
      <w:r>
        <w:rPr>
          <w:rFonts w:cs="宋体"/>
          <w:lang w:eastAsia="zh-CN"/>
        </w:rPr>
        <w:t>）、用于性能改善（</w:t>
      </w:r>
      <w:r>
        <w:rPr>
          <w:rFonts w:cs="宋体"/>
          <w:lang w:eastAsia="zh-CN"/>
        </w:rPr>
        <w:t>PI</w:t>
      </w:r>
      <w:r>
        <w:rPr>
          <w:rFonts w:cs="宋体"/>
          <w:lang w:eastAsia="zh-CN"/>
        </w:rPr>
        <w:t>）行动或者提供关于特定疗法的风险预测和基准数据。因此，将</w:t>
      </w:r>
      <w:r>
        <w:rPr>
          <w:rFonts w:cs="宋体"/>
          <w:lang w:eastAsia="zh-CN"/>
        </w:rPr>
        <w:t>RWD</w:t>
      </w:r>
      <w:r>
        <w:rPr>
          <w:rFonts w:cs="宋体"/>
          <w:lang w:eastAsia="zh-CN"/>
        </w:rPr>
        <w:t>用于特定监管决策时，必须了解</w:t>
      </w:r>
      <w:r>
        <w:rPr>
          <w:rFonts w:cs="宋体"/>
          <w:lang w:eastAsia="zh-CN"/>
        </w:rPr>
        <w:t>RWD</w:t>
      </w:r>
      <w:r>
        <w:rPr>
          <w:rFonts w:cs="宋体"/>
          <w:lang w:eastAsia="zh-CN"/>
        </w:rPr>
        <w:t>的优点和局限性，以及质量对下列相关性和可靠性因素的影响。</w:t>
      </w:r>
    </w:p>
    <w:p w14:paraId="51B0B7AE" w14:textId="77777777" w:rsidR="00D33511" w:rsidRDefault="0086799F">
      <w:pPr>
        <w:spacing w:before="120"/>
      </w:pPr>
      <w:r>
        <w:rPr>
          <w:rFonts w:cs="宋体"/>
          <w:lang w:eastAsia="zh-CN"/>
        </w:rPr>
        <w:t>RWD</w:t>
      </w:r>
      <w:r>
        <w:rPr>
          <w:rFonts w:cs="宋体"/>
          <w:lang w:eastAsia="zh-CN"/>
        </w:rPr>
        <w:t>可能会被用作部分或所有必要证据，以了解</w:t>
      </w:r>
      <w:r>
        <w:rPr>
          <w:rFonts w:cs="宋体"/>
          <w:lang w:eastAsia="zh-CN"/>
        </w:rPr>
        <w:t>TPLC</w:t>
      </w:r>
      <w:r>
        <w:rPr>
          <w:rFonts w:cs="宋体"/>
          <w:lang w:eastAsia="zh-CN"/>
        </w:rPr>
        <w:t>不同时间点的医疗器械性能。</w:t>
      </w:r>
      <w:proofErr w:type="spellStart"/>
      <w:r>
        <w:rPr>
          <w:rFonts w:cs="宋体"/>
        </w:rPr>
        <w:t>RWD</w:t>
      </w:r>
      <w:r>
        <w:rPr>
          <w:rFonts w:cs="宋体"/>
        </w:rPr>
        <w:t>的部分使用目的可能包括以下情况</w:t>
      </w:r>
      <w:proofErr w:type="spellEnd"/>
      <w:r>
        <w:rPr>
          <w:rFonts w:cs="宋体"/>
        </w:rPr>
        <w:t>：</w:t>
      </w:r>
    </w:p>
    <w:p w14:paraId="038371F2" w14:textId="77777777" w:rsidR="00D33511" w:rsidRDefault="0086799F">
      <w:pPr>
        <w:spacing w:before="120"/>
      </w:pPr>
      <w:r>
        <w:rPr>
          <w:rFonts w:cs="宋体"/>
        </w:rPr>
        <w:br w:type="page"/>
      </w:r>
    </w:p>
    <w:p w14:paraId="64B6FB52" w14:textId="77777777" w:rsidR="00D33511" w:rsidRDefault="0086799F">
      <w:pPr>
        <w:pStyle w:val="af0"/>
        <w:numPr>
          <w:ilvl w:val="0"/>
          <w:numId w:val="3"/>
        </w:numPr>
        <w:spacing w:before="120"/>
        <w:ind w:left="704" w:firstLineChars="0"/>
        <w:rPr>
          <w:lang w:eastAsia="zh-CN"/>
        </w:rPr>
      </w:pPr>
      <w:r>
        <w:rPr>
          <w:rFonts w:cs="宋体"/>
          <w:lang w:eastAsia="zh-CN"/>
        </w:rPr>
        <w:lastRenderedPageBreak/>
        <w:t>生成假设，以便在前瞻性临床研究中进行检验；</w:t>
      </w:r>
    </w:p>
    <w:p w14:paraId="5AD471A6" w14:textId="77777777" w:rsidR="00D33511" w:rsidRDefault="0086799F">
      <w:pPr>
        <w:pStyle w:val="af0"/>
        <w:numPr>
          <w:ilvl w:val="0"/>
          <w:numId w:val="3"/>
        </w:numPr>
        <w:spacing w:before="120"/>
        <w:ind w:left="704" w:firstLineChars="0"/>
        <w:rPr>
          <w:lang w:eastAsia="zh-CN"/>
        </w:rPr>
      </w:pPr>
      <w:r>
        <w:rPr>
          <w:rFonts w:cs="宋体"/>
          <w:lang w:eastAsia="zh-CN"/>
        </w:rPr>
        <w:t>作为历史对照、贝叶斯检验</w:t>
      </w:r>
      <w:r>
        <w:rPr>
          <w:rFonts w:cs="宋体"/>
          <w:vertAlign w:val="superscript"/>
          <w:lang w:eastAsia="zh-CN"/>
        </w:rPr>
        <w:t>14</w:t>
      </w:r>
      <w:r>
        <w:rPr>
          <w:rFonts w:cs="宋体"/>
          <w:lang w:eastAsia="zh-CN"/>
        </w:rPr>
        <w:t>中的先验、分层模型或混合数据合成的数据来源之一；</w:t>
      </w:r>
    </w:p>
    <w:p w14:paraId="2318C69F" w14:textId="77777777" w:rsidR="00D33511" w:rsidRDefault="0086799F">
      <w:pPr>
        <w:pStyle w:val="af0"/>
        <w:numPr>
          <w:ilvl w:val="0"/>
          <w:numId w:val="3"/>
        </w:numPr>
        <w:spacing w:before="120"/>
        <w:ind w:left="704" w:firstLineChars="0"/>
        <w:rPr>
          <w:lang w:eastAsia="zh-CN"/>
        </w:rPr>
      </w:pPr>
      <w:r>
        <w:rPr>
          <w:rFonts w:cs="宋体"/>
          <w:lang w:eastAsia="zh-CN"/>
        </w:rPr>
        <w:t>如有注册</w:t>
      </w:r>
      <w:r>
        <w:rPr>
          <w:rFonts w:cs="宋体"/>
          <w:lang w:eastAsia="zh-CN"/>
        </w:rPr>
        <w:t>/</w:t>
      </w:r>
      <w:r>
        <w:rPr>
          <w:rFonts w:cs="宋体"/>
          <w:lang w:eastAsia="zh-CN"/>
        </w:rPr>
        <w:t>登记或其他系统数据采集机制，则可将其用作并行对照组或临床研究相关的数据采集机制，以用于支持器械批准或许可；</w:t>
      </w:r>
    </w:p>
    <w:p w14:paraId="08888906" w14:textId="77777777" w:rsidR="00D33511" w:rsidRDefault="0086799F">
      <w:pPr>
        <w:pStyle w:val="af0"/>
        <w:numPr>
          <w:ilvl w:val="0"/>
          <w:numId w:val="3"/>
        </w:numPr>
        <w:spacing w:before="120"/>
        <w:ind w:left="704" w:firstLineChars="0"/>
        <w:rPr>
          <w:lang w:eastAsia="zh-CN"/>
        </w:rPr>
      </w:pPr>
      <w:r>
        <w:rPr>
          <w:rFonts w:cs="宋体"/>
          <w:lang w:eastAsia="zh-CN"/>
        </w:rPr>
        <w:t>作为证据来识别、证明或支持生物标志物的临床有效性；</w:t>
      </w:r>
    </w:p>
    <w:p w14:paraId="78FD54B0" w14:textId="77777777" w:rsidR="00D33511" w:rsidRDefault="0086799F">
      <w:pPr>
        <w:pStyle w:val="af0"/>
        <w:numPr>
          <w:ilvl w:val="0"/>
          <w:numId w:val="3"/>
        </w:numPr>
        <w:spacing w:before="120"/>
        <w:ind w:left="704" w:firstLineChars="0"/>
        <w:rPr>
          <w:lang w:eastAsia="zh-CN"/>
        </w:rPr>
      </w:pPr>
      <w:r>
        <w:rPr>
          <w:rFonts w:cs="宋体"/>
          <w:lang w:eastAsia="zh-CN"/>
        </w:rPr>
        <w:t>作为证据来支持人道主义器械豁免、上市前批准申请（</w:t>
      </w:r>
      <w:r>
        <w:rPr>
          <w:rFonts w:cs="宋体"/>
          <w:lang w:eastAsia="zh-CN"/>
        </w:rPr>
        <w:t>PMA</w:t>
      </w:r>
      <w:r>
        <w:rPr>
          <w:rFonts w:cs="宋体"/>
          <w:lang w:eastAsia="zh-CN"/>
        </w:rPr>
        <w:t>）或重新分类申请的批准或授权；</w:t>
      </w:r>
    </w:p>
    <w:p w14:paraId="29A6D5E8" w14:textId="77777777" w:rsidR="00D33511" w:rsidRDefault="0086799F">
      <w:pPr>
        <w:pStyle w:val="af0"/>
        <w:numPr>
          <w:ilvl w:val="0"/>
          <w:numId w:val="3"/>
        </w:numPr>
        <w:spacing w:before="120"/>
        <w:ind w:left="704" w:firstLineChars="0"/>
        <w:rPr>
          <w:lang w:eastAsia="zh-CN"/>
        </w:rPr>
      </w:pPr>
      <w:r>
        <w:rPr>
          <w:rFonts w:cs="宋体"/>
          <w:lang w:eastAsia="zh-CN"/>
        </w:rPr>
        <w:t>用于支持《</w:t>
      </w:r>
      <w:r>
        <w:rPr>
          <w:rFonts w:cs="宋体"/>
          <w:lang w:eastAsia="zh-CN"/>
        </w:rPr>
        <w:t>FD&amp;C</w:t>
      </w:r>
      <w:r>
        <w:rPr>
          <w:rFonts w:cs="宋体"/>
          <w:lang w:eastAsia="zh-CN"/>
        </w:rPr>
        <w:t>法案》第</w:t>
      </w:r>
      <w:r>
        <w:rPr>
          <w:rFonts w:cs="宋体"/>
          <w:lang w:eastAsia="zh-CN"/>
        </w:rPr>
        <w:t>513(e)</w:t>
      </w:r>
      <w:r>
        <w:rPr>
          <w:rFonts w:cs="宋体"/>
          <w:lang w:eastAsia="zh-CN"/>
        </w:rPr>
        <w:t>节或第</w:t>
      </w:r>
      <w:r>
        <w:rPr>
          <w:rFonts w:cs="宋体"/>
          <w:lang w:eastAsia="zh-CN"/>
        </w:rPr>
        <w:t>(f)(3)</w:t>
      </w:r>
      <w:r>
        <w:rPr>
          <w:rFonts w:cs="宋体"/>
          <w:lang w:eastAsia="zh-CN"/>
        </w:rPr>
        <w:t>节规定的医疗器械重新分类申请；</w:t>
      </w:r>
    </w:p>
    <w:p w14:paraId="0068E367" w14:textId="77777777" w:rsidR="00D33511" w:rsidRDefault="0086799F">
      <w:pPr>
        <w:pStyle w:val="af0"/>
        <w:numPr>
          <w:ilvl w:val="0"/>
          <w:numId w:val="3"/>
        </w:numPr>
        <w:spacing w:before="120"/>
        <w:ind w:left="704" w:firstLineChars="0"/>
        <w:rPr>
          <w:lang w:eastAsia="zh-CN"/>
        </w:rPr>
      </w:pPr>
      <w:r>
        <w:rPr>
          <w:rFonts w:cs="宋体"/>
          <w:lang w:eastAsia="zh-CN"/>
        </w:rPr>
        <w:t>作为证据来扩展医疗器械标签（纳入额外的适应症）或者更新标签（纳入关于安全性和有效性的新信息）；</w:t>
      </w:r>
      <w:r>
        <w:rPr>
          <w:rFonts w:cs="宋体"/>
          <w:vertAlign w:val="superscript"/>
          <w:lang w:eastAsia="zh-CN"/>
        </w:rPr>
        <w:t>15,16</w:t>
      </w:r>
    </w:p>
    <w:p w14:paraId="52E889C9" w14:textId="77777777" w:rsidR="00D33511" w:rsidRDefault="0086799F">
      <w:pPr>
        <w:pStyle w:val="af0"/>
        <w:numPr>
          <w:ilvl w:val="0"/>
          <w:numId w:val="3"/>
        </w:numPr>
        <w:spacing w:before="120"/>
        <w:ind w:left="704" w:firstLineChars="0"/>
        <w:rPr>
          <w:lang w:eastAsia="zh-CN"/>
        </w:rPr>
      </w:pPr>
      <w:r>
        <w:rPr>
          <w:rFonts w:cs="宋体"/>
          <w:lang w:eastAsia="zh-CN"/>
        </w:rPr>
        <w:t>用于公共卫生监督。通过持续监督，有时可能会发现表明医疗器械可能存在安全问题的信号。可以使用</w:t>
      </w:r>
      <w:r>
        <w:rPr>
          <w:rFonts w:cs="宋体"/>
          <w:lang w:eastAsia="zh-CN"/>
        </w:rPr>
        <w:t>RWE</w:t>
      </w:r>
      <w:r>
        <w:rPr>
          <w:rFonts w:cs="宋体"/>
          <w:lang w:eastAsia="zh-CN"/>
        </w:rPr>
        <w:t>来进一步细化此类信号，以便用于适当的纠正行动与沟通；</w:t>
      </w:r>
      <w:r>
        <w:rPr>
          <w:rFonts w:cs="宋体"/>
          <w:vertAlign w:val="superscript"/>
          <w:lang w:eastAsia="zh-CN"/>
        </w:rPr>
        <w:t>17, 18</w:t>
      </w:r>
    </w:p>
    <w:p w14:paraId="3DFAB3AC" w14:textId="77777777" w:rsidR="00D33511" w:rsidRDefault="0086799F">
      <w:pPr>
        <w:pStyle w:val="af0"/>
        <w:numPr>
          <w:ilvl w:val="0"/>
          <w:numId w:val="3"/>
        </w:numPr>
        <w:spacing w:before="120"/>
        <w:ind w:left="704" w:firstLineChars="0"/>
        <w:rPr>
          <w:lang w:eastAsia="zh-CN"/>
        </w:rPr>
      </w:pPr>
      <w:r>
        <w:rPr>
          <w:rFonts w:cs="宋体"/>
          <w:lang w:eastAsia="zh-CN"/>
        </w:rPr>
        <w:t>用于开展器械批准时要求的批准后研究，或者免于实施《</w:t>
      </w:r>
      <w:r>
        <w:rPr>
          <w:rFonts w:cs="宋体"/>
          <w:lang w:eastAsia="zh-CN"/>
        </w:rPr>
        <w:t>FD&amp;C</w:t>
      </w:r>
      <w:r>
        <w:rPr>
          <w:rFonts w:cs="宋体"/>
          <w:lang w:eastAsia="zh-CN"/>
        </w:rPr>
        <w:t>法案》第</w:t>
      </w:r>
      <w:r>
        <w:rPr>
          <w:rFonts w:cs="宋体"/>
          <w:lang w:eastAsia="zh-CN"/>
        </w:rPr>
        <w:t>522</w:t>
      </w:r>
      <w:r>
        <w:rPr>
          <w:rFonts w:cs="宋体"/>
          <w:lang w:eastAsia="zh-CN"/>
        </w:rPr>
        <w:t>节规定的上市后监督研究；</w:t>
      </w:r>
    </w:p>
    <w:p w14:paraId="55CB9291" w14:textId="77777777" w:rsidR="00D33511" w:rsidRDefault="00D33511">
      <w:pPr>
        <w:spacing w:beforeLines="750" w:before="1800"/>
        <w:rPr>
          <w:lang w:eastAsia="zh-CN"/>
        </w:rPr>
      </w:pPr>
      <w:bookmarkStart w:id="7" w:name="bookmark91"/>
      <w:bookmarkEnd w:id="7"/>
    </w:p>
    <w:p w14:paraId="7DC2B0A5" w14:textId="77777777" w:rsidR="00D33511" w:rsidRDefault="0086799F">
      <w:pPr>
        <w:pBdr>
          <w:top w:val="single" w:sz="4" w:space="1" w:color="auto"/>
          <w:bottom w:val="single" w:sz="4" w:space="1" w:color="auto"/>
          <w:between w:val="single" w:sz="4" w:space="1" w:color="auto"/>
        </w:pBdr>
        <w:wordWrap w:val="0"/>
        <w:spacing w:beforeLines="0" w:before="0"/>
        <w:rPr>
          <w:sz w:val="21"/>
          <w:szCs w:val="21"/>
        </w:rPr>
      </w:pPr>
      <w:r>
        <w:rPr>
          <w:rFonts w:cs="宋体"/>
          <w:sz w:val="21"/>
          <w:vertAlign w:val="superscript"/>
        </w:rPr>
        <w:t>14</w:t>
      </w:r>
      <w:r>
        <w:rPr>
          <w:rFonts w:cs="宋体"/>
          <w:sz w:val="21"/>
        </w:rPr>
        <w:t>面向行业和</w:t>
      </w:r>
      <w:r>
        <w:rPr>
          <w:rFonts w:cs="宋体"/>
          <w:sz w:val="21"/>
        </w:rPr>
        <w:t>FDA</w:t>
      </w:r>
      <w:r>
        <w:rPr>
          <w:rFonts w:cs="宋体"/>
          <w:sz w:val="21"/>
        </w:rPr>
        <w:t>工作人员的指南：《医疗器械临床试验的贝叶斯统计学应用指导原则》，（</w:t>
      </w:r>
      <w:r>
        <w:rPr>
          <w:rFonts w:cs="宋体"/>
          <w:color w:val="0000FF"/>
          <w:sz w:val="21"/>
          <w:u w:val="single"/>
        </w:rPr>
        <w:t>https://www.fda.gov/downloads/MedicalDevices/DeviceRegulationandGuidance/GuidanceDocuments/ucm071121.pdf</w:t>
      </w:r>
      <w:r>
        <w:rPr>
          <w:rFonts w:cs="宋体"/>
          <w:sz w:val="21"/>
        </w:rPr>
        <w:t>）。</w:t>
      </w:r>
    </w:p>
    <w:p w14:paraId="30FFA054" w14:textId="77777777" w:rsidR="00D33511" w:rsidRDefault="0086799F">
      <w:pPr>
        <w:pBdr>
          <w:top w:val="single" w:sz="4" w:space="1" w:color="auto"/>
          <w:bottom w:val="single" w:sz="4" w:space="1" w:color="auto"/>
          <w:between w:val="single" w:sz="4" w:space="1" w:color="auto"/>
        </w:pBdr>
        <w:wordWrap w:val="0"/>
        <w:spacing w:beforeLines="0" w:before="0"/>
        <w:rPr>
          <w:sz w:val="21"/>
          <w:szCs w:val="21"/>
        </w:rPr>
      </w:pPr>
      <w:r>
        <w:rPr>
          <w:rFonts w:cs="宋体"/>
          <w:sz w:val="21"/>
          <w:vertAlign w:val="superscript"/>
        </w:rPr>
        <w:t>15</w:t>
      </w:r>
      <w:r>
        <w:rPr>
          <w:rFonts w:cs="宋体"/>
          <w:sz w:val="21"/>
        </w:rPr>
        <w:t>当我们谈论</w:t>
      </w:r>
      <w:r>
        <w:rPr>
          <w:rFonts w:cs="宋体"/>
          <w:sz w:val="21"/>
        </w:rPr>
        <w:t>EvGen</w:t>
      </w:r>
      <w:r>
        <w:rPr>
          <w:rFonts w:cs="宋体"/>
          <w:sz w:val="21"/>
        </w:rPr>
        <w:t>第</w:t>
      </w:r>
      <w:r>
        <w:rPr>
          <w:rFonts w:cs="宋体"/>
          <w:sz w:val="21"/>
        </w:rPr>
        <w:t>II</w:t>
      </w:r>
      <w:r>
        <w:rPr>
          <w:rFonts w:cs="宋体"/>
          <w:sz w:val="21"/>
        </w:rPr>
        <w:t>部分时，我们指的是：构建国家证据生成系统，（</w:t>
      </w:r>
      <w:r>
        <w:rPr>
          <w:rFonts w:cs="宋体"/>
          <w:color w:val="0000FF"/>
          <w:sz w:val="21"/>
          <w:u w:val="single"/>
        </w:rPr>
        <w:t>http://blogs.fda.gov/fdavoice/index.php/2016/04/what-we-mean-when-we-talk-about-evgen-part-i-laying-the-foundation-for-a-national-system-for-evidence-generation/</w:t>
      </w:r>
      <w:r>
        <w:rPr>
          <w:rFonts w:cs="宋体"/>
          <w:sz w:val="21"/>
        </w:rPr>
        <w:t>）。</w:t>
      </w:r>
    </w:p>
    <w:p w14:paraId="59B6900E" w14:textId="77777777" w:rsidR="00D33511" w:rsidRDefault="0086799F">
      <w:pPr>
        <w:pBdr>
          <w:top w:val="single" w:sz="4" w:space="1" w:color="auto"/>
          <w:bottom w:val="single" w:sz="4" w:space="1" w:color="auto"/>
          <w:between w:val="single" w:sz="4" w:space="1" w:color="auto"/>
        </w:pBdr>
        <w:wordWrap w:val="0"/>
        <w:spacing w:beforeLines="0" w:before="0"/>
        <w:rPr>
          <w:sz w:val="21"/>
          <w:szCs w:val="21"/>
        </w:rPr>
      </w:pPr>
      <w:r>
        <w:rPr>
          <w:rFonts w:cs="宋体"/>
          <w:sz w:val="21"/>
          <w:vertAlign w:val="superscript"/>
        </w:rPr>
        <w:t>16</w:t>
      </w:r>
      <w:r>
        <w:rPr>
          <w:rFonts w:cs="宋体"/>
          <w:sz w:val="21"/>
        </w:rPr>
        <w:t>行业指南：《通用</w:t>
      </w:r>
      <w:r>
        <w:rPr>
          <w:rFonts w:cs="宋体"/>
          <w:sz w:val="21"/>
        </w:rPr>
        <w:t>/</w:t>
      </w:r>
      <w:r>
        <w:rPr>
          <w:rFonts w:cs="宋体"/>
          <w:sz w:val="21"/>
        </w:rPr>
        <w:t>特定预期用途》，（</w:t>
      </w:r>
      <w:r>
        <w:rPr>
          <w:rFonts w:cs="宋体"/>
          <w:color w:val="0000FF"/>
          <w:sz w:val="21"/>
          <w:u w:val="single"/>
        </w:rPr>
        <w:t>http://www.fda.gov/downloads/MedicalDevices/DeviceRegulationandGuidance/GuidanceDocuments/ucm073945.pdf</w:t>
      </w:r>
      <w:r>
        <w:rPr>
          <w:rFonts w:cs="宋体"/>
          <w:sz w:val="21"/>
        </w:rPr>
        <w:t>）。</w:t>
      </w:r>
    </w:p>
    <w:p w14:paraId="4BC1453F" w14:textId="31CBC2ED" w:rsidR="00D33511" w:rsidRDefault="0086799F">
      <w:pPr>
        <w:pBdr>
          <w:top w:val="single" w:sz="4" w:space="1" w:color="auto"/>
          <w:bottom w:val="single" w:sz="4" w:space="1" w:color="auto"/>
          <w:between w:val="single" w:sz="4" w:space="1" w:color="auto"/>
        </w:pBdr>
        <w:wordWrap w:val="0"/>
        <w:spacing w:beforeLines="0" w:before="0"/>
        <w:rPr>
          <w:sz w:val="21"/>
          <w:szCs w:val="21"/>
        </w:rPr>
      </w:pPr>
      <w:r>
        <w:rPr>
          <w:rFonts w:cs="宋体"/>
          <w:sz w:val="21"/>
          <w:vertAlign w:val="superscript"/>
        </w:rPr>
        <w:t>17</w:t>
      </w:r>
      <w:r>
        <w:rPr>
          <w:rFonts w:cs="宋体"/>
          <w:sz w:val="21"/>
        </w:rPr>
        <w:t>医疗器械上市后新出现信号的公开通知（</w:t>
      </w:r>
      <w:r>
        <w:rPr>
          <w:rFonts w:cs="宋体"/>
          <w:sz w:val="21"/>
        </w:rPr>
        <w:t>“</w:t>
      </w:r>
      <w:r>
        <w:rPr>
          <w:rFonts w:cs="宋体"/>
          <w:sz w:val="21"/>
        </w:rPr>
        <w:t>新出现信号</w:t>
      </w:r>
      <w:r>
        <w:rPr>
          <w:rFonts w:cs="宋体"/>
          <w:sz w:val="21"/>
        </w:rPr>
        <w:t>”</w:t>
      </w:r>
      <w:r>
        <w:rPr>
          <w:rFonts w:cs="宋体"/>
          <w:sz w:val="21"/>
        </w:rPr>
        <w:t>）</w:t>
      </w:r>
      <w:r>
        <w:rPr>
          <w:rFonts w:cs="宋体"/>
          <w:sz w:val="21"/>
        </w:rPr>
        <w:t>-</w:t>
      </w:r>
      <w:r>
        <w:rPr>
          <w:rFonts w:cs="宋体"/>
          <w:sz w:val="21"/>
        </w:rPr>
        <w:t>《面向行业和</w:t>
      </w:r>
      <w:r w:rsidR="002E064B">
        <w:rPr>
          <w:rFonts w:cs="宋体"/>
          <w:sz w:val="21"/>
        </w:rPr>
        <w:t>美国食品药品监督管理局</w:t>
      </w:r>
      <w:r>
        <w:rPr>
          <w:rFonts w:cs="宋体"/>
          <w:sz w:val="21"/>
        </w:rPr>
        <w:t>工作人员的指南》，（</w:t>
      </w:r>
      <w:r>
        <w:rPr>
          <w:rFonts w:cs="宋体"/>
          <w:color w:val="0000FF"/>
          <w:sz w:val="21"/>
          <w:u w:val="single"/>
        </w:rPr>
        <w:t>http://www.fda.gov/downloads/medicaldevices/deviceregulationandguidance/guidancedocuments/ucm479248.pdf</w:t>
      </w:r>
      <w:r>
        <w:rPr>
          <w:rFonts w:cs="宋体"/>
          <w:sz w:val="21"/>
        </w:rPr>
        <w:t>）。</w:t>
      </w:r>
    </w:p>
    <w:p w14:paraId="508A6BC2" w14:textId="77777777" w:rsidR="00D33511" w:rsidRDefault="0086799F">
      <w:pPr>
        <w:pBdr>
          <w:between w:val="single" w:sz="4" w:space="1" w:color="auto"/>
        </w:pBdr>
        <w:wordWrap w:val="0"/>
        <w:spacing w:beforeLines="0" w:before="0"/>
      </w:pPr>
      <w:r>
        <w:rPr>
          <w:rFonts w:cs="宋体"/>
          <w:sz w:val="21"/>
          <w:vertAlign w:val="superscript"/>
        </w:rPr>
        <w:t>18</w:t>
      </w:r>
      <w:r>
        <w:rPr>
          <w:rFonts w:cs="宋体"/>
          <w:sz w:val="21"/>
        </w:rPr>
        <w:t>加强患者治疗：构建有效的国家医疗器械监督系统，（</w:t>
      </w:r>
      <w:r>
        <w:rPr>
          <w:rFonts w:cs="宋体"/>
          <w:color w:val="0000FF"/>
          <w:sz w:val="21"/>
          <w:u w:val="single"/>
        </w:rPr>
        <w:t>http://www.fda.gov/downloads/AboutFDA/CentersOffices/OfficeofMedicalProductsandTobacco/CDRH/CDRH ports/UCM435112.pdf</w:t>
      </w:r>
      <w:r>
        <w:rPr>
          <w:rFonts w:cs="宋体"/>
          <w:sz w:val="21"/>
        </w:rPr>
        <w:t>）。</w:t>
      </w:r>
    </w:p>
    <w:p w14:paraId="6954E490" w14:textId="77777777" w:rsidR="00D33511" w:rsidRDefault="0086799F">
      <w:pPr>
        <w:pStyle w:val="af0"/>
        <w:numPr>
          <w:ilvl w:val="0"/>
          <w:numId w:val="3"/>
        </w:numPr>
        <w:spacing w:before="120"/>
        <w:ind w:left="704" w:firstLineChars="0"/>
        <w:rPr>
          <w:lang w:eastAsia="zh-CN"/>
        </w:rPr>
      </w:pPr>
      <w:r>
        <w:rPr>
          <w:rFonts w:cs="宋体"/>
          <w:lang w:eastAsia="zh-CN"/>
        </w:rPr>
        <w:lastRenderedPageBreak/>
        <w:t>在某些情况下，可用于生成医疗器械报告（</w:t>
      </w:r>
      <w:r>
        <w:rPr>
          <w:rFonts w:cs="宋体"/>
          <w:lang w:eastAsia="zh-CN"/>
        </w:rPr>
        <w:t>MDR</w:t>
      </w:r>
      <w:r>
        <w:rPr>
          <w:rFonts w:cs="宋体"/>
          <w:lang w:eastAsia="zh-CN"/>
        </w:rPr>
        <w:t>）的总结报告；以及</w:t>
      </w:r>
    </w:p>
    <w:p w14:paraId="78D16883" w14:textId="77777777" w:rsidR="00D33511" w:rsidRDefault="0086799F">
      <w:pPr>
        <w:pStyle w:val="af0"/>
        <w:numPr>
          <w:ilvl w:val="0"/>
          <w:numId w:val="3"/>
        </w:numPr>
        <w:spacing w:before="120"/>
        <w:ind w:left="704" w:firstLineChars="0"/>
        <w:rPr>
          <w:lang w:eastAsia="zh-CN"/>
        </w:rPr>
      </w:pPr>
      <w:r>
        <w:rPr>
          <w:rFonts w:cs="宋体"/>
          <w:lang w:eastAsia="zh-CN"/>
        </w:rPr>
        <w:t>提供上市后数据来代替部分上市前数据。</w:t>
      </w:r>
    </w:p>
    <w:p w14:paraId="14A361A1" w14:textId="77777777" w:rsidR="00D33511" w:rsidRDefault="0086799F">
      <w:pPr>
        <w:pStyle w:val="af0"/>
        <w:numPr>
          <w:ilvl w:val="0"/>
          <w:numId w:val="2"/>
        </w:numPr>
        <w:spacing w:before="120"/>
        <w:ind w:leftChars="200" w:left="1042" w:hangingChars="200" w:hanging="562"/>
        <w:outlineLvl w:val="1"/>
        <w:rPr>
          <w:b/>
          <w:bCs/>
          <w:sz w:val="28"/>
          <w:szCs w:val="28"/>
          <w:lang w:eastAsia="zh-CN"/>
        </w:rPr>
      </w:pPr>
      <w:bookmarkStart w:id="8" w:name="_Toc90485546"/>
      <w:r>
        <w:rPr>
          <w:rFonts w:cs="宋体"/>
          <w:b/>
          <w:sz w:val="28"/>
          <w:lang w:eastAsia="zh-CN"/>
        </w:rPr>
        <w:t>21 CFR 812</w:t>
      </w:r>
      <w:r>
        <w:rPr>
          <w:rFonts w:cs="宋体"/>
          <w:b/>
          <w:sz w:val="28"/>
          <w:lang w:eastAsia="zh-CN"/>
        </w:rPr>
        <w:t>中试验用器械豁免（</w:t>
      </w:r>
      <w:r>
        <w:rPr>
          <w:rFonts w:cs="宋体"/>
          <w:b/>
          <w:sz w:val="28"/>
          <w:lang w:eastAsia="zh-CN"/>
        </w:rPr>
        <w:t>IDE</w:t>
      </w:r>
      <w:r>
        <w:rPr>
          <w:rFonts w:cs="宋体"/>
          <w:b/>
          <w:sz w:val="28"/>
          <w:lang w:eastAsia="zh-CN"/>
        </w:rPr>
        <w:t>）要求在</w:t>
      </w:r>
      <w:r>
        <w:rPr>
          <w:rFonts w:cs="宋体"/>
          <w:b/>
          <w:sz w:val="28"/>
          <w:lang w:eastAsia="zh-CN"/>
        </w:rPr>
        <w:t>RWD</w:t>
      </w:r>
      <w:r>
        <w:rPr>
          <w:rFonts w:cs="宋体"/>
          <w:b/>
          <w:sz w:val="28"/>
          <w:lang w:eastAsia="zh-CN"/>
        </w:rPr>
        <w:t>收集中的应用</w:t>
      </w:r>
      <w:bookmarkEnd w:id="8"/>
    </w:p>
    <w:p w14:paraId="5AE510AA" w14:textId="77777777" w:rsidR="00D33511" w:rsidRDefault="0086799F">
      <w:pPr>
        <w:spacing w:before="120"/>
        <w:rPr>
          <w:lang w:eastAsia="zh-CN"/>
        </w:rPr>
      </w:pPr>
      <w:r>
        <w:rPr>
          <w:rFonts w:cs="宋体"/>
          <w:lang w:eastAsia="zh-CN"/>
        </w:rPr>
        <w:t>经</w:t>
      </w:r>
      <w:r>
        <w:rPr>
          <w:rFonts w:cs="宋体"/>
          <w:lang w:eastAsia="zh-CN"/>
        </w:rPr>
        <w:t>IDE</w:t>
      </w:r>
      <w:r>
        <w:rPr>
          <w:rFonts w:cs="宋体"/>
          <w:lang w:eastAsia="zh-CN"/>
        </w:rPr>
        <w:t>批准后可合法运输器械，用于开展器械研究，而无需遵照《</w:t>
      </w:r>
      <w:r>
        <w:rPr>
          <w:rFonts w:cs="宋体"/>
          <w:lang w:eastAsia="zh-CN"/>
        </w:rPr>
        <w:t>FD&amp;C</w:t>
      </w:r>
      <w:r>
        <w:rPr>
          <w:rFonts w:cs="宋体"/>
          <w:lang w:eastAsia="zh-CN"/>
        </w:rPr>
        <w:t>法案》中针对商业销售器械的某些其他要求。根据</w:t>
      </w:r>
      <w:r>
        <w:rPr>
          <w:rFonts w:cs="宋体"/>
          <w:lang w:eastAsia="zh-CN"/>
        </w:rPr>
        <w:t>21 CFR 812.1</w:t>
      </w:r>
      <w:r>
        <w:rPr>
          <w:rFonts w:cs="宋体"/>
          <w:lang w:eastAsia="zh-CN"/>
        </w:rPr>
        <w:t>的规定，本文件的目的旨在</w:t>
      </w:r>
      <w:r>
        <w:rPr>
          <w:rFonts w:cs="宋体"/>
          <w:lang w:eastAsia="zh-CN"/>
        </w:rPr>
        <w:t>“</w:t>
      </w:r>
      <w:r>
        <w:rPr>
          <w:rFonts w:cs="宋体"/>
          <w:lang w:eastAsia="zh-CN"/>
        </w:rPr>
        <w:t>在符合公共卫生和安全保护以及伦理标准范围内，鼓励发现和开发预期用于人体的有用器械，并为此目的使科学研究者保有最大自由。</w:t>
      </w:r>
      <w:r>
        <w:rPr>
          <w:rFonts w:cs="宋体"/>
          <w:lang w:eastAsia="zh-CN"/>
        </w:rPr>
        <w:t>”</w:t>
      </w:r>
      <w:r>
        <w:rPr>
          <w:rFonts w:cs="宋体"/>
          <w:lang w:eastAsia="zh-CN"/>
        </w:rPr>
        <w:t>正如第</w:t>
      </w:r>
      <w:r>
        <w:rPr>
          <w:rFonts w:cs="宋体"/>
          <w:lang w:eastAsia="zh-CN"/>
        </w:rPr>
        <w:t>812</w:t>
      </w:r>
      <w:r>
        <w:rPr>
          <w:rFonts w:cs="宋体"/>
          <w:lang w:eastAsia="zh-CN"/>
        </w:rPr>
        <w:t>部分所述，</w:t>
      </w:r>
      <w:r>
        <w:rPr>
          <w:rFonts w:cs="宋体"/>
          <w:lang w:eastAsia="zh-CN"/>
        </w:rPr>
        <w:t>IDE</w:t>
      </w:r>
      <w:r>
        <w:rPr>
          <w:rFonts w:cs="宋体"/>
          <w:lang w:eastAsia="zh-CN"/>
        </w:rPr>
        <w:t>条例适用于所有医疗器械临床研究，以确定其安全性和有效性，但某些有限例外情况除外。在许多情况下，启动临床研究之前均需获得</w:t>
      </w:r>
      <w:r>
        <w:rPr>
          <w:rFonts w:cs="宋体"/>
          <w:lang w:eastAsia="zh-CN"/>
        </w:rPr>
        <w:t>IDE</w:t>
      </w:r>
      <w:r>
        <w:rPr>
          <w:rFonts w:cs="宋体"/>
          <w:lang w:eastAsia="zh-CN"/>
        </w:rPr>
        <w:t>批准。将临床研究定义为：</w:t>
      </w:r>
      <w:r>
        <w:rPr>
          <w:rFonts w:cs="宋体"/>
          <w:lang w:eastAsia="zh-CN"/>
        </w:rPr>
        <w:t>“</w:t>
      </w:r>
      <w:r>
        <w:rPr>
          <w:rFonts w:cs="宋体"/>
          <w:lang w:eastAsia="zh-CN"/>
        </w:rPr>
        <w:t>涉及一位或多位受试者的临床研究，以确定器械的安全性或有效性。</w:t>
      </w:r>
      <w:r>
        <w:rPr>
          <w:rFonts w:cs="宋体" w:hint="eastAsia"/>
          <w:lang w:eastAsia="zh-CN"/>
        </w:rPr>
        <w:t>”</w:t>
      </w:r>
      <w:r>
        <w:rPr>
          <w:rFonts w:cs="宋体"/>
          <w:vertAlign w:val="superscript"/>
          <w:lang w:eastAsia="zh-CN"/>
        </w:rPr>
        <w:t>19</w:t>
      </w:r>
    </w:p>
    <w:p w14:paraId="20BD25EC" w14:textId="77777777" w:rsidR="00D33511" w:rsidRDefault="0086799F">
      <w:pPr>
        <w:spacing w:before="120"/>
        <w:rPr>
          <w:lang w:eastAsia="zh-CN"/>
        </w:rPr>
      </w:pPr>
      <w:r>
        <w:rPr>
          <w:rFonts w:cs="宋体"/>
          <w:lang w:eastAsia="zh-CN"/>
        </w:rPr>
        <w:t>对于合法上市器械，收集</w:t>
      </w:r>
      <w:r>
        <w:rPr>
          <w:rFonts w:cs="宋体"/>
          <w:lang w:eastAsia="zh-CN"/>
        </w:rPr>
        <w:t>RWD</w:t>
      </w:r>
      <w:r>
        <w:rPr>
          <w:rFonts w:cs="宋体"/>
          <w:lang w:eastAsia="zh-CN"/>
        </w:rPr>
        <w:t>是否需要</w:t>
      </w:r>
      <w:r>
        <w:rPr>
          <w:rFonts w:cs="宋体"/>
          <w:lang w:eastAsia="zh-CN"/>
        </w:rPr>
        <w:t>IDE</w:t>
      </w:r>
      <w:r>
        <w:rPr>
          <w:rFonts w:cs="宋体"/>
          <w:lang w:eastAsia="zh-CN"/>
        </w:rPr>
        <w:t>则取决于具体情况。具体而言，如果器械在正常医疗实践中使用，则可能无需</w:t>
      </w:r>
      <w:r>
        <w:rPr>
          <w:rFonts w:cs="宋体"/>
          <w:lang w:eastAsia="zh-CN"/>
        </w:rPr>
        <w:t>IDE</w:t>
      </w:r>
      <w:r>
        <w:rPr>
          <w:rFonts w:cs="宋体"/>
          <w:lang w:eastAsia="zh-CN"/>
        </w:rPr>
        <w:t>。由于</w:t>
      </w:r>
      <w:r>
        <w:rPr>
          <w:rFonts w:cs="宋体"/>
          <w:lang w:eastAsia="zh-CN"/>
        </w:rPr>
        <w:t>FDA</w:t>
      </w:r>
      <w:r>
        <w:rPr>
          <w:rFonts w:cs="宋体"/>
          <w:lang w:eastAsia="zh-CN"/>
        </w:rPr>
        <w:t>不对医学实践进行监管，这可能包括将合法上市器械用于未经许可或未经批准的用途，只要该器械在合法医患关系条件下，由医疗从业者监督使用。</w:t>
      </w:r>
      <w:r>
        <w:rPr>
          <w:rFonts w:cs="宋体"/>
          <w:vertAlign w:val="superscript"/>
          <w:lang w:eastAsia="zh-CN"/>
        </w:rPr>
        <w:t>20</w:t>
      </w:r>
      <w:r>
        <w:rPr>
          <w:rFonts w:cs="宋体"/>
          <w:lang w:eastAsia="zh-CN"/>
        </w:rPr>
        <w:t>但是，如果收集数据的目的在于确定器械的安全性和有效性，且收集数据的过程会对治疗决策产生影响，则此类器械使用可能不在正常医疗实践范围内，因而可能需要</w:t>
      </w:r>
      <w:r>
        <w:rPr>
          <w:rFonts w:cs="宋体"/>
          <w:lang w:eastAsia="zh-CN"/>
        </w:rPr>
        <w:t>IDE</w:t>
      </w:r>
      <w:r>
        <w:rPr>
          <w:rFonts w:cs="宋体"/>
          <w:lang w:eastAsia="zh-CN"/>
        </w:rPr>
        <w:t>。例如，如果登记</w:t>
      </w:r>
      <w:r>
        <w:rPr>
          <w:rFonts w:cs="宋体"/>
          <w:lang w:eastAsia="zh-CN"/>
        </w:rPr>
        <w:t>/</w:t>
      </w:r>
      <w:r>
        <w:rPr>
          <w:rFonts w:cs="宋体"/>
          <w:lang w:eastAsia="zh-CN"/>
        </w:rPr>
        <w:t>注册的目的旨在确定已批准器械新预期用途的安全性和有效性，并且要求医生采用规定方式治疗特定患者或使用器械来生成数据，或者为了研究而开展的某些随访活动，则可能需要遵守</w:t>
      </w:r>
      <w:r>
        <w:rPr>
          <w:rFonts w:cs="宋体"/>
          <w:lang w:eastAsia="zh-CN"/>
        </w:rPr>
        <w:t>IDE</w:t>
      </w:r>
      <w:r>
        <w:rPr>
          <w:rFonts w:cs="宋体"/>
          <w:lang w:eastAsia="zh-CN"/>
        </w:rPr>
        <w:t>要求。由于</w:t>
      </w:r>
      <w:r>
        <w:rPr>
          <w:rFonts w:cs="宋体"/>
          <w:lang w:eastAsia="zh-CN"/>
        </w:rPr>
        <w:t>RWD</w:t>
      </w:r>
      <w:r>
        <w:rPr>
          <w:rFonts w:cs="宋体"/>
          <w:lang w:eastAsia="zh-CN"/>
        </w:rPr>
        <w:t>的收集与传统研究不同，因此我们建议您联系</w:t>
      </w:r>
      <w:r>
        <w:rPr>
          <w:rFonts w:cs="宋体"/>
          <w:lang w:eastAsia="zh-CN"/>
        </w:rPr>
        <w:t>FDA</w:t>
      </w:r>
      <w:r>
        <w:rPr>
          <w:rFonts w:cs="宋体"/>
          <w:lang w:eastAsia="zh-CN"/>
        </w:rPr>
        <w:t>了解是否需要</w:t>
      </w:r>
      <w:r>
        <w:rPr>
          <w:rFonts w:cs="宋体"/>
          <w:lang w:eastAsia="zh-CN"/>
        </w:rPr>
        <w:t>IDE</w:t>
      </w:r>
      <w:r>
        <w:rPr>
          <w:rFonts w:cs="宋体"/>
          <w:lang w:eastAsia="zh-CN"/>
        </w:rPr>
        <w:t>。</w:t>
      </w:r>
    </w:p>
    <w:p w14:paraId="1364923F" w14:textId="77777777" w:rsidR="00D33511" w:rsidRDefault="00D33511">
      <w:pPr>
        <w:spacing w:beforeLines="0" w:before="0"/>
        <w:rPr>
          <w:lang w:eastAsia="zh-CN"/>
        </w:rPr>
      </w:pPr>
    </w:p>
    <w:p w14:paraId="144B479E" w14:textId="77777777" w:rsidR="00D33511" w:rsidRDefault="0086799F">
      <w:pPr>
        <w:spacing w:beforeLines="1950" w:before="4680"/>
        <w:rPr>
          <w:sz w:val="21"/>
          <w:szCs w:val="21"/>
          <w:lang w:eastAsia="zh-CN"/>
        </w:rPr>
      </w:pPr>
      <w:r>
        <w:rPr>
          <w:rFonts w:cs="宋体"/>
          <w:sz w:val="21"/>
          <w:vertAlign w:val="superscript"/>
          <w:lang w:eastAsia="zh-CN"/>
        </w:rPr>
        <w:t>19</w:t>
      </w:r>
      <w:r>
        <w:rPr>
          <w:rFonts w:cs="宋体"/>
          <w:sz w:val="21"/>
          <w:lang w:eastAsia="zh-CN"/>
        </w:rPr>
        <w:t>参见</w:t>
      </w:r>
      <w:r>
        <w:rPr>
          <w:rFonts w:cs="宋体"/>
          <w:sz w:val="21"/>
          <w:lang w:eastAsia="zh-CN"/>
        </w:rPr>
        <w:t>21 CFR 812.3(h)</w:t>
      </w:r>
      <w:r>
        <w:rPr>
          <w:rFonts w:cs="宋体"/>
          <w:sz w:val="21"/>
          <w:lang w:eastAsia="zh-CN"/>
        </w:rPr>
        <w:t>。</w:t>
      </w:r>
    </w:p>
    <w:p w14:paraId="27072BE0" w14:textId="77777777" w:rsidR="00D33511" w:rsidRDefault="0086799F">
      <w:pPr>
        <w:pBdr>
          <w:top w:val="single" w:sz="4" w:space="1" w:color="auto"/>
        </w:pBdr>
        <w:spacing w:beforeLines="0" w:before="0"/>
        <w:rPr>
          <w:lang w:eastAsia="zh-CN"/>
        </w:rPr>
      </w:pPr>
      <w:r>
        <w:rPr>
          <w:rFonts w:cs="宋体"/>
          <w:sz w:val="21"/>
          <w:vertAlign w:val="superscript"/>
          <w:lang w:eastAsia="zh-CN"/>
        </w:rPr>
        <w:t>20</w:t>
      </w:r>
      <w:r>
        <w:rPr>
          <w:rFonts w:cs="宋体"/>
          <w:sz w:val="21"/>
          <w:lang w:eastAsia="zh-CN"/>
        </w:rPr>
        <w:t>在合法医疗从业者与患者的关系范围内，</w:t>
      </w:r>
      <w:r>
        <w:rPr>
          <w:rFonts w:cs="宋体"/>
          <w:sz w:val="21"/>
          <w:lang w:eastAsia="zh-CN"/>
        </w:rPr>
        <w:t>FDA</w:t>
      </w:r>
      <w:r>
        <w:rPr>
          <w:rFonts w:cs="宋体"/>
          <w:sz w:val="21"/>
          <w:lang w:eastAsia="zh-CN"/>
        </w:rPr>
        <w:t>不会限制或干扰医疗从业者为患者开具处方或给予任何合法上市的器械以治疗任何疾病或病症的权限。《</w:t>
      </w:r>
      <w:r>
        <w:rPr>
          <w:rFonts w:cs="宋体"/>
          <w:sz w:val="21"/>
          <w:lang w:eastAsia="zh-CN"/>
        </w:rPr>
        <w:t>FD&amp;C</w:t>
      </w:r>
      <w:r>
        <w:rPr>
          <w:rFonts w:cs="宋体"/>
          <w:sz w:val="21"/>
          <w:lang w:eastAsia="zh-CN"/>
        </w:rPr>
        <w:t>法案》（</w:t>
      </w:r>
      <w:r>
        <w:rPr>
          <w:rFonts w:cs="宋体"/>
          <w:sz w:val="21"/>
          <w:lang w:eastAsia="zh-CN"/>
        </w:rPr>
        <w:t>21 USC 396</w:t>
      </w:r>
      <w:r>
        <w:rPr>
          <w:rFonts w:cs="宋体"/>
          <w:sz w:val="21"/>
          <w:lang w:eastAsia="zh-CN"/>
        </w:rPr>
        <w:t>）第</w:t>
      </w:r>
      <w:r>
        <w:rPr>
          <w:rFonts w:cs="宋体"/>
          <w:sz w:val="21"/>
          <w:lang w:eastAsia="zh-CN"/>
        </w:rPr>
        <w:t>1006</w:t>
      </w:r>
      <w:r>
        <w:rPr>
          <w:rFonts w:cs="宋体"/>
          <w:sz w:val="21"/>
          <w:lang w:eastAsia="zh-CN"/>
        </w:rPr>
        <w:t>节。</w:t>
      </w:r>
      <w:r>
        <w:rPr>
          <w:rFonts w:cs="宋体"/>
          <w:lang w:eastAsia="zh-CN"/>
        </w:rPr>
        <w:br w:type="page"/>
      </w:r>
    </w:p>
    <w:p w14:paraId="592B020C" w14:textId="77777777" w:rsidR="00D33511" w:rsidRDefault="0086799F">
      <w:pPr>
        <w:spacing w:before="120"/>
        <w:rPr>
          <w:lang w:eastAsia="zh-CN"/>
        </w:rPr>
      </w:pPr>
      <w:r>
        <w:rPr>
          <w:rFonts w:cs="宋体"/>
          <w:lang w:eastAsia="zh-CN"/>
        </w:rPr>
        <w:lastRenderedPageBreak/>
        <w:t>如上所述，</w:t>
      </w:r>
      <w:r>
        <w:rPr>
          <w:rFonts w:cs="宋体"/>
          <w:lang w:eastAsia="zh-CN"/>
        </w:rPr>
        <w:t>FDA</w:t>
      </w:r>
      <w:r>
        <w:rPr>
          <w:rFonts w:cs="宋体"/>
          <w:lang w:eastAsia="zh-CN"/>
        </w:rPr>
        <w:t>不对医学实践进行监管，且其意识到在患者常规护理过程中采集</w:t>
      </w:r>
      <w:r>
        <w:rPr>
          <w:rFonts w:cs="宋体"/>
          <w:lang w:eastAsia="zh-CN"/>
        </w:rPr>
        <w:t>RWD</w:t>
      </w:r>
      <w:r>
        <w:rPr>
          <w:rFonts w:cs="宋体"/>
          <w:lang w:eastAsia="zh-CN"/>
        </w:rPr>
        <w:t>，可提供与已批准或许可器械的实际使用相关的信息。此类观察可能包括将医疗器械用于未经许可或批准的适应症而产生的</w:t>
      </w:r>
      <w:r>
        <w:rPr>
          <w:rFonts w:cs="宋体"/>
          <w:lang w:eastAsia="zh-CN"/>
        </w:rPr>
        <w:t>RWD</w:t>
      </w:r>
      <w:r>
        <w:rPr>
          <w:rFonts w:cs="宋体"/>
          <w:lang w:eastAsia="zh-CN"/>
        </w:rPr>
        <w:t>。如果此类</w:t>
      </w:r>
      <w:r>
        <w:rPr>
          <w:rFonts w:cs="宋体"/>
          <w:lang w:eastAsia="zh-CN"/>
        </w:rPr>
        <w:t>RWD</w:t>
      </w:r>
      <w:r>
        <w:rPr>
          <w:rFonts w:cs="宋体"/>
          <w:lang w:eastAsia="zh-CN"/>
        </w:rPr>
        <w:t>收集不影响器械使用，且在正常医疗实践中使用该器械，则可能无需</w:t>
      </w:r>
      <w:r>
        <w:rPr>
          <w:rFonts w:cs="宋体"/>
          <w:lang w:eastAsia="zh-CN"/>
        </w:rPr>
        <w:t>IDE</w:t>
      </w:r>
      <w:r>
        <w:rPr>
          <w:rFonts w:cs="宋体"/>
          <w:lang w:eastAsia="zh-CN"/>
        </w:rPr>
        <w:t>。例如，对现有</w:t>
      </w:r>
      <w:r>
        <w:rPr>
          <w:rFonts w:cs="宋体"/>
          <w:lang w:eastAsia="zh-CN"/>
        </w:rPr>
        <w:t>RWD</w:t>
      </w:r>
      <w:r>
        <w:rPr>
          <w:rFonts w:cs="宋体"/>
          <w:lang w:eastAsia="zh-CN"/>
        </w:rPr>
        <w:t>的回顾性分析（涉及将器械用于未经许可或批准的适应症）通常无需</w:t>
      </w:r>
      <w:r>
        <w:rPr>
          <w:rFonts w:cs="宋体"/>
          <w:lang w:eastAsia="zh-CN"/>
        </w:rPr>
        <w:t>IDE</w:t>
      </w:r>
      <w:r>
        <w:rPr>
          <w:rFonts w:cs="宋体"/>
          <w:lang w:eastAsia="zh-CN"/>
        </w:rPr>
        <w:t>。在此类情况下，可根据临床医生当时的医疗判断，按患者最佳利益做出治疗决策。但是，如果计划开展的此类分析会影响患者治疗，则研究可能需要遵守</w:t>
      </w:r>
      <w:r>
        <w:rPr>
          <w:rFonts w:cs="宋体"/>
          <w:lang w:eastAsia="zh-CN"/>
        </w:rPr>
        <w:t>IDE</w:t>
      </w:r>
      <w:r>
        <w:rPr>
          <w:rFonts w:cs="宋体"/>
          <w:lang w:eastAsia="zh-CN"/>
        </w:rPr>
        <w:t>要求。</w:t>
      </w:r>
    </w:p>
    <w:p w14:paraId="61FA5FBF" w14:textId="160ACAE3" w:rsidR="00D33511" w:rsidRDefault="0086799F">
      <w:pPr>
        <w:spacing w:before="120"/>
        <w:rPr>
          <w:lang w:eastAsia="zh-CN"/>
        </w:rPr>
      </w:pPr>
      <w:r>
        <w:rPr>
          <w:rFonts w:cs="宋体"/>
          <w:lang w:eastAsia="zh-CN"/>
        </w:rPr>
        <w:t>针对某项</w:t>
      </w:r>
      <w:r>
        <w:rPr>
          <w:rFonts w:cs="宋体"/>
          <w:lang w:eastAsia="zh-CN"/>
        </w:rPr>
        <w:t>RWD</w:t>
      </w:r>
      <w:r>
        <w:rPr>
          <w:rFonts w:cs="宋体"/>
          <w:lang w:eastAsia="zh-CN"/>
        </w:rPr>
        <w:t>收集活动或使用，如果申请</w:t>
      </w:r>
      <w:r>
        <w:rPr>
          <w:rFonts w:cs="宋体" w:hint="eastAsia"/>
          <w:lang w:eastAsia="zh-CN"/>
        </w:rPr>
        <w:t>人</w:t>
      </w:r>
      <w:r>
        <w:rPr>
          <w:rFonts w:cs="宋体"/>
          <w:lang w:eastAsia="zh-CN"/>
        </w:rPr>
        <w:t>或机构审查委员会（</w:t>
      </w:r>
      <w:r>
        <w:rPr>
          <w:rFonts w:cs="宋体"/>
          <w:lang w:eastAsia="zh-CN"/>
        </w:rPr>
        <w:t>IRB</w:t>
      </w:r>
      <w:r>
        <w:rPr>
          <w:rFonts w:cs="宋体"/>
          <w:lang w:eastAsia="zh-CN"/>
        </w:rPr>
        <w:t>）不清楚</w:t>
      </w:r>
      <w:r>
        <w:rPr>
          <w:rFonts w:cs="宋体"/>
          <w:lang w:eastAsia="zh-CN"/>
        </w:rPr>
        <w:t>IDE</w:t>
      </w:r>
      <w:r>
        <w:rPr>
          <w:rFonts w:cs="宋体"/>
          <w:lang w:eastAsia="zh-CN"/>
        </w:rPr>
        <w:t>条例是否适用，则申请</w:t>
      </w:r>
      <w:r>
        <w:rPr>
          <w:rFonts w:cs="宋体" w:hint="eastAsia"/>
          <w:lang w:eastAsia="zh-CN"/>
        </w:rPr>
        <w:t>人</w:t>
      </w:r>
      <w:r>
        <w:rPr>
          <w:rFonts w:cs="宋体"/>
          <w:lang w:eastAsia="zh-CN"/>
        </w:rPr>
        <w:t>或</w:t>
      </w:r>
      <w:r>
        <w:rPr>
          <w:rFonts w:cs="宋体"/>
          <w:lang w:eastAsia="zh-CN"/>
        </w:rPr>
        <w:t>IRB</w:t>
      </w:r>
      <w:r>
        <w:rPr>
          <w:rFonts w:cs="宋体"/>
          <w:lang w:eastAsia="zh-CN"/>
        </w:rPr>
        <w:t>应联系</w:t>
      </w:r>
      <w:r>
        <w:rPr>
          <w:rFonts w:cs="宋体"/>
          <w:lang w:eastAsia="zh-CN"/>
        </w:rPr>
        <w:t>FDA</w:t>
      </w:r>
      <w:r>
        <w:rPr>
          <w:rFonts w:cs="宋体"/>
          <w:lang w:eastAsia="zh-CN"/>
        </w:rPr>
        <w:t>。如果需要有</w:t>
      </w:r>
      <w:r>
        <w:rPr>
          <w:rFonts w:cs="宋体"/>
          <w:lang w:eastAsia="zh-CN"/>
        </w:rPr>
        <w:t>IDE</w:t>
      </w:r>
      <w:r>
        <w:rPr>
          <w:rFonts w:cs="宋体"/>
          <w:lang w:eastAsia="zh-CN"/>
        </w:rPr>
        <w:t>批准，则</w:t>
      </w:r>
      <w:r>
        <w:rPr>
          <w:rFonts w:cs="宋体"/>
          <w:lang w:eastAsia="zh-CN"/>
        </w:rPr>
        <w:t>FDA</w:t>
      </w:r>
      <w:r>
        <w:rPr>
          <w:rFonts w:cs="宋体"/>
          <w:lang w:eastAsia="zh-CN"/>
        </w:rPr>
        <w:t>将以最小负担方法，与</w:t>
      </w:r>
      <w:r>
        <w:rPr>
          <w:rFonts w:cs="宋体"/>
          <w:lang w:eastAsia="zh-CN"/>
        </w:rPr>
        <w:t>IDE</w:t>
      </w:r>
      <w:r>
        <w:rPr>
          <w:rFonts w:cs="宋体"/>
          <w:lang w:eastAsia="zh-CN"/>
        </w:rPr>
        <w:t>申请</w:t>
      </w:r>
      <w:r>
        <w:rPr>
          <w:rFonts w:cs="宋体" w:hint="eastAsia"/>
          <w:lang w:eastAsia="zh-CN"/>
        </w:rPr>
        <w:t>人</w:t>
      </w:r>
      <w:r>
        <w:rPr>
          <w:rFonts w:cs="宋体"/>
          <w:lang w:eastAsia="zh-CN"/>
        </w:rPr>
        <w:t>一同努力高效收集优质</w:t>
      </w:r>
      <w:r>
        <w:rPr>
          <w:rFonts w:cs="宋体"/>
          <w:lang w:eastAsia="zh-CN"/>
        </w:rPr>
        <w:t>RWE</w:t>
      </w:r>
      <w:r>
        <w:rPr>
          <w:rFonts w:cs="宋体"/>
          <w:lang w:eastAsia="zh-CN"/>
        </w:rPr>
        <w:t>。应注意，无论</w:t>
      </w:r>
      <w:r>
        <w:rPr>
          <w:rFonts w:cs="宋体"/>
          <w:lang w:eastAsia="zh-CN"/>
        </w:rPr>
        <w:t>21 CFR 812</w:t>
      </w:r>
      <w:r>
        <w:rPr>
          <w:rFonts w:cs="宋体"/>
          <w:lang w:eastAsia="zh-CN"/>
        </w:rPr>
        <w:t>的适用性如何，</w:t>
      </w:r>
      <w:r>
        <w:rPr>
          <w:rFonts w:cs="宋体"/>
          <w:lang w:eastAsia="zh-CN"/>
        </w:rPr>
        <w:t>RWE</w:t>
      </w:r>
      <w:r>
        <w:rPr>
          <w:rFonts w:cs="宋体"/>
          <w:lang w:eastAsia="zh-CN"/>
        </w:rPr>
        <w:t>的生成均应遵守关于</w:t>
      </w:r>
      <w:r>
        <w:rPr>
          <w:rFonts w:cs="宋体"/>
          <w:lang w:eastAsia="zh-CN"/>
        </w:rPr>
        <w:t>21 CFR 56</w:t>
      </w:r>
      <w:r>
        <w:rPr>
          <w:rFonts w:cs="宋体"/>
          <w:lang w:eastAsia="zh-CN"/>
        </w:rPr>
        <w:t>（</w:t>
      </w:r>
      <w:r>
        <w:rPr>
          <w:rFonts w:cs="宋体"/>
          <w:lang w:eastAsia="zh-CN"/>
        </w:rPr>
        <w:t>IRB</w:t>
      </w:r>
      <w:r>
        <w:rPr>
          <w:rFonts w:cs="宋体"/>
          <w:lang w:eastAsia="zh-CN"/>
        </w:rPr>
        <w:t>审查）、</w:t>
      </w:r>
      <w:r>
        <w:rPr>
          <w:rFonts w:cs="宋体"/>
          <w:lang w:eastAsia="zh-CN"/>
        </w:rPr>
        <w:t>21 CFR 50</w:t>
      </w:r>
      <w:r>
        <w:rPr>
          <w:rFonts w:cs="宋体"/>
          <w:lang w:eastAsia="zh-CN"/>
        </w:rPr>
        <w:t>（知情同意）和</w:t>
      </w:r>
      <w:r>
        <w:rPr>
          <w:rFonts w:cs="宋体"/>
          <w:lang w:eastAsia="zh-CN"/>
        </w:rPr>
        <w:t>21 CFR 54</w:t>
      </w:r>
      <w:r>
        <w:rPr>
          <w:rFonts w:cs="宋体"/>
          <w:lang w:eastAsia="zh-CN"/>
        </w:rPr>
        <w:t>（财务披露）的</w:t>
      </w:r>
      <w:r>
        <w:rPr>
          <w:rFonts w:cs="宋体"/>
          <w:lang w:eastAsia="zh-CN"/>
        </w:rPr>
        <w:t>FDA</w:t>
      </w:r>
      <w:r>
        <w:rPr>
          <w:rFonts w:cs="宋体"/>
          <w:lang w:eastAsia="zh-CN"/>
        </w:rPr>
        <w:t>法规，以及关于人类受试者保护的其他联邦、州和地方法规。</w:t>
      </w:r>
    </w:p>
    <w:p w14:paraId="5D3816F9" w14:textId="77777777" w:rsidR="00D33511" w:rsidRDefault="0086799F">
      <w:pPr>
        <w:pStyle w:val="af0"/>
        <w:numPr>
          <w:ilvl w:val="0"/>
          <w:numId w:val="1"/>
        </w:numPr>
        <w:spacing w:before="120"/>
        <w:ind w:left="643" w:hangingChars="200" w:hanging="643"/>
        <w:outlineLvl w:val="0"/>
        <w:rPr>
          <w:b/>
          <w:bCs/>
          <w:sz w:val="32"/>
          <w:szCs w:val="32"/>
        </w:rPr>
      </w:pPr>
      <w:bookmarkStart w:id="9" w:name="_Toc90485547"/>
      <w:proofErr w:type="spellStart"/>
      <w:r>
        <w:rPr>
          <w:rFonts w:cs="宋体"/>
          <w:b/>
          <w:sz w:val="32"/>
        </w:rPr>
        <w:t>RWD</w:t>
      </w:r>
      <w:r>
        <w:rPr>
          <w:rFonts w:cs="宋体"/>
          <w:b/>
          <w:sz w:val="32"/>
        </w:rPr>
        <w:t>的特征</w:t>
      </w:r>
      <w:bookmarkEnd w:id="9"/>
      <w:proofErr w:type="spellEnd"/>
    </w:p>
    <w:p w14:paraId="4BD64093" w14:textId="677D923F" w:rsidR="00D33511" w:rsidRDefault="0086799F">
      <w:pPr>
        <w:spacing w:before="120"/>
        <w:rPr>
          <w:lang w:eastAsia="zh-CN"/>
        </w:rPr>
      </w:pPr>
      <w:r>
        <w:rPr>
          <w:rFonts w:cs="宋体"/>
          <w:lang w:eastAsia="zh-CN"/>
        </w:rPr>
        <w:t>FDA</w:t>
      </w:r>
      <w:r>
        <w:rPr>
          <w:rFonts w:cs="宋体"/>
          <w:lang w:eastAsia="zh-CN"/>
        </w:rPr>
        <w:t>认为</w:t>
      </w:r>
      <w:r>
        <w:rPr>
          <w:rFonts w:cs="宋体"/>
          <w:lang w:eastAsia="zh-CN"/>
        </w:rPr>
        <w:t>RWD</w:t>
      </w:r>
      <w:r>
        <w:rPr>
          <w:rFonts w:cs="宋体"/>
          <w:lang w:eastAsia="zh-CN"/>
        </w:rPr>
        <w:t>类型无优劣之分。申请</w:t>
      </w:r>
      <w:r>
        <w:rPr>
          <w:rFonts w:cs="宋体" w:hint="eastAsia"/>
          <w:lang w:eastAsia="zh-CN"/>
        </w:rPr>
        <w:t>人</w:t>
      </w:r>
      <w:r>
        <w:rPr>
          <w:rFonts w:cs="宋体"/>
          <w:lang w:eastAsia="zh-CN"/>
        </w:rPr>
        <w:t>应根据回答特定监管问题的能力情况来选择适当的</w:t>
      </w:r>
      <w:r>
        <w:rPr>
          <w:rFonts w:cs="宋体"/>
          <w:lang w:eastAsia="zh-CN"/>
        </w:rPr>
        <w:t>RWD</w:t>
      </w:r>
      <w:r>
        <w:rPr>
          <w:rFonts w:cs="宋体"/>
          <w:lang w:eastAsia="zh-CN"/>
        </w:rPr>
        <w:t>来源。无论</w:t>
      </w:r>
      <w:r>
        <w:rPr>
          <w:rFonts w:cs="宋体"/>
          <w:lang w:eastAsia="zh-CN"/>
        </w:rPr>
        <w:t>RWD</w:t>
      </w:r>
      <w:r>
        <w:rPr>
          <w:rFonts w:cs="宋体"/>
          <w:lang w:eastAsia="zh-CN"/>
        </w:rPr>
        <w:t>来源于纸质版或电子版病历；行政管理数据库；经提取、合并且保存于疾病或治疗专用数据库（即注册</w:t>
      </w:r>
      <w:r>
        <w:rPr>
          <w:rFonts w:cs="宋体"/>
          <w:lang w:eastAsia="zh-CN"/>
        </w:rPr>
        <w:t>/</w:t>
      </w:r>
      <w:r>
        <w:rPr>
          <w:rFonts w:cs="宋体"/>
          <w:lang w:eastAsia="zh-CN"/>
        </w:rPr>
        <w:t>登记）还是通过其他方式采集并合并，与可验证的源文档相比，</w:t>
      </w:r>
      <w:r>
        <w:rPr>
          <w:rFonts w:cs="宋体"/>
          <w:lang w:eastAsia="zh-CN"/>
        </w:rPr>
        <w:t>RWD</w:t>
      </w:r>
      <w:r>
        <w:rPr>
          <w:rFonts w:cs="宋体"/>
          <w:lang w:eastAsia="zh-CN"/>
        </w:rPr>
        <w:t>的准确性是关键所在。可验证的源文档（包含</w:t>
      </w:r>
      <w:r>
        <w:rPr>
          <w:rFonts w:cs="宋体"/>
          <w:lang w:eastAsia="zh-CN"/>
        </w:rPr>
        <w:t>RWD</w:t>
      </w:r>
      <w:r>
        <w:rPr>
          <w:rFonts w:cs="宋体"/>
          <w:lang w:eastAsia="zh-CN"/>
        </w:rPr>
        <w:t>要素）包括但不限于：纸质版或电子版住院和门诊医疗记录和病历、诊断实验室和影像学数据、患者偏好信息、患者报告</w:t>
      </w:r>
      <w:r>
        <w:rPr>
          <w:rFonts w:cs="宋体" w:hint="eastAsia"/>
          <w:lang w:eastAsia="zh-CN"/>
        </w:rPr>
        <w:t>的诊疗结果</w:t>
      </w:r>
      <w:r>
        <w:rPr>
          <w:rFonts w:cs="宋体"/>
          <w:lang w:eastAsia="zh-CN"/>
        </w:rPr>
        <w:t>、</w:t>
      </w:r>
      <w:r>
        <w:rPr>
          <w:rFonts w:cs="宋体"/>
          <w:lang w:eastAsia="zh-CN"/>
        </w:rPr>
        <w:t>UDI</w:t>
      </w:r>
      <w:r>
        <w:rPr>
          <w:rFonts w:cs="宋体"/>
          <w:lang w:eastAsia="zh-CN"/>
        </w:rPr>
        <w:t>和其他器械标识符，以及医疗器械内保存的医疗器械性能数据（如自诊断、错误代码和患者诊断</w:t>
      </w:r>
      <w:r>
        <w:rPr>
          <w:rFonts w:cs="宋体"/>
          <w:lang w:eastAsia="zh-CN"/>
        </w:rPr>
        <w:t>/</w:t>
      </w:r>
      <w:r>
        <w:rPr>
          <w:rFonts w:cs="宋体"/>
          <w:lang w:eastAsia="zh-CN"/>
        </w:rPr>
        <w:t>治疗）。对个别源数据验证的要求和需求取决于具体监管问题以及对此类来源的数据质量的全面了解。</w:t>
      </w:r>
    </w:p>
    <w:p w14:paraId="75781360" w14:textId="77777777" w:rsidR="00D33511" w:rsidRDefault="0086799F">
      <w:pPr>
        <w:spacing w:before="120"/>
        <w:rPr>
          <w:lang w:eastAsia="zh-CN"/>
        </w:rPr>
      </w:pPr>
      <w:r>
        <w:rPr>
          <w:rFonts w:cs="宋体"/>
          <w:lang w:eastAsia="zh-CN"/>
        </w:rPr>
        <w:t>为了确定</w:t>
      </w:r>
      <w:r>
        <w:rPr>
          <w:rFonts w:cs="宋体"/>
          <w:lang w:eastAsia="zh-CN"/>
        </w:rPr>
        <w:t>RWD</w:t>
      </w:r>
      <w:r>
        <w:rPr>
          <w:rFonts w:cs="宋体"/>
          <w:lang w:eastAsia="zh-CN"/>
        </w:rPr>
        <w:t>用于监管决策的适用性，</w:t>
      </w:r>
      <w:r>
        <w:rPr>
          <w:rFonts w:cs="宋体"/>
          <w:lang w:eastAsia="zh-CN"/>
        </w:rPr>
        <w:t>FDA</w:t>
      </w:r>
      <w:r>
        <w:rPr>
          <w:rFonts w:cs="宋体"/>
          <w:lang w:eastAsia="zh-CN"/>
        </w:rPr>
        <w:t>将评估数据来源及其特定要素的相关性和可靠性。该评估将用于确定</w:t>
      </w:r>
      <w:r>
        <w:rPr>
          <w:rFonts w:cs="宋体"/>
          <w:lang w:eastAsia="zh-CN"/>
        </w:rPr>
        <w:t>RWD</w:t>
      </w:r>
      <w:r>
        <w:rPr>
          <w:rFonts w:cs="宋体"/>
          <w:lang w:eastAsia="zh-CN"/>
        </w:rPr>
        <w:t>来源和拟议分析是否能够生成足够可靠的证据，以便用于给定监管目的。关于证据是否具有足够相关性和可靠性的判断，在部分程度上，将取决于做出特定监管决策所需达到的质量水平。针对所有数据来源和监管决策，</w:t>
      </w:r>
      <w:r>
        <w:rPr>
          <w:rFonts w:cs="宋体"/>
          <w:lang w:eastAsia="zh-CN"/>
        </w:rPr>
        <w:t>FDA</w:t>
      </w:r>
      <w:r>
        <w:rPr>
          <w:rFonts w:cs="宋体"/>
          <w:lang w:eastAsia="zh-CN"/>
        </w:rPr>
        <w:t>将通过对相同因素的评价来评估</w:t>
      </w:r>
      <w:r>
        <w:rPr>
          <w:rFonts w:cs="宋体"/>
          <w:lang w:eastAsia="zh-CN"/>
        </w:rPr>
        <w:t>RWD</w:t>
      </w:r>
      <w:r>
        <w:rPr>
          <w:rFonts w:cs="宋体"/>
          <w:lang w:eastAsia="zh-CN"/>
        </w:rPr>
        <w:t>。如果</w:t>
      </w:r>
      <w:r>
        <w:rPr>
          <w:rFonts w:cs="宋体"/>
          <w:lang w:eastAsia="zh-CN"/>
        </w:rPr>
        <w:t>RWE</w:t>
      </w:r>
      <w:r>
        <w:rPr>
          <w:rFonts w:cs="宋体"/>
          <w:lang w:eastAsia="zh-CN"/>
        </w:rPr>
        <w:t>有多个</w:t>
      </w:r>
      <w:r>
        <w:rPr>
          <w:rFonts w:cs="宋体"/>
          <w:lang w:eastAsia="zh-CN"/>
        </w:rPr>
        <w:t>RWD</w:t>
      </w:r>
      <w:r>
        <w:rPr>
          <w:rFonts w:cs="宋体"/>
          <w:lang w:eastAsia="zh-CN"/>
        </w:rPr>
        <w:t>来源，则将分别对每个</w:t>
      </w:r>
      <w:r>
        <w:rPr>
          <w:rFonts w:cs="宋体"/>
          <w:lang w:eastAsia="zh-CN"/>
        </w:rPr>
        <w:t>RWD</w:t>
      </w:r>
      <w:r>
        <w:rPr>
          <w:rFonts w:cs="宋体"/>
          <w:lang w:eastAsia="zh-CN"/>
        </w:rPr>
        <w:t>来源进行评价，然后进行汇总评价以确定</w:t>
      </w:r>
      <w:r>
        <w:rPr>
          <w:rFonts w:cs="宋体"/>
          <w:lang w:eastAsia="zh-CN"/>
        </w:rPr>
        <w:t>RWD</w:t>
      </w:r>
      <w:r>
        <w:rPr>
          <w:rFonts w:cs="宋体"/>
          <w:lang w:eastAsia="zh-CN"/>
        </w:rPr>
        <w:t>的相关性和可靠性。在开发新</w:t>
      </w:r>
      <w:r>
        <w:rPr>
          <w:rFonts w:cs="宋体"/>
          <w:lang w:eastAsia="zh-CN"/>
        </w:rPr>
        <w:t>RWD</w:t>
      </w:r>
      <w:r>
        <w:rPr>
          <w:rFonts w:cs="宋体"/>
          <w:lang w:eastAsia="zh-CN"/>
        </w:rPr>
        <w:t>来源时，建议咨询</w:t>
      </w:r>
      <w:r>
        <w:rPr>
          <w:rFonts w:cs="宋体"/>
          <w:lang w:eastAsia="zh-CN"/>
        </w:rPr>
        <w:t>FDA</w:t>
      </w:r>
      <w:r>
        <w:rPr>
          <w:rFonts w:cs="宋体"/>
          <w:lang w:eastAsia="zh-CN"/>
        </w:rPr>
        <w:t>和其他利益相关方，以确保在初始设计中考虑相关性和可靠性。</w:t>
      </w:r>
    </w:p>
    <w:p w14:paraId="1A8C5120" w14:textId="77777777" w:rsidR="00D33511" w:rsidRDefault="0086799F">
      <w:pPr>
        <w:spacing w:before="120"/>
        <w:rPr>
          <w:lang w:eastAsia="zh-CN"/>
        </w:rPr>
      </w:pPr>
      <w:r>
        <w:rPr>
          <w:rFonts w:cs="宋体"/>
          <w:lang w:eastAsia="zh-CN"/>
        </w:rPr>
        <w:br w:type="page"/>
      </w:r>
    </w:p>
    <w:p w14:paraId="1410E6DC" w14:textId="77777777" w:rsidR="00D33511" w:rsidRDefault="0086799F">
      <w:pPr>
        <w:pStyle w:val="af0"/>
        <w:numPr>
          <w:ilvl w:val="0"/>
          <w:numId w:val="4"/>
        </w:numPr>
        <w:spacing w:before="120"/>
        <w:ind w:leftChars="200" w:left="1042" w:hangingChars="200" w:hanging="562"/>
        <w:outlineLvl w:val="1"/>
        <w:rPr>
          <w:b/>
          <w:bCs/>
          <w:sz w:val="28"/>
          <w:szCs w:val="28"/>
        </w:rPr>
      </w:pPr>
      <w:bookmarkStart w:id="10" w:name="_Toc90485548"/>
      <w:proofErr w:type="spellStart"/>
      <w:r>
        <w:rPr>
          <w:rFonts w:cs="宋体"/>
          <w:b/>
          <w:sz w:val="28"/>
        </w:rPr>
        <w:lastRenderedPageBreak/>
        <w:t>相关性</w:t>
      </w:r>
      <w:bookmarkEnd w:id="10"/>
      <w:proofErr w:type="spellEnd"/>
    </w:p>
    <w:p w14:paraId="67753C2B" w14:textId="25F2917E" w:rsidR="00D33511" w:rsidRDefault="0086799F">
      <w:pPr>
        <w:spacing w:before="120"/>
        <w:rPr>
          <w:lang w:eastAsia="zh-CN"/>
        </w:rPr>
      </w:pPr>
      <w:r>
        <w:rPr>
          <w:rFonts w:cs="宋体"/>
          <w:lang w:eastAsia="zh-CN"/>
        </w:rPr>
        <w:t>通过评价以下概述的几个因素，对</w:t>
      </w:r>
      <w:r>
        <w:rPr>
          <w:rFonts w:cs="宋体"/>
          <w:lang w:eastAsia="zh-CN"/>
        </w:rPr>
        <w:t>RWD</w:t>
      </w:r>
      <w:r>
        <w:rPr>
          <w:rFonts w:cs="宋体"/>
          <w:lang w:eastAsia="zh-CN"/>
        </w:rPr>
        <w:t>、</w:t>
      </w:r>
      <w:r>
        <w:rPr>
          <w:rFonts w:cs="宋体"/>
          <w:lang w:eastAsia="zh-CN"/>
        </w:rPr>
        <w:t>RWD</w:t>
      </w:r>
      <w:r>
        <w:rPr>
          <w:rFonts w:cs="宋体"/>
          <w:lang w:eastAsia="zh-CN"/>
        </w:rPr>
        <w:t>来源和结果分析的相关性进行了评估。此类因素有助于确定数据是否部分或全部充分考虑了适用的监管问题或要求。应通过</w:t>
      </w:r>
      <w:r>
        <w:rPr>
          <w:rFonts w:cs="宋体" w:hint="eastAsia"/>
          <w:lang w:eastAsia="zh-CN"/>
        </w:rPr>
        <w:t>受理前沟通流程</w:t>
      </w:r>
      <w:r>
        <w:rPr>
          <w:rFonts w:cs="宋体"/>
          <w:lang w:eastAsia="zh-CN"/>
        </w:rPr>
        <w:t>与</w:t>
      </w:r>
      <w:r>
        <w:rPr>
          <w:rFonts w:cs="宋体"/>
          <w:lang w:eastAsia="zh-CN"/>
        </w:rPr>
        <w:t>FDA</w:t>
      </w:r>
      <w:r>
        <w:rPr>
          <w:rFonts w:cs="宋体"/>
          <w:lang w:eastAsia="zh-CN"/>
        </w:rPr>
        <w:t>商讨关于</w:t>
      </w:r>
      <w:r>
        <w:rPr>
          <w:rFonts w:cs="宋体"/>
          <w:lang w:eastAsia="zh-CN"/>
        </w:rPr>
        <w:t>RWD</w:t>
      </w:r>
      <w:r>
        <w:rPr>
          <w:rFonts w:cs="宋体"/>
          <w:lang w:eastAsia="zh-CN"/>
        </w:rPr>
        <w:t>对特定情况适用性的问题。</w:t>
      </w:r>
      <w:r>
        <w:rPr>
          <w:rFonts w:cs="宋体"/>
          <w:vertAlign w:val="superscript"/>
          <w:lang w:eastAsia="zh-CN"/>
        </w:rPr>
        <w:t>21</w:t>
      </w:r>
      <w:r>
        <w:rPr>
          <w:rFonts w:cs="宋体"/>
          <w:lang w:eastAsia="zh-CN"/>
        </w:rPr>
        <w:t>可在监管提交之前（如通过预提交过程）或监管审查过程中评估用于监管决策</w:t>
      </w:r>
      <w:r>
        <w:rPr>
          <w:rFonts w:cs="宋体"/>
          <w:lang w:eastAsia="zh-CN"/>
        </w:rPr>
        <w:t>RWD</w:t>
      </w:r>
      <w:r>
        <w:rPr>
          <w:rFonts w:cs="宋体"/>
          <w:lang w:eastAsia="zh-CN"/>
        </w:rPr>
        <w:t>的相关性。通过总体相关性评估，应能够确定现有</w:t>
      </w:r>
      <w:r>
        <w:rPr>
          <w:rFonts w:cs="宋体"/>
          <w:lang w:eastAsia="zh-CN"/>
        </w:rPr>
        <w:t>RWD</w:t>
      </w:r>
      <w:r>
        <w:rPr>
          <w:rFonts w:cs="宋体"/>
          <w:lang w:eastAsia="zh-CN"/>
        </w:rPr>
        <w:t>来源是否足以评价受监管器械性能（作为唯一来源或部分证据来源）。</w:t>
      </w:r>
    </w:p>
    <w:p w14:paraId="17922AF2" w14:textId="26769EDB" w:rsidR="00D33511" w:rsidRDefault="0086799F">
      <w:pPr>
        <w:spacing w:before="120"/>
        <w:rPr>
          <w:lang w:eastAsia="zh-CN"/>
        </w:rPr>
      </w:pPr>
      <w:r>
        <w:rPr>
          <w:rFonts w:cs="宋体"/>
          <w:lang w:eastAsia="zh-CN"/>
        </w:rPr>
        <w:t>由于</w:t>
      </w:r>
      <w:r>
        <w:rPr>
          <w:rFonts w:cs="宋体"/>
          <w:lang w:eastAsia="zh-CN"/>
        </w:rPr>
        <w:t>RWD</w:t>
      </w:r>
      <w:r>
        <w:rPr>
          <w:rFonts w:cs="宋体"/>
          <w:lang w:eastAsia="zh-CN"/>
        </w:rPr>
        <w:t>来源通常是为非监管目的而开发（如用于记录治疗的</w:t>
      </w:r>
      <w:r>
        <w:rPr>
          <w:rFonts w:cs="宋体"/>
          <w:lang w:eastAsia="zh-CN"/>
        </w:rPr>
        <w:t>EHR</w:t>
      </w:r>
      <w:r>
        <w:rPr>
          <w:rFonts w:cs="宋体"/>
          <w:lang w:eastAsia="zh-CN"/>
        </w:rPr>
        <w:t>，或提交行政管理与医疗索赔数据中的保险理赔），因此</w:t>
      </w:r>
      <w:r>
        <w:rPr>
          <w:rFonts w:cs="宋体"/>
          <w:lang w:eastAsia="zh-CN"/>
        </w:rPr>
        <w:t>FDA</w:t>
      </w:r>
      <w:r>
        <w:rPr>
          <w:rFonts w:cs="宋体"/>
          <w:lang w:eastAsia="zh-CN"/>
        </w:rPr>
        <w:t>将评估现有</w:t>
      </w:r>
      <w:r>
        <w:rPr>
          <w:rFonts w:cs="宋体"/>
          <w:lang w:eastAsia="zh-CN"/>
        </w:rPr>
        <w:t>RWD</w:t>
      </w:r>
      <w:r>
        <w:rPr>
          <w:rFonts w:cs="宋体"/>
          <w:lang w:eastAsia="zh-CN"/>
        </w:rPr>
        <w:t>来源所包含的单个数据元素是否足以用于监管目的。数据应尽可能准确、完整、并具有适当范围，以便解决手头问题（即数据充分性）。还可以对患者层面特定关注结局（如卒中或大出血）的审查或判定需求进行评估。对</w:t>
      </w:r>
      <w:r>
        <w:rPr>
          <w:rFonts w:cs="宋体"/>
          <w:lang w:eastAsia="zh-CN"/>
        </w:rPr>
        <w:t>RWD</w:t>
      </w:r>
      <w:r>
        <w:rPr>
          <w:rFonts w:cs="宋体"/>
          <w:lang w:eastAsia="zh-CN"/>
        </w:rPr>
        <w:t>的分析与解读，必须具备预定义的公共数据元素集、公共定义框架（即数据词典），以及数据元素收集和结局分析的预先指定时间间隔，这一点至关重要。在评估</w:t>
      </w:r>
      <w:r>
        <w:rPr>
          <w:rFonts w:cs="宋体"/>
          <w:lang w:eastAsia="zh-CN"/>
        </w:rPr>
        <w:t>RWD</w:t>
      </w:r>
      <w:r>
        <w:rPr>
          <w:rFonts w:cs="宋体"/>
          <w:lang w:eastAsia="zh-CN"/>
        </w:rPr>
        <w:t>的相关性时，如有必要，</w:t>
      </w:r>
      <w:r>
        <w:rPr>
          <w:rFonts w:cs="宋体"/>
          <w:lang w:eastAsia="zh-CN"/>
        </w:rPr>
        <w:t>FDA</w:t>
      </w:r>
      <w:r>
        <w:rPr>
          <w:rFonts w:cs="宋体"/>
          <w:lang w:eastAsia="zh-CN"/>
        </w:rPr>
        <w:t>还会考虑通过链接至其他数据源对现有</w:t>
      </w:r>
      <w:r>
        <w:rPr>
          <w:rFonts w:cs="宋体"/>
          <w:lang w:eastAsia="zh-CN"/>
        </w:rPr>
        <w:t>RWD</w:t>
      </w:r>
      <w:r>
        <w:rPr>
          <w:rFonts w:cs="宋体"/>
          <w:lang w:eastAsia="zh-CN"/>
        </w:rPr>
        <w:t>进行补充的能力，以提供额外数据或验证性数据（如</w:t>
      </w:r>
      <w:r>
        <w:rPr>
          <w:rFonts w:cs="宋体"/>
          <w:lang w:eastAsia="zh-CN"/>
        </w:rPr>
        <w:t>EHR</w:t>
      </w:r>
      <w:r>
        <w:rPr>
          <w:rFonts w:cs="宋体"/>
          <w:lang w:eastAsia="zh-CN"/>
        </w:rPr>
        <w:t>和</w:t>
      </w:r>
      <w:r>
        <w:rPr>
          <w:rFonts w:cs="宋体"/>
          <w:lang w:eastAsia="zh-CN"/>
        </w:rPr>
        <w:t>/</w:t>
      </w:r>
      <w:r>
        <w:rPr>
          <w:rFonts w:cs="宋体"/>
          <w:lang w:eastAsia="zh-CN"/>
        </w:rPr>
        <w:t>或行政管理索赔数据）。</w:t>
      </w:r>
    </w:p>
    <w:p w14:paraId="5D8639EA" w14:textId="77777777" w:rsidR="00D33511" w:rsidRDefault="0086799F">
      <w:pPr>
        <w:spacing w:before="120"/>
        <w:rPr>
          <w:lang w:eastAsia="zh-CN"/>
        </w:rPr>
      </w:pPr>
      <w:r>
        <w:rPr>
          <w:rFonts w:cs="宋体"/>
          <w:lang w:eastAsia="zh-CN"/>
        </w:rPr>
        <w:t>在确定</w:t>
      </w:r>
      <w:r>
        <w:rPr>
          <w:rFonts w:cs="宋体"/>
          <w:lang w:eastAsia="zh-CN"/>
        </w:rPr>
        <w:t>RWD</w:t>
      </w:r>
      <w:r>
        <w:rPr>
          <w:rFonts w:cs="宋体"/>
          <w:lang w:eastAsia="zh-CN"/>
        </w:rPr>
        <w:t>是否适用于监管用途时，</w:t>
      </w:r>
      <w:r>
        <w:rPr>
          <w:rFonts w:cs="宋体"/>
          <w:lang w:eastAsia="zh-CN"/>
        </w:rPr>
        <w:t>FDA</w:t>
      </w:r>
      <w:r>
        <w:rPr>
          <w:rFonts w:cs="宋体"/>
          <w:lang w:eastAsia="zh-CN"/>
        </w:rPr>
        <w:t>评估的重要相关因素包括但不仅限于：</w:t>
      </w:r>
    </w:p>
    <w:p w14:paraId="0168A219" w14:textId="77777777" w:rsidR="00D33511" w:rsidRDefault="0086799F">
      <w:pPr>
        <w:pStyle w:val="af0"/>
        <w:numPr>
          <w:ilvl w:val="0"/>
          <w:numId w:val="5"/>
        </w:numPr>
        <w:spacing w:before="120"/>
        <w:ind w:left="704" w:firstLineChars="0"/>
        <w:rPr>
          <w:lang w:eastAsia="zh-CN"/>
        </w:rPr>
      </w:pPr>
      <w:r>
        <w:rPr>
          <w:rFonts w:cs="宋体"/>
          <w:lang w:eastAsia="zh-CN"/>
        </w:rPr>
        <w:t>RWD</w:t>
      </w:r>
      <w:r>
        <w:rPr>
          <w:rFonts w:cs="宋体"/>
          <w:lang w:eastAsia="zh-CN"/>
        </w:rPr>
        <w:t>包含足够细节，以收集器械使用、接触、和相关人群的关注结局（即适用于手头问题的数据）；</w:t>
      </w:r>
    </w:p>
    <w:p w14:paraId="261F55A0" w14:textId="77777777" w:rsidR="00D33511" w:rsidRDefault="0086799F">
      <w:pPr>
        <w:pStyle w:val="af0"/>
        <w:numPr>
          <w:ilvl w:val="0"/>
          <w:numId w:val="5"/>
        </w:numPr>
        <w:spacing w:before="120"/>
        <w:ind w:left="704" w:firstLineChars="0"/>
        <w:rPr>
          <w:lang w:eastAsia="zh-CN"/>
        </w:rPr>
      </w:pPr>
      <w:r>
        <w:rPr>
          <w:rFonts w:cs="宋体"/>
          <w:lang w:eastAsia="zh-CN"/>
        </w:rPr>
        <w:t>当采用有效且适当的分析方法时，可供分析的数据元素可以解决指定问题（即数据适用于合理的临床和统计学分析）；以及</w:t>
      </w:r>
    </w:p>
    <w:p w14:paraId="1B24ABFA" w14:textId="77777777" w:rsidR="00D33511" w:rsidRDefault="0086799F">
      <w:pPr>
        <w:pStyle w:val="af0"/>
        <w:numPr>
          <w:ilvl w:val="0"/>
          <w:numId w:val="5"/>
        </w:numPr>
        <w:spacing w:before="120"/>
        <w:ind w:left="704" w:firstLineChars="0"/>
        <w:rPr>
          <w:lang w:eastAsia="zh-CN"/>
        </w:rPr>
      </w:pPr>
      <w:r>
        <w:rPr>
          <w:rFonts w:cs="宋体"/>
          <w:lang w:eastAsia="zh-CN"/>
        </w:rPr>
        <w:t>所提供的</w:t>
      </w:r>
      <w:r>
        <w:rPr>
          <w:rFonts w:cs="宋体"/>
          <w:lang w:eastAsia="zh-CN"/>
        </w:rPr>
        <w:t>RWD</w:t>
      </w:r>
      <w:r>
        <w:rPr>
          <w:rFonts w:cs="宋体"/>
          <w:lang w:eastAsia="zh-CN"/>
        </w:rPr>
        <w:t>和</w:t>
      </w:r>
      <w:r>
        <w:rPr>
          <w:rFonts w:cs="宋体"/>
          <w:lang w:eastAsia="zh-CN"/>
        </w:rPr>
        <w:t>RWE</w:t>
      </w:r>
      <w:r>
        <w:rPr>
          <w:rFonts w:cs="宋体"/>
          <w:lang w:eastAsia="zh-CN"/>
        </w:rPr>
        <w:t>可通过知情的临床</w:t>
      </w:r>
      <w:r>
        <w:rPr>
          <w:rFonts w:cs="宋体"/>
          <w:lang w:eastAsia="zh-CN"/>
        </w:rPr>
        <w:t>/</w:t>
      </w:r>
      <w:r>
        <w:rPr>
          <w:rFonts w:cs="宋体"/>
          <w:lang w:eastAsia="zh-CN"/>
        </w:rPr>
        <w:t>科学判断进行解释。评估该因素的重要考虑因素包括：</w:t>
      </w:r>
      <w:r>
        <w:rPr>
          <w:lang w:eastAsia="zh-CN"/>
        </w:rPr>
        <w:t xml:space="preserve"> </w:t>
      </w:r>
    </w:p>
    <w:p w14:paraId="68E6546C" w14:textId="65C463BD" w:rsidR="00D33511" w:rsidRDefault="0086799F">
      <w:pPr>
        <w:pBdr>
          <w:top w:val="single" w:sz="4" w:space="1" w:color="auto"/>
        </w:pBdr>
        <w:wordWrap w:val="0"/>
        <w:spacing w:beforeLines="1150" w:before="2760"/>
      </w:pPr>
      <w:r>
        <w:rPr>
          <w:rFonts w:cs="宋体"/>
          <w:sz w:val="21"/>
          <w:vertAlign w:val="superscript"/>
        </w:rPr>
        <w:t>21</w:t>
      </w:r>
      <w:r>
        <w:rPr>
          <w:rFonts w:cs="宋体"/>
          <w:sz w:val="21"/>
        </w:rPr>
        <w:t>《医疗器械提交反馈请求：预提交程序，与食品药品管理局工作人员举行会议：面向行业和</w:t>
      </w:r>
      <w:r w:rsidR="002E064B">
        <w:rPr>
          <w:rFonts w:cs="宋体"/>
          <w:sz w:val="21"/>
        </w:rPr>
        <w:t>美国食品药品监督管理局</w:t>
      </w:r>
      <w:r>
        <w:rPr>
          <w:rFonts w:cs="宋体"/>
          <w:sz w:val="21"/>
        </w:rPr>
        <w:t>工作人员的指南》，（</w:t>
      </w:r>
      <w:r>
        <w:rPr>
          <w:rFonts w:cs="宋体"/>
          <w:color w:val="0000FF"/>
          <w:sz w:val="21"/>
          <w:u w:val="single"/>
        </w:rPr>
        <w:t>http://www.fda.gov/downloads/MedicalDevices/DeviceRegulationandGuidance/GuidanceDocuments/UCM311176.pdf</w:t>
      </w:r>
      <w:r>
        <w:rPr>
          <w:rFonts w:cs="宋体"/>
          <w:sz w:val="21"/>
        </w:rPr>
        <w:t>）。</w:t>
      </w:r>
      <w:r>
        <w:rPr>
          <w:rFonts w:cs="宋体"/>
          <w:sz w:val="21"/>
        </w:rPr>
        <w:br w:type="page"/>
      </w:r>
    </w:p>
    <w:p w14:paraId="67419713" w14:textId="77777777" w:rsidR="00D33511" w:rsidRDefault="0086799F">
      <w:pPr>
        <w:pStyle w:val="af0"/>
        <w:numPr>
          <w:ilvl w:val="0"/>
          <w:numId w:val="6"/>
        </w:numPr>
        <w:spacing w:before="120"/>
        <w:ind w:left="1271" w:firstLineChars="0"/>
        <w:rPr>
          <w:lang w:eastAsia="zh-CN"/>
        </w:rPr>
      </w:pPr>
      <w:r>
        <w:rPr>
          <w:rFonts w:cs="宋体"/>
          <w:lang w:eastAsia="zh-CN"/>
        </w:rPr>
        <w:lastRenderedPageBreak/>
        <w:t>器械在真实世界人群中的使用是否具有数据源中收集的代表性，以及是否可推广到受评价的相关人群；</w:t>
      </w:r>
    </w:p>
    <w:p w14:paraId="5A4DA258"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来源是否在区域、国家（或地区）和</w:t>
      </w:r>
      <w:r>
        <w:rPr>
          <w:rFonts w:cs="宋体"/>
          <w:lang w:eastAsia="zh-CN"/>
        </w:rPr>
        <w:t>/</w:t>
      </w:r>
      <w:r>
        <w:rPr>
          <w:rFonts w:cs="宋体"/>
          <w:lang w:eastAsia="zh-CN"/>
        </w:rPr>
        <w:t>或国际上使用；</w:t>
      </w:r>
    </w:p>
    <w:p w14:paraId="6F5A0021"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来源中收集的患者接触器械的总体百分比；</w:t>
      </w:r>
    </w:p>
    <w:p w14:paraId="6AC3DCFC" w14:textId="77777777" w:rsidR="00D33511" w:rsidRDefault="0086799F">
      <w:pPr>
        <w:pStyle w:val="af0"/>
        <w:numPr>
          <w:ilvl w:val="0"/>
          <w:numId w:val="6"/>
        </w:numPr>
        <w:spacing w:before="120"/>
        <w:ind w:left="1271" w:firstLineChars="0"/>
        <w:rPr>
          <w:lang w:eastAsia="zh-CN"/>
        </w:rPr>
      </w:pPr>
      <w:r>
        <w:rPr>
          <w:rFonts w:cs="宋体"/>
          <w:lang w:eastAsia="zh-CN"/>
        </w:rPr>
        <w:t>使用的验证方案和结果数据，用于评价</w:t>
      </w:r>
      <w:r>
        <w:rPr>
          <w:rFonts w:cs="宋体"/>
          <w:lang w:eastAsia="zh-CN"/>
        </w:rPr>
        <w:t>RWD</w:t>
      </w:r>
      <w:r>
        <w:rPr>
          <w:rFonts w:cs="宋体"/>
          <w:lang w:eastAsia="zh-CN"/>
        </w:rPr>
        <w:t>来源如何更好地反映患者群体经验；</w:t>
      </w:r>
    </w:p>
    <w:p w14:paraId="77019812"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研究设计、研究方案和</w:t>
      </w:r>
      <w:r>
        <w:rPr>
          <w:rFonts w:cs="宋体"/>
          <w:lang w:eastAsia="zh-CN"/>
        </w:rPr>
        <w:t>/</w:t>
      </w:r>
      <w:r>
        <w:rPr>
          <w:rFonts w:cs="宋体"/>
          <w:lang w:eastAsia="zh-CN"/>
        </w:rPr>
        <w:t>或分析计划是否适用于解决监管问题，并能够及时完成；</w:t>
      </w:r>
    </w:p>
    <w:p w14:paraId="1333D34B"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是否包含可收集特定器械识别信息的要素（如器械唯一标识符）；</w:t>
      </w:r>
    </w:p>
    <w:p w14:paraId="463D9553"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中是否充分收集了患者病史和既往疾病，以及随访信息是否足以用于评价所研究的问题（如行政管理索赔数据是否有足够的医保覆盖连续性）；</w:t>
      </w:r>
    </w:p>
    <w:p w14:paraId="43966A04" w14:textId="77777777" w:rsidR="00D33511" w:rsidRDefault="0086799F">
      <w:pPr>
        <w:pStyle w:val="af0"/>
        <w:numPr>
          <w:ilvl w:val="0"/>
          <w:numId w:val="6"/>
        </w:numPr>
        <w:spacing w:before="120"/>
        <w:ind w:left="1271" w:firstLineChars="0"/>
        <w:rPr>
          <w:lang w:eastAsia="zh-CN"/>
        </w:rPr>
      </w:pPr>
      <w:r>
        <w:rPr>
          <w:rFonts w:cs="宋体"/>
          <w:lang w:eastAsia="zh-CN"/>
        </w:rPr>
        <w:t>是否收集了充足的数据元素，以校正可能影响相关接触或关注结局的干扰因素；</w:t>
      </w:r>
    </w:p>
    <w:p w14:paraId="7C6E05A0" w14:textId="77777777" w:rsidR="00D33511" w:rsidRDefault="0086799F">
      <w:pPr>
        <w:pStyle w:val="af0"/>
        <w:numPr>
          <w:ilvl w:val="0"/>
          <w:numId w:val="6"/>
        </w:numPr>
        <w:spacing w:before="120"/>
        <w:ind w:left="1271" w:firstLineChars="0"/>
        <w:rPr>
          <w:lang w:eastAsia="zh-CN"/>
        </w:rPr>
      </w:pPr>
      <w:r>
        <w:rPr>
          <w:rFonts w:cs="宋体"/>
          <w:lang w:eastAsia="zh-CN"/>
        </w:rPr>
        <w:t>进行的任何联系是否具有科学上的适当性，并考虑到不同来源编码和报告之间的差异；</w:t>
      </w:r>
    </w:p>
    <w:p w14:paraId="23DAB3BA" w14:textId="77777777" w:rsidR="00D33511" w:rsidRDefault="0086799F">
      <w:pPr>
        <w:pStyle w:val="af0"/>
        <w:numPr>
          <w:ilvl w:val="0"/>
          <w:numId w:val="6"/>
        </w:numPr>
        <w:spacing w:before="120"/>
        <w:ind w:left="1271" w:firstLineChars="0"/>
        <w:rPr>
          <w:lang w:eastAsia="zh-CN"/>
        </w:rPr>
      </w:pPr>
      <w:r>
        <w:rPr>
          <w:rFonts w:cs="宋体"/>
          <w:lang w:eastAsia="zh-CN"/>
        </w:rPr>
        <w:t>RWD</w:t>
      </w:r>
      <w:r>
        <w:rPr>
          <w:rFonts w:cs="宋体"/>
          <w:lang w:eastAsia="zh-CN"/>
        </w:rPr>
        <w:t>来源的报告时间表，包括数据库关闭和开放之间的时间间隔以及报告期时长；</w:t>
      </w:r>
    </w:p>
    <w:p w14:paraId="182DAFEE" w14:textId="77777777" w:rsidR="00D33511" w:rsidRDefault="0086799F">
      <w:pPr>
        <w:pStyle w:val="af0"/>
        <w:numPr>
          <w:ilvl w:val="0"/>
          <w:numId w:val="6"/>
        </w:numPr>
        <w:spacing w:before="120"/>
        <w:ind w:left="1271" w:firstLineChars="0"/>
        <w:rPr>
          <w:lang w:eastAsia="zh-CN"/>
        </w:rPr>
      </w:pPr>
      <w:r>
        <w:rPr>
          <w:rFonts w:cs="宋体"/>
          <w:lang w:eastAsia="zh-CN"/>
        </w:rPr>
        <w:t>将</w:t>
      </w:r>
      <w:r>
        <w:rPr>
          <w:rFonts w:cs="宋体"/>
          <w:lang w:eastAsia="zh-CN"/>
        </w:rPr>
        <w:t>RWD</w:t>
      </w:r>
      <w:r>
        <w:rPr>
          <w:rFonts w:cs="宋体"/>
          <w:lang w:eastAsia="zh-CN"/>
        </w:rPr>
        <w:t>来源用于确定基于结局的质量评估、经验证的风险预测模型、信号检测、性能改进、基准测试和其他具有临床意义的用途的既往文件记录（如同行评审出版物或实践指导原则）；</w:t>
      </w:r>
    </w:p>
    <w:p w14:paraId="2BC2EA45" w14:textId="77777777" w:rsidR="00D33511" w:rsidRDefault="0086799F">
      <w:pPr>
        <w:pStyle w:val="af0"/>
        <w:numPr>
          <w:ilvl w:val="0"/>
          <w:numId w:val="6"/>
        </w:numPr>
        <w:spacing w:before="120"/>
        <w:ind w:left="1271" w:firstLineChars="0"/>
        <w:rPr>
          <w:lang w:eastAsia="zh-CN"/>
        </w:rPr>
      </w:pPr>
      <w:r>
        <w:rPr>
          <w:rFonts w:cs="宋体"/>
          <w:lang w:eastAsia="zh-CN"/>
        </w:rPr>
        <w:t>所收集的数据元素是否足以评估结局（包括判定，如有必要）；以及</w:t>
      </w:r>
    </w:p>
    <w:p w14:paraId="6FA2245E" w14:textId="77777777" w:rsidR="00D33511" w:rsidRDefault="0086799F">
      <w:pPr>
        <w:pStyle w:val="af0"/>
        <w:numPr>
          <w:ilvl w:val="0"/>
          <w:numId w:val="6"/>
        </w:numPr>
        <w:spacing w:before="120"/>
        <w:ind w:left="1271" w:firstLineChars="0"/>
        <w:rPr>
          <w:lang w:eastAsia="zh-CN"/>
        </w:rPr>
      </w:pPr>
      <w:r>
        <w:rPr>
          <w:rFonts w:cs="宋体"/>
          <w:lang w:eastAsia="zh-CN"/>
        </w:rPr>
        <w:t>补充数据来源是否可用，是否足以提供知情决策所需的任何缺失信息或证据。</w:t>
      </w:r>
    </w:p>
    <w:p w14:paraId="3A5A190B" w14:textId="77777777" w:rsidR="00D33511" w:rsidRDefault="0086799F">
      <w:pPr>
        <w:spacing w:before="120"/>
        <w:rPr>
          <w:lang w:eastAsia="zh-CN"/>
        </w:rPr>
      </w:pPr>
      <w:r>
        <w:rPr>
          <w:rFonts w:cs="宋体"/>
          <w:lang w:eastAsia="zh-CN"/>
        </w:rPr>
        <w:br w:type="page"/>
      </w:r>
    </w:p>
    <w:p w14:paraId="2D7F8E3E" w14:textId="77777777" w:rsidR="00D33511" w:rsidRDefault="0086799F">
      <w:pPr>
        <w:pStyle w:val="af0"/>
        <w:numPr>
          <w:ilvl w:val="0"/>
          <w:numId w:val="4"/>
        </w:numPr>
        <w:spacing w:before="120"/>
        <w:ind w:leftChars="200" w:left="1042" w:hangingChars="200" w:hanging="562"/>
        <w:outlineLvl w:val="1"/>
        <w:rPr>
          <w:b/>
          <w:bCs/>
          <w:sz w:val="28"/>
          <w:szCs w:val="28"/>
        </w:rPr>
      </w:pPr>
      <w:bookmarkStart w:id="11" w:name="_Toc90485549"/>
      <w:proofErr w:type="spellStart"/>
      <w:r>
        <w:rPr>
          <w:rFonts w:cs="宋体"/>
          <w:b/>
          <w:sz w:val="28"/>
        </w:rPr>
        <w:lastRenderedPageBreak/>
        <w:t>可靠性</w:t>
      </w:r>
      <w:bookmarkEnd w:id="11"/>
      <w:proofErr w:type="spellEnd"/>
    </w:p>
    <w:p w14:paraId="1180B2CC" w14:textId="77777777" w:rsidR="00D33511" w:rsidRDefault="0086799F">
      <w:pPr>
        <w:spacing w:before="120"/>
        <w:rPr>
          <w:lang w:eastAsia="zh-CN"/>
        </w:rPr>
      </w:pPr>
      <w:r>
        <w:rPr>
          <w:rFonts w:cs="宋体"/>
          <w:lang w:eastAsia="zh-CN"/>
        </w:rPr>
        <w:t>通过评价以下概述的几个因素，对</w:t>
      </w:r>
      <w:r>
        <w:rPr>
          <w:rFonts w:cs="宋体"/>
          <w:lang w:eastAsia="zh-CN"/>
        </w:rPr>
        <w:t>RWD</w:t>
      </w:r>
      <w:r>
        <w:rPr>
          <w:rFonts w:cs="宋体"/>
          <w:lang w:eastAsia="zh-CN"/>
        </w:rPr>
        <w:t>、</w:t>
      </w:r>
      <w:r>
        <w:rPr>
          <w:rFonts w:cs="宋体"/>
          <w:lang w:eastAsia="zh-CN"/>
        </w:rPr>
        <w:t>RWD</w:t>
      </w:r>
      <w:r>
        <w:rPr>
          <w:rFonts w:cs="宋体"/>
          <w:lang w:eastAsia="zh-CN"/>
        </w:rPr>
        <w:t>来源和结果分析的可靠性进行了评估。在</w:t>
      </w:r>
      <w:r>
        <w:rPr>
          <w:rFonts w:cs="宋体"/>
          <w:lang w:eastAsia="zh-CN"/>
        </w:rPr>
        <w:t>RWD</w:t>
      </w:r>
      <w:r>
        <w:rPr>
          <w:rFonts w:cs="宋体"/>
          <w:lang w:eastAsia="zh-CN"/>
        </w:rPr>
        <w:t>的可靠性评估中，</w:t>
      </w:r>
      <w:r>
        <w:rPr>
          <w:rFonts w:cs="宋体"/>
          <w:lang w:eastAsia="zh-CN"/>
        </w:rPr>
        <w:t>FDA</w:t>
      </w:r>
      <w:r>
        <w:rPr>
          <w:rFonts w:cs="宋体"/>
          <w:lang w:eastAsia="zh-CN"/>
        </w:rPr>
        <w:t>考虑的主要因素包括：如何采集数据（数据获取）、数据采集和分析过程中是否有适当的人员和流程来充分保证最大程度降低了偏倚，以及数据是否达到了适当的质量和完整性（数据保证）。另外，如上文第</w:t>
      </w:r>
      <w:r>
        <w:rPr>
          <w:rFonts w:cs="宋体"/>
          <w:lang w:eastAsia="zh-CN"/>
        </w:rPr>
        <w:t>III</w:t>
      </w:r>
      <w:r>
        <w:rPr>
          <w:rFonts w:cs="宋体"/>
          <w:lang w:eastAsia="zh-CN"/>
        </w:rPr>
        <w:t>节所述，应首先确定</w:t>
      </w:r>
      <w:r>
        <w:rPr>
          <w:rFonts w:cs="宋体"/>
          <w:lang w:eastAsia="zh-CN"/>
        </w:rPr>
        <w:t>RWD</w:t>
      </w:r>
      <w:r>
        <w:rPr>
          <w:rFonts w:cs="宋体"/>
          <w:lang w:eastAsia="zh-CN"/>
        </w:rPr>
        <w:t>分析方案。</w:t>
      </w:r>
      <w:r>
        <w:rPr>
          <w:rFonts w:cs="宋体"/>
          <w:lang w:eastAsia="zh-CN"/>
        </w:rPr>
        <w:t>FDA</w:t>
      </w:r>
      <w:r>
        <w:rPr>
          <w:rFonts w:cs="宋体"/>
          <w:lang w:eastAsia="zh-CN"/>
        </w:rPr>
        <w:t>将考虑现有的数据获取、数据保证和分析方法是否适用于评价的某一</w:t>
      </w:r>
      <w:r>
        <w:rPr>
          <w:rFonts w:cs="宋体"/>
          <w:lang w:eastAsia="zh-CN"/>
        </w:rPr>
        <w:t>RWD</w:t>
      </w:r>
      <w:r>
        <w:rPr>
          <w:rFonts w:cs="宋体"/>
          <w:lang w:eastAsia="zh-CN"/>
        </w:rPr>
        <w:t>来源及其数据。</w:t>
      </w:r>
    </w:p>
    <w:p w14:paraId="11580086" w14:textId="77777777" w:rsidR="00D33511" w:rsidRDefault="0086799F">
      <w:pPr>
        <w:pStyle w:val="af0"/>
        <w:numPr>
          <w:ilvl w:val="0"/>
          <w:numId w:val="7"/>
        </w:numPr>
        <w:spacing w:before="120"/>
        <w:ind w:leftChars="400" w:left="1442" w:hangingChars="200" w:hanging="482"/>
        <w:outlineLvl w:val="2"/>
        <w:rPr>
          <w:b/>
          <w:bCs/>
        </w:rPr>
      </w:pPr>
      <w:bookmarkStart w:id="12" w:name="_Toc90485550"/>
      <w:proofErr w:type="spellStart"/>
      <w:r>
        <w:rPr>
          <w:rFonts w:cs="宋体"/>
          <w:b/>
        </w:rPr>
        <w:t>数据获取</w:t>
      </w:r>
      <w:bookmarkEnd w:id="12"/>
      <w:proofErr w:type="spellEnd"/>
    </w:p>
    <w:p w14:paraId="7818C1EF" w14:textId="77777777" w:rsidR="00D33511" w:rsidRDefault="0086799F">
      <w:pPr>
        <w:spacing w:before="120"/>
        <w:rPr>
          <w:lang w:eastAsia="zh-CN"/>
        </w:rPr>
      </w:pPr>
      <w:r>
        <w:rPr>
          <w:rFonts w:cs="宋体"/>
          <w:lang w:eastAsia="zh-CN"/>
        </w:rPr>
        <w:t>为确保</w:t>
      </w:r>
      <w:r>
        <w:rPr>
          <w:rFonts w:cs="宋体"/>
          <w:lang w:eastAsia="zh-CN"/>
        </w:rPr>
        <w:t>RWD</w:t>
      </w:r>
      <w:r>
        <w:rPr>
          <w:rFonts w:cs="宋体"/>
          <w:lang w:eastAsia="zh-CN"/>
        </w:rPr>
        <w:t>的可靠性，必须制定操作手册或其他文档，以便预先确定需要采集的数据要素、数据要素定义（即数据词典，以提供通用定义框架）、数据集合与记录方法（例如：通用病例报告表、可验证来源的摘要），以及数据要素采集的相关时间窗口（即通用时间框架）。有些</w:t>
      </w:r>
      <w:r>
        <w:rPr>
          <w:rFonts w:cs="宋体"/>
          <w:lang w:eastAsia="zh-CN"/>
        </w:rPr>
        <w:t>RWD</w:t>
      </w:r>
      <w:r>
        <w:rPr>
          <w:rFonts w:cs="宋体"/>
          <w:lang w:eastAsia="zh-CN"/>
        </w:rPr>
        <w:t>来源（如</w:t>
      </w:r>
      <w:r>
        <w:rPr>
          <w:rFonts w:cs="宋体"/>
          <w:lang w:eastAsia="zh-CN"/>
        </w:rPr>
        <w:t>EHR</w:t>
      </w:r>
      <w:r>
        <w:rPr>
          <w:rFonts w:cs="宋体"/>
          <w:lang w:eastAsia="zh-CN"/>
        </w:rPr>
        <w:t>或赔付数据）可能不符合上述所有特征，但仍然具有充足可靠性，足以用于支持监管决策。在做出判定时，</w:t>
      </w:r>
      <w:r>
        <w:rPr>
          <w:rFonts w:cs="宋体"/>
          <w:lang w:eastAsia="zh-CN"/>
        </w:rPr>
        <w:t>FDA</w:t>
      </w:r>
      <w:r>
        <w:rPr>
          <w:rFonts w:cs="宋体"/>
          <w:lang w:eastAsia="zh-CN"/>
        </w:rPr>
        <w:t>考虑的因素包括但不仅限于：</w:t>
      </w:r>
    </w:p>
    <w:p w14:paraId="68D4E2EF" w14:textId="77777777" w:rsidR="00D33511" w:rsidRDefault="0086799F">
      <w:pPr>
        <w:pStyle w:val="af0"/>
        <w:numPr>
          <w:ilvl w:val="0"/>
          <w:numId w:val="6"/>
        </w:numPr>
        <w:spacing w:before="120"/>
        <w:ind w:left="1271" w:firstLineChars="0"/>
        <w:rPr>
          <w:lang w:eastAsia="zh-CN"/>
        </w:rPr>
      </w:pPr>
      <w:r>
        <w:rPr>
          <w:rFonts w:cs="宋体"/>
          <w:lang w:eastAsia="zh-CN"/>
        </w:rPr>
        <w:t>研究中心是否已经做好准备工作，可以全面、准确采集</w:t>
      </w:r>
      <w:r>
        <w:rPr>
          <w:rFonts w:cs="宋体"/>
          <w:lang w:eastAsia="zh-CN"/>
        </w:rPr>
        <w:t>RWD</w:t>
      </w:r>
      <w:r>
        <w:rPr>
          <w:rFonts w:cs="宋体"/>
          <w:lang w:eastAsia="zh-CN"/>
        </w:rPr>
        <w:t>（例如：是否有已确定的流程、研究中心培训与支持以及合格人员）；</w:t>
      </w:r>
    </w:p>
    <w:p w14:paraId="4A12E76E" w14:textId="77777777" w:rsidR="00D33511" w:rsidRDefault="0086799F">
      <w:pPr>
        <w:pStyle w:val="af0"/>
        <w:numPr>
          <w:ilvl w:val="0"/>
          <w:numId w:val="6"/>
        </w:numPr>
        <w:spacing w:before="120"/>
        <w:ind w:left="1271" w:firstLineChars="0"/>
        <w:rPr>
          <w:lang w:eastAsia="zh-CN"/>
        </w:rPr>
      </w:pPr>
      <w:r>
        <w:rPr>
          <w:rFonts w:cs="宋体"/>
          <w:lang w:eastAsia="zh-CN"/>
        </w:rPr>
        <w:t>是否使用了通用数据采集表；</w:t>
      </w:r>
    </w:p>
    <w:p w14:paraId="5245436C" w14:textId="77777777" w:rsidR="00D33511" w:rsidRDefault="0086799F">
      <w:pPr>
        <w:pStyle w:val="af0"/>
        <w:numPr>
          <w:ilvl w:val="0"/>
          <w:numId w:val="6"/>
        </w:numPr>
        <w:spacing w:before="120"/>
        <w:ind w:left="1271" w:firstLineChars="0"/>
        <w:rPr>
          <w:lang w:eastAsia="zh-CN"/>
        </w:rPr>
      </w:pPr>
      <w:r>
        <w:rPr>
          <w:rFonts w:cs="宋体"/>
          <w:lang w:eastAsia="zh-CN"/>
        </w:rPr>
        <w:t>是否使用了通用定义框架（即数据词典）；</w:t>
      </w:r>
    </w:p>
    <w:p w14:paraId="4638659E" w14:textId="77777777" w:rsidR="00D33511" w:rsidRDefault="0086799F">
      <w:pPr>
        <w:pStyle w:val="af0"/>
        <w:numPr>
          <w:ilvl w:val="0"/>
          <w:numId w:val="6"/>
        </w:numPr>
        <w:spacing w:before="120"/>
        <w:ind w:left="1271" w:firstLineChars="0"/>
        <w:rPr>
          <w:lang w:eastAsia="zh-CN"/>
        </w:rPr>
      </w:pPr>
      <w:r>
        <w:rPr>
          <w:rFonts w:cs="宋体"/>
          <w:lang w:eastAsia="zh-CN"/>
        </w:rPr>
        <w:t>对于关键数据点的采集，应遵守通用时间框架；</w:t>
      </w:r>
    </w:p>
    <w:p w14:paraId="7C9F4100" w14:textId="77777777" w:rsidR="00D33511" w:rsidRDefault="0086799F">
      <w:pPr>
        <w:pStyle w:val="af0"/>
        <w:numPr>
          <w:ilvl w:val="0"/>
          <w:numId w:val="6"/>
        </w:numPr>
        <w:spacing w:before="120"/>
        <w:ind w:left="1271" w:firstLineChars="0"/>
        <w:rPr>
          <w:lang w:eastAsia="zh-CN"/>
        </w:rPr>
      </w:pPr>
      <w:r>
        <w:rPr>
          <w:rFonts w:cs="宋体"/>
          <w:lang w:eastAsia="zh-CN"/>
        </w:rPr>
        <w:t>制定与</w:t>
      </w:r>
      <w:r>
        <w:rPr>
          <w:rFonts w:cs="宋体"/>
          <w:lang w:eastAsia="zh-CN"/>
        </w:rPr>
        <w:t>RWD</w:t>
      </w:r>
      <w:r>
        <w:rPr>
          <w:rFonts w:cs="宋体"/>
          <w:lang w:eastAsia="zh-CN"/>
        </w:rPr>
        <w:t>收集或检索相关的研究计划、方案和</w:t>
      </w:r>
      <w:r>
        <w:rPr>
          <w:rFonts w:cs="宋体"/>
          <w:lang w:eastAsia="zh-CN"/>
        </w:rPr>
        <w:t>/</w:t>
      </w:r>
      <w:r>
        <w:rPr>
          <w:rFonts w:cs="宋体"/>
          <w:lang w:eastAsia="zh-CN"/>
        </w:rPr>
        <w:t>或分析计划的时间安排；</w:t>
      </w:r>
    </w:p>
    <w:p w14:paraId="048D9EB4" w14:textId="77777777" w:rsidR="00D33511" w:rsidRDefault="0086799F">
      <w:pPr>
        <w:pStyle w:val="af0"/>
        <w:numPr>
          <w:ilvl w:val="0"/>
          <w:numId w:val="6"/>
        </w:numPr>
        <w:spacing w:before="120"/>
        <w:ind w:left="1271" w:firstLineChars="0"/>
        <w:rPr>
          <w:lang w:eastAsia="zh-CN"/>
        </w:rPr>
      </w:pPr>
      <w:r>
        <w:rPr>
          <w:rFonts w:cs="宋体"/>
          <w:lang w:eastAsia="zh-CN"/>
        </w:rPr>
        <w:t>数据要素采集的来源和技术方法（例如：病历摘要、定点照护录入、</w:t>
      </w:r>
      <w:r>
        <w:rPr>
          <w:rFonts w:cs="宋体"/>
          <w:lang w:eastAsia="zh-CN"/>
        </w:rPr>
        <w:t>EHR</w:t>
      </w:r>
      <w:r>
        <w:rPr>
          <w:rFonts w:cs="宋体"/>
          <w:lang w:eastAsia="zh-CN"/>
        </w:rPr>
        <w:t>整合、</w:t>
      </w:r>
      <w:r>
        <w:rPr>
          <w:rFonts w:cs="宋体"/>
          <w:lang w:eastAsia="zh-CN"/>
        </w:rPr>
        <w:t>UDI</w:t>
      </w:r>
      <w:r>
        <w:rPr>
          <w:rFonts w:cs="宋体"/>
          <w:lang w:eastAsia="zh-CN"/>
        </w:rPr>
        <w:t>采集、来自器械的数据记录、与赔付数据的链接）；</w:t>
      </w:r>
    </w:p>
    <w:p w14:paraId="480E230D" w14:textId="77777777" w:rsidR="00D33511" w:rsidRDefault="0086799F">
      <w:pPr>
        <w:pStyle w:val="af0"/>
        <w:numPr>
          <w:ilvl w:val="0"/>
          <w:numId w:val="6"/>
        </w:numPr>
        <w:spacing w:before="120"/>
        <w:ind w:left="1271" w:firstLineChars="0"/>
        <w:rPr>
          <w:lang w:eastAsia="zh-CN"/>
        </w:rPr>
      </w:pPr>
      <w:r>
        <w:rPr>
          <w:rFonts w:cs="宋体"/>
          <w:lang w:eastAsia="zh-CN"/>
        </w:rPr>
        <w:t>患者选择与入组标准是否可以尽量降低偏倚并确保是具有代表性的真实世界人群（例如：</w:t>
      </w:r>
      <w:r>
        <w:rPr>
          <w:rFonts w:cs="宋体"/>
          <w:lang w:eastAsia="zh-CN"/>
        </w:rPr>
        <w:t>All-comer</w:t>
      </w:r>
      <w:r>
        <w:rPr>
          <w:rFonts w:cs="宋体"/>
          <w:lang w:eastAsia="zh-CN"/>
        </w:rPr>
        <w:t>设计、患者连续入组）；</w:t>
      </w:r>
    </w:p>
    <w:p w14:paraId="61638462" w14:textId="77777777" w:rsidR="00D33511" w:rsidRDefault="0086799F">
      <w:pPr>
        <w:pStyle w:val="af0"/>
        <w:numPr>
          <w:ilvl w:val="0"/>
          <w:numId w:val="6"/>
        </w:numPr>
        <w:spacing w:before="120"/>
        <w:ind w:left="1271" w:firstLineChars="0"/>
        <w:rPr>
          <w:lang w:eastAsia="zh-CN"/>
        </w:rPr>
      </w:pPr>
      <w:r>
        <w:rPr>
          <w:rFonts w:cs="宋体"/>
          <w:lang w:eastAsia="zh-CN"/>
        </w:rPr>
        <w:t>数据录入的及时性、传输和可用性；以及</w:t>
      </w:r>
    </w:p>
    <w:p w14:paraId="41DA9B90" w14:textId="77777777" w:rsidR="00D33511" w:rsidRDefault="0086799F">
      <w:pPr>
        <w:spacing w:before="120"/>
        <w:rPr>
          <w:lang w:eastAsia="zh-CN"/>
        </w:rPr>
      </w:pPr>
      <w:r>
        <w:rPr>
          <w:rFonts w:cs="宋体"/>
          <w:lang w:eastAsia="zh-CN"/>
        </w:rPr>
        <w:br w:type="page"/>
      </w:r>
    </w:p>
    <w:p w14:paraId="7A8EB5BB" w14:textId="77777777" w:rsidR="00D33511" w:rsidRDefault="0086799F">
      <w:pPr>
        <w:pStyle w:val="af0"/>
        <w:numPr>
          <w:ilvl w:val="0"/>
          <w:numId w:val="6"/>
        </w:numPr>
        <w:spacing w:before="120"/>
        <w:ind w:left="1271" w:firstLineChars="0"/>
        <w:rPr>
          <w:lang w:eastAsia="zh-CN"/>
        </w:rPr>
      </w:pPr>
      <w:r>
        <w:rPr>
          <w:rFonts w:cs="宋体"/>
          <w:lang w:eastAsia="zh-CN"/>
        </w:rPr>
        <w:lastRenderedPageBreak/>
        <w:t>是否建立了必要且适当的患者保护（例如：保护患者隐私的方法、经审评</w:t>
      </w:r>
      <w:r>
        <w:rPr>
          <w:rFonts w:cs="宋体"/>
          <w:lang w:eastAsia="zh-CN"/>
        </w:rPr>
        <w:t>IRB</w:t>
      </w:r>
      <w:r>
        <w:rPr>
          <w:rFonts w:cs="宋体"/>
          <w:lang w:eastAsia="zh-CN"/>
        </w:rPr>
        <w:t>判定需要知情同意</w:t>
      </w:r>
      <w:r>
        <w:rPr>
          <w:rFonts w:cs="宋体" w:hint="eastAsia"/>
          <w:lang w:eastAsia="zh-CN"/>
        </w:rPr>
        <w:t>的必要性</w:t>
      </w:r>
      <w:r>
        <w:rPr>
          <w:rFonts w:cs="宋体"/>
          <w:lang w:eastAsia="zh-CN"/>
        </w:rPr>
        <w:t>，以及遵守</w:t>
      </w:r>
      <w:r>
        <w:rPr>
          <w:rFonts w:cs="宋体"/>
          <w:lang w:eastAsia="zh-CN"/>
        </w:rPr>
        <w:t>FDA</w:t>
      </w:r>
      <w:r>
        <w:rPr>
          <w:rFonts w:cs="宋体"/>
          <w:lang w:eastAsia="zh-CN"/>
        </w:rPr>
        <w:t>法规）。</w:t>
      </w:r>
    </w:p>
    <w:p w14:paraId="4FDEBFA4" w14:textId="77777777" w:rsidR="00D33511" w:rsidRDefault="0086799F">
      <w:pPr>
        <w:pStyle w:val="af0"/>
        <w:numPr>
          <w:ilvl w:val="0"/>
          <w:numId w:val="7"/>
        </w:numPr>
        <w:spacing w:before="120"/>
        <w:ind w:leftChars="400" w:left="1442" w:hangingChars="200" w:hanging="482"/>
        <w:outlineLvl w:val="2"/>
        <w:rPr>
          <w:b/>
          <w:bCs/>
        </w:rPr>
      </w:pPr>
      <w:bookmarkStart w:id="13" w:name="_Toc90485551"/>
      <w:proofErr w:type="spellStart"/>
      <w:r>
        <w:rPr>
          <w:rFonts w:cs="宋体"/>
          <w:b/>
        </w:rPr>
        <w:t>数据保证</w:t>
      </w:r>
      <w:r>
        <w:rPr>
          <w:rFonts w:cs="宋体"/>
          <w:b/>
        </w:rPr>
        <w:t>-</w:t>
      </w:r>
      <w:r>
        <w:rPr>
          <w:rFonts w:cs="宋体"/>
          <w:b/>
        </w:rPr>
        <w:t>质量控制</w:t>
      </w:r>
      <w:bookmarkEnd w:id="13"/>
      <w:proofErr w:type="spellEnd"/>
    </w:p>
    <w:p w14:paraId="2F6AE865" w14:textId="77777777" w:rsidR="00D33511" w:rsidRDefault="0086799F">
      <w:pPr>
        <w:spacing w:before="120"/>
        <w:rPr>
          <w:lang w:eastAsia="zh-CN"/>
        </w:rPr>
      </w:pPr>
      <w:r>
        <w:rPr>
          <w:rFonts w:cs="宋体"/>
          <w:lang w:eastAsia="zh-CN"/>
        </w:rPr>
        <w:t>为确保</w:t>
      </w:r>
      <w:r>
        <w:rPr>
          <w:rFonts w:cs="宋体"/>
          <w:lang w:eastAsia="zh-CN"/>
        </w:rPr>
        <w:t>RWD</w:t>
      </w:r>
      <w:r>
        <w:rPr>
          <w:rFonts w:cs="宋体"/>
          <w:lang w:eastAsia="zh-CN"/>
        </w:rPr>
        <w:t>和</w:t>
      </w:r>
      <w:r>
        <w:rPr>
          <w:rFonts w:cs="宋体"/>
          <w:lang w:eastAsia="zh-CN"/>
        </w:rPr>
        <w:t>RWE</w:t>
      </w:r>
      <w:r>
        <w:rPr>
          <w:rFonts w:cs="宋体"/>
          <w:lang w:eastAsia="zh-CN"/>
        </w:rPr>
        <w:t>来源的可靠性，数据质量控制是至关重要的。通过遵循已发布的登记注册建议（如医疗质量管理局、以患者为中心的结果研究机构</w:t>
      </w:r>
      <w:r>
        <w:rPr>
          <w:rFonts w:cs="宋体"/>
          <w:vertAlign w:val="superscript"/>
          <w:lang w:eastAsia="zh-CN"/>
        </w:rPr>
        <w:t>22</w:t>
      </w:r>
      <w:r>
        <w:rPr>
          <w:rFonts w:cs="宋体"/>
          <w:lang w:eastAsia="zh-CN"/>
        </w:rPr>
        <w:t>、国家医疗器械注册工作组</w:t>
      </w:r>
      <w:r>
        <w:rPr>
          <w:rFonts w:cs="宋体"/>
          <w:vertAlign w:val="superscript"/>
          <w:lang w:eastAsia="zh-CN"/>
        </w:rPr>
        <w:t>23</w:t>
      </w:r>
      <w:r>
        <w:rPr>
          <w:rFonts w:cs="宋体"/>
          <w:lang w:eastAsia="zh-CN"/>
        </w:rPr>
        <w:t>和监管机构论坛（</w:t>
      </w:r>
      <w:r>
        <w:rPr>
          <w:rFonts w:cs="宋体"/>
          <w:lang w:eastAsia="zh-CN"/>
        </w:rPr>
        <w:t>IMDRF</w:t>
      </w:r>
      <w:r>
        <w:rPr>
          <w:rFonts w:cs="宋体"/>
          <w:lang w:eastAsia="zh-CN"/>
        </w:rPr>
        <w:t>）注册工作组</w:t>
      </w:r>
      <w:r>
        <w:rPr>
          <w:rFonts w:cs="宋体"/>
          <w:vertAlign w:val="superscript"/>
          <w:lang w:eastAsia="zh-CN"/>
        </w:rPr>
        <w:t>24</w:t>
      </w:r>
      <w:r>
        <w:rPr>
          <w:rFonts w:cs="宋体"/>
          <w:lang w:eastAsia="zh-CN"/>
        </w:rPr>
        <w:t>的建议），通常可以提高</w:t>
      </w:r>
      <w:r>
        <w:rPr>
          <w:rFonts w:cs="宋体"/>
          <w:lang w:eastAsia="zh-CN"/>
        </w:rPr>
        <w:t>RWD</w:t>
      </w:r>
      <w:r>
        <w:rPr>
          <w:rFonts w:cs="宋体"/>
          <w:lang w:eastAsia="zh-CN"/>
        </w:rPr>
        <w:t>质量。但是，对于</w:t>
      </w:r>
      <w:r>
        <w:rPr>
          <w:rFonts w:cs="宋体"/>
          <w:lang w:eastAsia="zh-CN"/>
        </w:rPr>
        <w:t>RWD</w:t>
      </w:r>
      <w:r>
        <w:rPr>
          <w:rFonts w:cs="宋体"/>
          <w:lang w:eastAsia="zh-CN"/>
        </w:rPr>
        <w:t>的某些来源（例如：行政管理和医疗赔付数据库或</w:t>
      </w:r>
      <w:r>
        <w:rPr>
          <w:rFonts w:cs="宋体"/>
          <w:lang w:eastAsia="zh-CN"/>
        </w:rPr>
        <w:t>EHR</w:t>
      </w:r>
      <w:r>
        <w:rPr>
          <w:rFonts w:cs="宋体"/>
          <w:lang w:eastAsia="zh-CN"/>
        </w:rPr>
        <w:t>），可能没有既定的数据质量控制流程并且无法全面实施或遵循上述建议。当考虑用于监管目的的</w:t>
      </w:r>
      <w:r>
        <w:rPr>
          <w:rFonts w:cs="宋体"/>
          <w:lang w:eastAsia="zh-CN"/>
        </w:rPr>
        <w:t>RWD</w:t>
      </w:r>
      <w:r>
        <w:rPr>
          <w:rFonts w:cs="宋体"/>
          <w:lang w:eastAsia="zh-CN"/>
        </w:rPr>
        <w:t>来源时，重要的是考虑到用于确保数据质量的任何方法和系统。应按照为数据源本身制定的数据</w:t>
      </w:r>
      <w:r>
        <w:rPr>
          <w:rFonts w:cs="宋体"/>
          <w:lang w:eastAsia="zh-CN"/>
        </w:rPr>
        <w:t>QA</w:t>
      </w:r>
      <w:r>
        <w:rPr>
          <w:rFonts w:cs="宋体"/>
          <w:lang w:eastAsia="zh-CN"/>
        </w:rPr>
        <w:t>计划和规程来评价潜在的</w:t>
      </w:r>
      <w:r>
        <w:rPr>
          <w:rFonts w:cs="宋体"/>
          <w:lang w:eastAsia="zh-CN"/>
        </w:rPr>
        <w:t>RWD</w:t>
      </w:r>
      <w:r>
        <w:rPr>
          <w:rFonts w:cs="宋体"/>
          <w:lang w:eastAsia="zh-CN"/>
        </w:rPr>
        <w:t>来源。由于</w:t>
      </w:r>
      <w:r>
        <w:rPr>
          <w:rFonts w:cs="宋体"/>
          <w:lang w:eastAsia="zh-CN"/>
        </w:rPr>
        <w:t>RWD</w:t>
      </w:r>
      <w:r>
        <w:rPr>
          <w:rFonts w:cs="宋体"/>
          <w:lang w:eastAsia="zh-CN"/>
        </w:rPr>
        <w:t>来源评价不一定能允许具体项目数据来源的验证，所以需要考虑的重要因素包括：</w:t>
      </w:r>
    </w:p>
    <w:p w14:paraId="33624129" w14:textId="77777777" w:rsidR="00D33511" w:rsidRDefault="0086799F">
      <w:pPr>
        <w:pStyle w:val="af0"/>
        <w:numPr>
          <w:ilvl w:val="0"/>
          <w:numId w:val="6"/>
        </w:numPr>
        <w:spacing w:before="120"/>
        <w:ind w:left="1271" w:firstLineChars="0"/>
        <w:rPr>
          <w:lang w:eastAsia="zh-CN"/>
        </w:rPr>
      </w:pPr>
      <w:r>
        <w:rPr>
          <w:rFonts w:cs="宋体"/>
          <w:lang w:eastAsia="zh-CN"/>
        </w:rPr>
        <w:t>数据元素群体的质量（例如：是否摘自可验证的来源以评估转录错误或通过数据提取算法自动填充）；</w:t>
      </w:r>
    </w:p>
    <w:p w14:paraId="5B6A8CE5" w14:textId="77777777" w:rsidR="00D33511" w:rsidRDefault="0086799F">
      <w:pPr>
        <w:pStyle w:val="af0"/>
        <w:numPr>
          <w:ilvl w:val="0"/>
          <w:numId w:val="6"/>
        </w:numPr>
        <w:spacing w:before="120"/>
        <w:ind w:left="1271" w:firstLineChars="0"/>
        <w:rPr>
          <w:lang w:eastAsia="zh-CN"/>
        </w:rPr>
      </w:pPr>
      <w:r>
        <w:rPr>
          <w:rFonts w:cs="宋体"/>
          <w:lang w:eastAsia="zh-CN"/>
        </w:rPr>
        <w:t>为保持完整性和一致性，遵守来源验证规程以及数据采集与记录规程；</w:t>
      </w:r>
    </w:p>
    <w:p w14:paraId="21AC2694" w14:textId="77777777" w:rsidR="00D33511" w:rsidRDefault="0086799F">
      <w:pPr>
        <w:pStyle w:val="af0"/>
        <w:numPr>
          <w:ilvl w:val="0"/>
          <w:numId w:val="6"/>
        </w:numPr>
        <w:spacing w:before="120"/>
        <w:ind w:left="1271" w:firstLineChars="0"/>
        <w:rPr>
          <w:lang w:eastAsia="zh-CN"/>
        </w:rPr>
      </w:pPr>
      <w:r>
        <w:rPr>
          <w:rFonts w:cs="宋体"/>
          <w:lang w:eastAsia="zh-CN"/>
        </w:rPr>
        <w:t>特定分析（包括校正混淆因素）所需数据的完整性（即：尽量减少缺失值或超出范围值）；</w:t>
      </w:r>
    </w:p>
    <w:p w14:paraId="6450B921" w14:textId="77777777" w:rsidR="00D33511" w:rsidRDefault="0086799F">
      <w:pPr>
        <w:pStyle w:val="af0"/>
        <w:numPr>
          <w:ilvl w:val="0"/>
          <w:numId w:val="6"/>
        </w:numPr>
        <w:spacing w:before="120"/>
        <w:ind w:left="1271" w:firstLineChars="0"/>
        <w:rPr>
          <w:lang w:eastAsia="zh-CN"/>
        </w:rPr>
      </w:pPr>
      <w:r>
        <w:rPr>
          <w:rFonts w:cs="宋体"/>
          <w:lang w:eastAsia="zh-CN"/>
        </w:rPr>
        <w:t>跨中心和随时间变化的数据一致性；</w:t>
      </w:r>
      <w:r>
        <w:rPr>
          <w:rFonts w:cs="宋体"/>
          <w:vertAlign w:val="superscript"/>
          <w:lang w:eastAsia="zh-CN"/>
        </w:rPr>
        <w:t>25</w:t>
      </w:r>
    </w:p>
    <w:p w14:paraId="07DB1E21" w14:textId="77777777" w:rsidR="00D33511" w:rsidRDefault="0086799F">
      <w:pPr>
        <w:pBdr>
          <w:top w:val="single" w:sz="4" w:space="1" w:color="auto"/>
        </w:pBdr>
        <w:wordWrap w:val="0"/>
        <w:spacing w:beforeLines="1250" w:before="3000"/>
        <w:rPr>
          <w:sz w:val="21"/>
          <w:szCs w:val="21"/>
          <w:lang w:eastAsia="zh-CN"/>
        </w:rPr>
      </w:pPr>
      <w:r>
        <w:rPr>
          <w:rFonts w:cs="宋体"/>
          <w:sz w:val="21"/>
          <w:vertAlign w:val="superscript"/>
          <w:lang w:eastAsia="zh-CN"/>
        </w:rPr>
        <w:t>22</w:t>
      </w:r>
      <w:r>
        <w:rPr>
          <w:rFonts w:cs="宋体"/>
          <w:sz w:val="21"/>
          <w:lang w:eastAsia="zh-CN"/>
        </w:rPr>
        <w:t>评价患者结局的</w:t>
      </w:r>
      <w:r>
        <w:rPr>
          <w:rFonts w:cs="宋体"/>
          <w:sz w:val="21"/>
          <w:lang w:eastAsia="zh-CN"/>
        </w:rPr>
        <w:t>AHRQ</w:t>
      </w:r>
      <w:r>
        <w:rPr>
          <w:rFonts w:cs="宋体"/>
          <w:sz w:val="21"/>
          <w:lang w:eastAsia="zh-CN"/>
        </w:rPr>
        <w:t>登记册：用户指南（第</w:t>
      </w:r>
      <w:r>
        <w:rPr>
          <w:rFonts w:cs="宋体"/>
          <w:sz w:val="21"/>
          <w:lang w:eastAsia="zh-CN"/>
        </w:rPr>
        <w:t>3</w:t>
      </w:r>
      <w:r>
        <w:rPr>
          <w:rFonts w:cs="宋体"/>
          <w:sz w:val="21"/>
          <w:lang w:eastAsia="zh-CN"/>
        </w:rPr>
        <w:t>版）第</w:t>
      </w:r>
      <w:r>
        <w:rPr>
          <w:rFonts w:cs="宋体"/>
          <w:sz w:val="21"/>
          <w:lang w:eastAsia="zh-CN"/>
        </w:rPr>
        <w:t>1</w:t>
      </w:r>
      <w:r>
        <w:rPr>
          <w:rFonts w:cs="宋体"/>
          <w:sz w:val="21"/>
          <w:lang w:eastAsia="zh-CN"/>
        </w:rPr>
        <w:t>卷第</w:t>
      </w:r>
      <w:r>
        <w:rPr>
          <w:rFonts w:cs="宋体"/>
          <w:sz w:val="21"/>
          <w:lang w:eastAsia="zh-CN"/>
        </w:rPr>
        <w:t>11</w:t>
      </w:r>
      <w:r>
        <w:rPr>
          <w:rFonts w:cs="宋体"/>
          <w:sz w:val="21"/>
          <w:lang w:eastAsia="zh-CN"/>
        </w:rPr>
        <w:t>章《数据收集和质量保证》，第</w:t>
      </w:r>
      <w:r>
        <w:rPr>
          <w:rFonts w:cs="宋体"/>
          <w:sz w:val="21"/>
          <w:lang w:eastAsia="zh-CN"/>
        </w:rPr>
        <w:t>2</w:t>
      </w:r>
      <w:r>
        <w:rPr>
          <w:rFonts w:cs="宋体"/>
          <w:sz w:val="21"/>
          <w:lang w:eastAsia="zh-CN"/>
        </w:rPr>
        <w:t>卷第</w:t>
      </w:r>
      <w:r>
        <w:rPr>
          <w:rFonts w:cs="宋体"/>
          <w:sz w:val="21"/>
          <w:lang w:eastAsia="zh-CN"/>
        </w:rPr>
        <w:t>25</w:t>
      </w:r>
      <w:r>
        <w:rPr>
          <w:rFonts w:cs="宋体"/>
          <w:sz w:val="21"/>
          <w:lang w:eastAsia="zh-CN"/>
        </w:rPr>
        <w:t>章《质量评估》。</w:t>
      </w:r>
      <w:r>
        <w:rPr>
          <w:rFonts w:cs="宋体"/>
          <w:sz w:val="21"/>
          <w:lang w:eastAsia="zh-CN"/>
        </w:rPr>
        <w:t>(</w:t>
      </w:r>
      <w:r>
        <w:rPr>
          <w:rFonts w:cs="宋体"/>
          <w:color w:val="0000FF"/>
          <w:sz w:val="21"/>
          <w:u w:val="single"/>
          <w:lang w:eastAsia="zh-CN"/>
        </w:rPr>
        <w:t>http://www.effectivehealthcare.ahrq.gov/search-for-guides-reviews-and-reports/?pageaction=displayproduct&amp;mp=1&amp;productID=1897</w:t>
      </w:r>
      <w:r>
        <w:rPr>
          <w:rFonts w:cs="宋体"/>
          <w:sz w:val="21"/>
          <w:lang w:eastAsia="zh-CN"/>
        </w:rPr>
        <w:t>)</w:t>
      </w:r>
    </w:p>
    <w:p w14:paraId="7C1F841E" w14:textId="77777777" w:rsidR="00D33511" w:rsidRDefault="0086799F">
      <w:pPr>
        <w:pBdr>
          <w:top w:val="single" w:sz="4" w:space="1" w:color="auto"/>
        </w:pBdr>
        <w:wordWrap w:val="0"/>
        <w:spacing w:beforeLines="0" w:before="0"/>
        <w:rPr>
          <w:sz w:val="21"/>
          <w:szCs w:val="21"/>
          <w:lang w:eastAsia="zh-CN"/>
        </w:rPr>
      </w:pPr>
      <w:r>
        <w:rPr>
          <w:rFonts w:cs="宋体"/>
          <w:sz w:val="21"/>
          <w:vertAlign w:val="superscript"/>
          <w:lang w:eastAsia="zh-CN"/>
        </w:rPr>
        <w:t>23</w:t>
      </w:r>
      <w:r>
        <w:rPr>
          <w:rFonts w:cs="宋体"/>
          <w:sz w:val="21"/>
          <w:lang w:eastAsia="zh-CN"/>
        </w:rPr>
        <w:t>来自于医疗器械注册工作组和医疗器械流行病学网络的报告。国家医疗器械评价体系建议。将临床治疗与研究桥接在一起的战略协调注册网络</w:t>
      </w:r>
      <w:r>
        <w:rPr>
          <w:rFonts w:cs="宋体"/>
          <w:sz w:val="21"/>
          <w:lang w:eastAsia="zh-CN"/>
        </w:rPr>
        <w:t>-2015</w:t>
      </w:r>
      <w:r>
        <w:rPr>
          <w:rFonts w:cs="宋体"/>
          <w:sz w:val="21"/>
          <w:lang w:eastAsia="zh-CN"/>
        </w:rPr>
        <w:t>年</w:t>
      </w:r>
      <w:r>
        <w:rPr>
          <w:rFonts w:cs="宋体"/>
          <w:sz w:val="21"/>
          <w:lang w:eastAsia="zh-CN"/>
        </w:rPr>
        <w:t>8</w:t>
      </w:r>
      <w:r>
        <w:rPr>
          <w:rFonts w:cs="宋体"/>
          <w:sz w:val="21"/>
          <w:lang w:eastAsia="zh-CN"/>
        </w:rPr>
        <w:t>月。可登录以下网址获取：</w:t>
      </w:r>
      <w:r>
        <w:rPr>
          <w:rFonts w:cs="宋体"/>
          <w:color w:val="0000FF"/>
          <w:sz w:val="21"/>
          <w:u w:val="single"/>
          <w:lang w:eastAsia="zh-CN"/>
        </w:rPr>
        <w:t xml:space="preserve">http://www.fda.gov/downloads/aboutfda/centersoffices/office of medical products </w:t>
      </w:r>
      <w:proofErr w:type="spellStart"/>
      <w:r>
        <w:rPr>
          <w:rFonts w:cs="宋体"/>
          <w:color w:val="0000FF"/>
          <w:sz w:val="21"/>
          <w:u w:val="single"/>
          <w:lang w:eastAsia="zh-CN"/>
        </w:rPr>
        <w:t>andtobacco</w:t>
      </w:r>
      <w:proofErr w:type="spellEnd"/>
      <w:r>
        <w:rPr>
          <w:rFonts w:cs="宋体"/>
          <w:color w:val="0000FF"/>
          <w:sz w:val="21"/>
          <w:u w:val="single"/>
          <w:lang w:eastAsia="zh-CN"/>
        </w:rPr>
        <w:t>/</w:t>
      </w:r>
      <w:proofErr w:type="spellStart"/>
      <w:r>
        <w:rPr>
          <w:rFonts w:cs="宋体"/>
          <w:color w:val="0000FF"/>
          <w:sz w:val="21"/>
          <w:u w:val="single"/>
          <w:lang w:eastAsia="zh-CN"/>
        </w:rPr>
        <w:t>cdrh</w:t>
      </w:r>
      <w:proofErr w:type="spellEnd"/>
      <w:r>
        <w:rPr>
          <w:rFonts w:cs="宋体"/>
          <w:color w:val="0000FF"/>
          <w:sz w:val="21"/>
          <w:u w:val="single"/>
          <w:lang w:eastAsia="zh-CN"/>
        </w:rPr>
        <w:t>/</w:t>
      </w:r>
      <w:proofErr w:type="spellStart"/>
      <w:r>
        <w:rPr>
          <w:rFonts w:cs="宋体"/>
          <w:color w:val="0000FF"/>
          <w:sz w:val="21"/>
          <w:u w:val="single"/>
          <w:lang w:eastAsia="zh-CN"/>
        </w:rPr>
        <w:t>cdrhreports</w:t>
      </w:r>
      <w:proofErr w:type="spellEnd"/>
      <w:r>
        <w:rPr>
          <w:rFonts w:cs="宋体"/>
          <w:color w:val="0000FF"/>
          <w:sz w:val="21"/>
          <w:u w:val="single"/>
          <w:lang w:eastAsia="zh-CN"/>
        </w:rPr>
        <w:t>/</w:t>
      </w:r>
      <w:proofErr w:type="spellStart"/>
      <w:r>
        <w:rPr>
          <w:rFonts w:cs="宋体"/>
          <w:color w:val="0000FF"/>
          <w:sz w:val="21"/>
          <w:u w:val="single"/>
          <w:lang w:eastAsia="zh-CN"/>
        </w:rPr>
        <w:t>ucm</w:t>
      </w:r>
      <w:proofErr w:type="spellEnd"/>
      <w:r>
        <w:rPr>
          <w:rFonts w:cs="宋体"/>
          <w:color w:val="0000FF"/>
          <w:sz w:val="21"/>
          <w:u w:val="single"/>
          <w:lang w:eastAsia="zh-CN"/>
        </w:rPr>
        <w:t xml:space="preserve"> 459368.pdf.</w:t>
      </w:r>
      <w:r>
        <w:rPr>
          <w:rFonts w:cs="宋体"/>
          <w:sz w:val="21"/>
          <w:lang w:eastAsia="zh-CN"/>
        </w:rPr>
        <w:t>2016</w:t>
      </w:r>
      <w:r>
        <w:rPr>
          <w:rFonts w:cs="宋体"/>
          <w:sz w:val="21"/>
          <w:lang w:eastAsia="zh-CN"/>
        </w:rPr>
        <w:t>年</w:t>
      </w:r>
      <w:r>
        <w:rPr>
          <w:rFonts w:cs="宋体"/>
          <w:sz w:val="21"/>
          <w:lang w:eastAsia="zh-CN"/>
        </w:rPr>
        <w:t>8</w:t>
      </w:r>
      <w:r>
        <w:rPr>
          <w:rFonts w:cs="宋体"/>
          <w:sz w:val="21"/>
          <w:lang w:eastAsia="zh-CN"/>
        </w:rPr>
        <w:t>月</w:t>
      </w:r>
      <w:r>
        <w:rPr>
          <w:rFonts w:cs="宋体"/>
          <w:sz w:val="21"/>
          <w:lang w:eastAsia="zh-CN"/>
        </w:rPr>
        <w:t>6</w:t>
      </w:r>
      <w:r>
        <w:rPr>
          <w:rFonts w:cs="宋体"/>
          <w:sz w:val="21"/>
          <w:lang w:eastAsia="zh-CN"/>
        </w:rPr>
        <w:t>日访问。</w:t>
      </w:r>
    </w:p>
    <w:p w14:paraId="601C7293" w14:textId="77777777" w:rsidR="00D33511" w:rsidRDefault="0086799F">
      <w:pPr>
        <w:wordWrap w:val="0"/>
        <w:spacing w:beforeLines="0" w:before="0"/>
        <w:rPr>
          <w:sz w:val="21"/>
          <w:szCs w:val="21"/>
          <w:lang w:eastAsia="zh-CN"/>
        </w:rPr>
      </w:pPr>
      <w:r>
        <w:rPr>
          <w:rFonts w:cs="宋体"/>
          <w:sz w:val="21"/>
          <w:vertAlign w:val="superscript"/>
          <w:lang w:eastAsia="zh-CN"/>
        </w:rPr>
        <w:t>24</w:t>
      </w:r>
      <w:r>
        <w:rPr>
          <w:rFonts w:cs="宋体"/>
          <w:sz w:val="21"/>
          <w:lang w:eastAsia="zh-CN"/>
        </w:rPr>
        <w:t xml:space="preserve"> IMDRF</w:t>
      </w:r>
      <w:r>
        <w:rPr>
          <w:rFonts w:cs="宋体"/>
          <w:sz w:val="21"/>
          <w:lang w:eastAsia="zh-CN"/>
        </w:rPr>
        <w:t>登记注册基本原则。可登录以下网址获取：</w:t>
      </w:r>
      <w:r>
        <w:rPr>
          <w:rFonts w:cs="宋体"/>
          <w:color w:val="0000FF"/>
          <w:sz w:val="21"/>
          <w:u w:val="single"/>
          <w:lang w:eastAsia="zh-CN"/>
        </w:rPr>
        <w:t>http://www.imdrf.org/docs/imdrf/final/commonsults/imdrf-cons-essential-principles-151124.pdf.</w:t>
      </w:r>
      <w:r>
        <w:rPr>
          <w:rFonts w:cs="宋体"/>
          <w:sz w:val="21"/>
          <w:lang w:eastAsia="zh-CN"/>
        </w:rPr>
        <w:t>2016</w:t>
      </w:r>
      <w:r>
        <w:rPr>
          <w:rFonts w:cs="宋体"/>
          <w:sz w:val="21"/>
          <w:lang w:eastAsia="zh-CN"/>
        </w:rPr>
        <w:t>年</w:t>
      </w:r>
      <w:r>
        <w:rPr>
          <w:rFonts w:cs="宋体"/>
          <w:sz w:val="21"/>
          <w:lang w:eastAsia="zh-CN"/>
        </w:rPr>
        <w:t>8</w:t>
      </w:r>
      <w:r>
        <w:rPr>
          <w:rFonts w:cs="宋体"/>
          <w:sz w:val="21"/>
          <w:lang w:eastAsia="zh-CN"/>
        </w:rPr>
        <w:t>月</w:t>
      </w:r>
      <w:r>
        <w:rPr>
          <w:rFonts w:cs="宋体"/>
          <w:sz w:val="21"/>
          <w:lang w:eastAsia="zh-CN"/>
        </w:rPr>
        <w:t>3</w:t>
      </w:r>
      <w:r>
        <w:rPr>
          <w:rFonts w:cs="宋体"/>
          <w:sz w:val="21"/>
          <w:lang w:eastAsia="zh-CN"/>
        </w:rPr>
        <w:t>日访问</w:t>
      </w:r>
    </w:p>
    <w:p w14:paraId="3E645F06" w14:textId="77777777" w:rsidR="00D33511" w:rsidRDefault="0086799F">
      <w:pPr>
        <w:wordWrap w:val="0"/>
        <w:spacing w:beforeLines="0" w:before="0"/>
      </w:pPr>
      <w:r>
        <w:rPr>
          <w:rFonts w:cs="宋体"/>
          <w:sz w:val="21"/>
          <w:vertAlign w:val="superscript"/>
        </w:rPr>
        <w:t>25</w:t>
      </w:r>
      <w:r>
        <w:rPr>
          <w:rFonts w:cs="宋体"/>
          <w:sz w:val="21"/>
        </w:rPr>
        <w:t>注册研究的</w:t>
      </w:r>
      <w:r>
        <w:rPr>
          <w:rFonts w:cs="宋体"/>
          <w:sz w:val="21"/>
        </w:rPr>
        <w:t>PCORI</w:t>
      </w:r>
      <w:r>
        <w:rPr>
          <w:rFonts w:cs="宋体"/>
          <w:sz w:val="21"/>
        </w:rPr>
        <w:t>原则</w:t>
      </w:r>
      <w:r>
        <w:rPr>
          <w:rFonts w:cs="宋体"/>
          <w:color w:val="0000FF"/>
          <w:sz w:val="21"/>
          <w:u w:val="single"/>
        </w:rPr>
        <w:t>http://www.pcori.org/sites/default/files/Standards-in-the-Conduct-of-Registry-Studies-for-Patient-Centered Outcomes-Research1.pdf</w:t>
      </w:r>
      <w:r>
        <w:rPr>
          <w:rFonts w:cs="宋体"/>
        </w:rPr>
        <w:br w:type="page"/>
      </w:r>
    </w:p>
    <w:p w14:paraId="2B9E390E" w14:textId="77777777" w:rsidR="00D33511" w:rsidRDefault="0086799F">
      <w:pPr>
        <w:pStyle w:val="af0"/>
        <w:numPr>
          <w:ilvl w:val="0"/>
          <w:numId w:val="6"/>
        </w:numPr>
        <w:spacing w:beforeLines="30" w:before="72"/>
        <w:ind w:left="1271" w:firstLineChars="0"/>
        <w:rPr>
          <w:lang w:eastAsia="zh-CN"/>
        </w:rPr>
      </w:pPr>
      <w:r>
        <w:rPr>
          <w:rFonts w:cs="宋体"/>
          <w:lang w:eastAsia="zh-CN"/>
        </w:rPr>
        <w:lastRenderedPageBreak/>
        <w:t>针对参与研究中心的数据采集与数据词典的使用情况，对正在进行的培训项目进行评价；</w:t>
      </w:r>
    </w:p>
    <w:p w14:paraId="6FFF99B0" w14:textId="77777777" w:rsidR="00D33511" w:rsidRDefault="0086799F">
      <w:pPr>
        <w:pStyle w:val="af0"/>
        <w:numPr>
          <w:ilvl w:val="0"/>
          <w:numId w:val="6"/>
        </w:numPr>
        <w:spacing w:beforeLines="30" w:before="72"/>
        <w:ind w:left="1271" w:firstLineChars="0"/>
        <w:rPr>
          <w:lang w:eastAsia="zh-CN"/>
        </w:rPr>
      </w:pPr>
      <w:r>
        <w:rPr>
          <w:rFonts w:cs="宋体"/>
          <w:lang w:eastAsia="zh-CN"/>
        </w:rPr>
        <w:t>对研究中心和数据监测情况进行评价；以及</w:t>
      </w:r>
    </w:p>
    <w:p w14:paraId="3BB7D958" w14:textId="77777777" w:rsidR="00D33511" w:rsidRDefault="0086799F">
      <w:pPr>
        <w:pStyle w:val="af0"/>
        <w:numPr>
          <w:ilvl w:val="0"/>
          <w:numId w:val="6"/>
        </w:numPr>
        <w:spacing w:beforeLines="30" w:before="72"/>
        <w:ind w:left="1271" w:firstLineChars="0"/>
        <w:rPr>
          <w:lang w:eastAsia="zh-CN"/>
        </w:rPr>
      </w:pPr>
      <w:r>
        <w:rPr>
          <w:rFonts w:cs="宋体"/>
          <w:lang w:eastAsia="zh-CN"/>
        </w:rPr>
        <w:t>采用数据质量核对程序。</w:t>
      </w:r>
    </w:p>
    <w:p w14:paraId="1719C7BC" w14:textId="77777777" w:rsidR="00D33511" w:rsidRDefault="0086799F">
      <w:pPr>
        <w:spacing w:beforeLines="30" w:before="72"/>
        <w:rPr>
          <w:lang w:eastAsia="zh-CN"/>
        </w:rPr>
      </w:pPr>
      <w:r>
        <w:rPr>
          <w:rFonts w:cs="宋体"/>
          <w:lang w:eastAsia="zh-CN"/>
        </w:rPr>
        <w:t>为了实现医疗数据在其他分析中的利用，通常需要进行数据清理和交叉引用。此类技术可以确认数据的内部一致性并发现缺失值，但不能全面判定数据的准确性和真实性。在传统临床研究中，为了验证数据的准确性和完整性，通常关键一步是将数据与源文件进行核对比较。通过各种方法进行的研究监测（如远程监测）也起着重要的作用。</w:t>
      </w:r>
      <w:r>
        <w:rPr>
          <w:rFonts w:cs="宋体"/>
          <w:vertAlign w:val="superscript"/>
          <w:lang w:eastAsia="zh-CN"/>
        </w:rPr>
        <w:t>26</w:t>
      </w:r>
      <w:r>
        <w:rPr>
          <w:rFonts w:cs="宋体"/>
          <w:lang w:eastAsia="zh-CN"/>
        </w:rPr>
        <w:t>对于预期用于监管目的的</w:t>
      </w:r>
      <w:r>
        <w:rPr>
          <w:rFonts w:cs="宋体"/>
          <w:lang w:eastAsia="zh-CN"/>
        </w:rPr>
        <w:t>RWD</w:t>
      </w:r>
      <w:r>
        <w:rPr>
          <w:rFonts w:cs="宋体"/>
          <w:lang w:eastAsia="zh-CN"/>
        </w:rPr>
        <w:t>，此类数据验证活动也同样重要。</w:t>
      </w:r>
    </w:p>
    <w:p w14:paraId="531024B4" w14:textId="77777777" w:rsidR="00D33511" w:rsidRDefault="0086799F">
      <w:pPr>
        <w:spacing w:beforeLines="30" w:before="72"/>
        <w:rPr>
          <w:lang w:eastAsia="zh-CN"/>
        </w:rPr>
      </w:pPr>
      <w:r>
        <w:rPr>
          <w:rFonts w:cs="宋体"/>
          <w:lang w:eastAsia="zh-CN"/>
        </w:rPr>
        <w:t>无论采集</w:t>
      </w:r>
      <w:r>
        <w:rPr>
          <w:rFonts w:cs="宋体"/>
          <w:lang w:eastAsia="zh-CN"/>
        </w:rPr>
        <w:t>RWD</w:t>
      </w:r>
      <w:r>
        <w:rPr>
          <w:rFonts w:cs="宋体"/>
          <w:lang w:eastAsia="zh-CN"/>
        </w:rPr>
        <w:t>的最初目的是什么，均应在数据源设计和开发阶段建立关于数据采集和质量保证的要求，以优化数据的可靠性、质量和有用性。应在详细的管理标准操作规程（</w:t>
      </w:r>
      <w:r>
        <w:rPr>
          <w:rFonts w:cs="宋体"/>
          <w:lang w:eastAsia="zh-CN"/>
        </w:rPr>
        <w:t>SOP</w:t>
      </w:r>
      <w:r>
        <w:rPr>
          <w:rFonts w:cs="宋体"/>
          <w:lang w:eastAsia="zh-CN"/>
        </w:rPr>
        <w:t>）手册中明确定义数据平台（如登记注册）使用的数据采集规程。在使用</w:t>
      </w:r>
      <w:r>
        <w:rPr>
          <w:rFonts w:cs="宋体"/>
          <w:lang w:eastAsia="zh-CN"/>
        </w:rPr>
        <w:t>RWD</w:t>
      </w:r>
      <w:r>
        <w:rPr>
          <w:rFonts w:cs="宋体"/>
          <w:lang w:eastAsia="zh-CN"/>
        </w:rPr>
        <w:t>实施回顾性研究时，为确保数据质量，标准化规程是至关重要的（可确保采用统一的系统方法来采集并清理数据）。例如，对于难以稽查的数据平台（如登记注册），基于风险的质量保证和监测计划的</w:t>
      </w:r>
      <w:r>
        <w:rPr>
          <w:rFonts w:cs="宋体"/>
          <w:lang w:eastAsia="zh-CN"/>
        </w:rPr>
        <w:t>“</w:t>
      </w:r>
      <w:r>
        <w:rPr>
          <w:rFonts w:cs="宋体"/>
          <w:lang w:eastAsia="zh-CN"/>
        </w:rPr>
        <w:t>质量体系方法</w:t>
      </w:r>
      <w:r>
        <w:rPr>
          <w:rFonts w:cs="宋体"/>
          <w:lang w:eastAsia="zh-CN"/>
        </w:rPr>
        <w:t>”</w:t>
      </w:r>
      <w:r>
        <w:rPr>
          <w:rFonts w:cs="宋体"/>
          <w:lang w:eastAsia="zh-CN"/>
        </w:rPr>
        <w:t>是可采用的实用策略。对于考虑将</w:t>
      </w:r>
      <w:r>
        <w:rPr>
          <w:rFonts w:cs="宋体"/>
          <w:lang w:eastAsia="zh-CN"/>
        </w:rPr>
        <w:t>RWD</w:t>
      </w:r>
      <w:r>
        <w:rPr>
          <w:rFonts w:cs="宋体"/>
          <w:lang w:eastAsia="zh-CN"/>
        </w:rPr>
        <w:t>用于监管目的的</w:t>
      </w:r>
      <w:r>
        <w:rPr>
          <w:rFonts w:cs="宋体"/>
          <w:lang w:eastAsia="zh-CN"/>
        </w:rPr>
        <w:t>RWD</w:t>
      </w:r>
      <w:r>
        <w:rPr>
          <w:rFonts w:cs="宋体"/>
          <w:lang w:eastAsia="zh-CN"/>
        </w:rPr>
        <w:t>来源组织或实体，应保留关于依从于</w:t>
      </w:r>
      <w:r>
        <w:rPr>
          <w:rFonts w:cs="宋体"/>
          <w:lang w:eastAsia="zh-CN"/>
        </w:rPr>
        <w:t>RWD</w:t>
      </w:r>
      <w:r>
        <w:rPr>
          <w:rFonts w:cs="宋体"/>
          <w:lang w:eastAsia="zh-CN"/>
        </w:rPr>
        <w:t>来源的既定数据质量保证和质量控制政策与规程的评估记录。</w:t>
      </w:r>
    </w:p>
    <w:p w14:paraId="2D5CEA14" w14:textId="77777777" w:rsidR="00D33511" w:rsidRDefault="0086799F">
      <w:pPr>
        <w:pStyle w:val="af0"/>
        <w:numPr>
          <w:ilvl w:val="0"/>
          <w:numId w:val="1"/>
        </w:numPr>
        <w:spacing w:beforeLines="30" w:before="72"/>
        <w:ind w:left="643" w:hangingChars="200" w:hanging="643"/>
        <w:outlineLvl w:val="0"/>
        <w:rPr>
          <w:b/>
          <w:bCs/>
          <w:sz w:val="32"/>
          <w:szCs w:val="32"/>
        </w:rPr>
      </w:pPr>
      <w:bookmarkStart w:id="14" w:name="_Toc90485552"/>
      <w:proofErr w:type="spellStart"/>
      <w:r>
        <w:rPr>
          <w:rFonts w:cs="宋体"/>
          <w:b/>
          <w:sz w:val="32"/>
        </w:rPr>
        <w:t>RWE</w:t>
      </w:r>
      <w:r>
        <w:rPr>
          <w:rFonts w:cs="宋体"/>
          <w:b/>
          <w:sz w:val="32"/>
        </w:rPr>
        <w:t>使用示例</w:t>
      </w:r>
      <w:bookmarkEnd w:id="14"/>
      <w:proofErr w:type="spellEnd"/>
    </w:p>
    <w:p w14:paraId="608CCF30" w14:textId="77777777" w:rsidR="00D33511" w:rsidRDefault="0086799F">
      <w:pPr>
        <w:spacing w:beforeLines="30" w:before="72"/>
        <w:rPr>
          <w:lang w:eastAsia="zh-CN"/>
        </w:rPr>
      </w:pPr>
      <w:r>
        <w:rPr>
          <w:rFonts w:cs="宋体"/>
          <w:lang w:eastAsia="zh-CN"/>
        </w:rPr>
        <w:t>以下案例来自于将</w:t>
      </w:r>
      <w:r>
        <w:rPr>
          <w:rFonts w:cs="宋体"/>
          <w:lang w:eastAsia="zh-CN"/>
        </w:rPr>
        <w:t>RWE</w:t>
      </w:r>
      <w:r>
        <w:rPr>
          <w:rFonts w:cs="宋体"/>
          <w:lang w:eastAsia="zh-CN"/>
        </w:rPr>
        <w:t>用于支持监管决策的实际使用。下文举例不能代表</w:t>
      </w:r>
      <w:r>
        <w:rPr>
          <w:rFonts w:cs="宋体"/>
          <w:lang w:eastAsia="zh-CN"/>
        </w:rPr>
        <w:t>RWD</w:t>
      </w:r>
      <w:r>
        <w:rPr>
          <w:rFonts w:cs="宋体"/>
          <w:lang w:eastAsia="zh-CN"/>
        </w:rPr>
        <w:t>的所有潜在用途或来源的全面列表，但说明了</w:t>
      </w:r>
      <w:r>
        <w:rPr>
          <w:rFonts w:cs="宋体"/>
          <w:lang w:eastAsia="zh-CN"/>
        </w:rPr>
        <w:t>RWE</w:t>
      </w:r>
      <w:r>
        <w:rPr>
          <w:rFonts w:cs="宋体"/>
          <w:lang w:eastAsia="zh-CN"/>
        </w:rPr>
        <w:t>可能用于支持监管决策的部分情况。</w:t>
      </w:r>
    </w:p>
    <w:p w14:paraId="14F5610C" w14:textId="77777777" w:rsidR="00D33511" w:rsidRDefault="0086799F">
      <w:pPr>
        <w:pStyle w:val="af0"/>
        <w:numPr>
          <w:ilvl w:val="0"/>
          <w:numId w:val="8"/>
        </w:numPr>
        <w:spacing w:beforeLines="30" w:before="72"/>
        <w:ind w:leftChars="200" w:left="1042" w:hangingChars="200" w:hanging="562"/>
        <w:outlineLvl w:val="1"/>
        <w:rPr>
          <w:b/>
          <w:bCs/>
          <w:sz w:val="28"/>
          <w:szCs w:val="28"/>
        </w:rPr>
      </w:pPr>
      <w:bookmarkStart w:id="15" w:name="_Toc90485553"/>
      <w:proofErr w:type="spellStart"/>
      <w:r>
        <w:rPr>
          <w:rFonts w:cs="宋体"/>
          <w:b/>
          <w:sz w:val="28"/>
        </w:rPr>
        <w:t>扩展</w:t>
      </w:r>
      <w:bookmarkEnd w:id="15"/>
      <w:r>
        <w:rPr>
          <w:rFonts w:cs="宋体"/>
          <w:b/>
          <w:sz w:val="28"/>
        </w:rPr>
        <w:t>适应症</w:t>
      </w:r>
      <w:proofErr w:type="spellEnd"/>
    </w:p>
    <w:p w14:paraId="2498BF76" w14:textId="77777777" w:rsidR="00D33511" w:rsidRDefault="0086799F">
      <w:pPr>
        <w:spacing w:beforeLines="30" w:before="72"/>
        <w:rPr>
          <w:lang w:eastAsia="zh-CN"/>
        </w:rPr>
      </w:pPr>
      <w:r>
        <w:rPr>
          <w:rFonts w:cs="宋体"/>
          <w:lang w:eastAsia="zh-CN"/>
        </w:rPr>
        <w:t>美国心脏病学会（</w:t>
      </w:r>
      <w:r>
        <w:rPr>
          <w:rFonts w:cs="宋体"/>
          <w:lang w:eastAsia="zh-CN"/>
        </w:rPr>
        <w:t>ACC</w:t>
      </w:r>
      <w:r>
        <w:rPr>
          <w:rFonts w:cs="宋体"/>
          <w:lang w:eastAsia="zh-CN"/>
        </w:rPr>
        <w:t>）于</w:t>
      </w:r>
      <w:r>
        <w:rPr>
          <w:rFonts w:cs="宋体"/>
          <w:lang w:eastAsia="zh-CN"/>
        </w:rPr>
        <w:t>1997</w:t>
      </w:r>
      <w:r>
        <w:rPr>
          <w:rFonts w:cs="宋体"/>
          <w:lang w:eastAsia="zh-CN"/>
        </w:rPr>
        <w:t>年成立了国家心血管数据登记处（</w:t>
      </w:r>
      <w:r>
        <w:rPr>
          <w:rFonts w:cs="宋体"/>
          <w:lang w:eastAsia="zh-CN"/>
        </w:rPr>
        <w:t>NCDR</w:t>
      </w:r>
      <w:r>
        <w:rPr>
          <w:rFonts w:cs="宋体"/>
          <w:lang w:eastAsia="zh-CN"/>
        </w:rPr>
        <w:t>），旨在</w:t>
      </w:r>
      <w:r>
        <w:rPr>
          <w:rFonts w:cs="宋体"/>
          <w:lang w:eastAsia="zh-CN"/>
        </w:rPr>
        <w:t>“</w:t>
      </w:r>
      <w:r>
        <w:rPr>
          <w:rFonts w:cs="宋体"/>
          <w:lang w:eastAsia="zh-CN"/>
        </w:rPr>
        <w:t>探索通过使用临床数据来改善心血管疾病治疗的策略</w:t>
      </w:r>
      <w:r>
        <w:rPr>
          <w:rFonts w:cs="宋体"/>
          <w:lang w:eastAsia="zh-CN"/>
        </w:rPr>
        <w:t>”</w:t>
      </w:r>
      <w:r>
        <w:rPr>
          <w:rFonts w:cs="宋体"/>
          <w:lang w:eastAsia="zh-CN"/>
        </w:rPr>
        <w:t>。此类注册登记旨在帮助参与者衡量、设定基准并改善心血管疾病的治疗。具体来讲，诊断用心导管插管与经皮冠状动脉介入注册登记（</w:t>
      </w:r>
      <w:r>
        <w:rPr>
          <w:rFonts w:cs="宋体"/>
          <w:lang w:eastAsia="zh-CN"/>
        </w:rPr>
        <w:t>Cath-PCI</w:t>
      </w:r>
      <w:r>
        <w:rPr>
          <w:rFonts w:cs="宋体"/>
          <w:lang w:eastAsia="zh-CN"/>
        </w:rPr>
        <w:t>注册登记）</w:t>
      </w:r>
      <w:r>
        <w:rPr>
          <w:rFonts w:cs="宋体"/>
          <w:lang w:eastAsia="zh-CN"/>
        </w:rPr>
        <w:t>“</w:t>
      </w:r>
      <w:r>
        <w:rPr>
          <w:rFonts w:cs="宋体"/>
          <w:lang w:eastAsia="zh-CN"/>
        </w:rPr>
        <w:t>评估了接受诊断用心导管插管和</w:t>
      </w:r>
      <w:r>
        <w:rPr>
          <w:rFonts w:cs="宋体"/>
          <w:lang w:eastAsia="zh-CN"/>
        </w:rPr>
        <w:t>/</w:t>
      </w:r>
      <w:r>
        <w:rPr>
          <w:rFonts w:cs="宋体"/>
          <w:lang w:eastAsia="zh-CN"/>
        </w:rPr>
        <w:t>或经皮冠状动脉介入（</w:t>
      </w:r>
      <w:r>
        <w:rPr>
          <w:rFonts w:cs="宋体"/>
          <w:lang w:eastAsia="zh-CN"/>
        </w:rPr>
        <w:t>PCI</w:t>
      </w:r>
      <w:r>
        <w:rPr>
          <w:rFonts w:cs="宋体"/>
          <w:lang w:eastAsia="zh-CN"/>
        </w:rPr>
        <w:t>）手术的心脏病患者的特征、治疗和结局，衡量了对</w:t>
      </w:r>
      <w:r>
        <w:rPr>
          <w:rFonts w:cs="宋体"/>
          <w:lang w:eastAsia="zh-CN"/>
        </w:rPr>
        <w:t>ACC/AHA</w:t>
      </w:r>
      <w:r>
        <w:rPr>
          <w:rFonts w:cs="宋体"/>
          <w:lang w:eastAsia="zh-CN"/>
        </w:rPr>
        <w:t>临床实践指导原则建议、手术性能标准和冠状动脉血运重建的相关使用标准的依从程度</w:t>
      </w:r>
      <w:r>
        <w:rPr>
          <w:rFonts w:cs="宋体"/>
          <w:lang w:eastAsia="zh-CN"/>
        </w:rPr>
        <w:t>”</w:t>
      </w:r>
      <w:r>
        <w:rPr>
          <w:rFonts w:cs="宋体"/>
          <w:lang w:eastAsia="zh-CN"/>
        </w:rPr>
        <w:t>。作为采集</w:t>
      </w:r>
      <w:r>
        <w:rPr>
          <w:rFonts w:cs="宋体"/>
          <w:lang w:eastAsia="zh-CN"/>
        </w:rPr>
        <w:t>RWD</w:t>
      </w:r>
      <w:r>
        <w:rPr>
          <w:rFonts w:cs="宋体"/>
          <w:lang w:eastAsia="zh-CN"/>
        </w:rPr>
        <w:t>的、针对常规临床实践治疗中接受已批准或许可器械治疗患者的登记注册项目，即便生成了大量的</w:t>
      </w:r>
      <w:r>
        <w:rPr>
          <w:rFonts w:cs="宋体"/>
          <w:lang w:eastAsia="zh-CN"/>
        </w:rPr>
        <w:t>RWD</w:t>
      </w:r>
      <w:r>
        <w:rPr>
          <w:rFonts w:cs="宋体"/>
          <w:lang w:eastAsia="zh-CN"/>
        </w:rPr>
        <w:t>用于支持已认可或批准适应症之外的使用，也无需</w:t>
      </w:r>
      <w:r>
        <w:rPr>
          <w:rFonts w:cs="宋体"/>
          <w:lang w:eastAsia="zh-CN"/>
        </w:rPr>
        <w:t>IDE</w:t>
      </w:r>
      <w:r>
        <w:rPr>
          <w:rFonts w:cs="宋体"/>
          <w:lang w:eastAsia="zh-CN"/>
        </w:rPr>
        <w:t>。可以使用来自于这一登记注册的</w:t>
      </w:r>
      <w:r>
        <w:rPr>
          <w:rFonts w:cs="宋体"/>
          <w:lang w:eastAsia="zh-CN"/>
        </w:rPr>
        <w:t>RWD</w:t>
      </w:r>
      <w:r>
        <w:rPr>
          <w:rFonts w:cs="宋体"/>
          <w:lang w:eastAsia="zh-CN"/>
        </w:rPr>
        <w:t>来验证是否有机会扩展登记注册中采集到的器械标签。如果制造商希望扩展</w:t>
      </w:r>
      <w:r>
        <w:rPr>
          <w:rFonts w:cs="宋体" w:hint="eastAsia"/>
          <w:lang w:eastAsia="zh-CN"/>
        </w:rPr>
        <w:t>适应症</w:t>
      </w:r>
      <w:r>
        <w:rPr>
          <w:rFonts w:cs="宋体"/>
          <w:lang w:eastAsia="zh-CN"/>
        </w:rPr>
        <w:t>，则此类</w:t>
      </w:r>
      <w:r>
        <w:rPr>
          <w:rFonts w:cs="宋体"/>
          <w:lang w:eastAsia="zh-CN"/>
        </w:rPr>
        <w:t>RWD</w:t>
      </w:r>
      <w:r>
        <w:rPr>
          <w:rFonts w:cs="宋体"/>
          <w:lang w:eastAsia="zh-CN"/>
        </w:rPr>
        <w:t>可提供充足的证据支持（具体取决于具体器械、适应证和分析）。</w:t>
      </w:r>
    </w:p>
    <w:p w14:paraId="12F5CAE4" w14:textId="77777777" w:rsidR="00D33511" w:rsidRDefault="0086799F">
      <w:pPr>
        <w:pBdr>
          <w:top w:val="single" w:sz="4" w:space="1" w:color="auto"/>
        </w:pBdr>
        <w:wordWrap w:val="0"/>
        <w:spacing w:before="120"/>
        <w:rPr>
          <w:lang w:eastAsia="zh-CN"/>
        </w:rPr>
      </w:pPr>
      <w:r>
        <w:rPr>
          <w:rFonts w:cs="宋体"/>
          <w:sz w:val="21"/>
          <w:vertAlign w:val="superscript"/>
        </w:rPr>
        <w:t>26</w:t>
      </w:r>
      <w:r>
        <w:rPr>
          <w:rFonts w:cs="宋体"/>
          <w:sz w:val="21"/>
        </w:rPr>
        <w:t>临床研究监督：基于风险的监督方法（注册研究的</w:t>
      </w:r>
      <w:r>
        <w:rPr>
          <w:rFonts w:cs="宋体"/>
          <w:sz w:val="21"/>
        </w:rPr>
        <w:t>PCORI</w:t>
      </w:r>
      <w:r>
        <w:rPr>
          <w:rFonts w:cs="宋体"/>
          <w:sz w:val="21"/>
        </w:rPr>
        <w:t>原则）（</w:t>
      </w:r>
      <w:hyperlink r:id="rId13" w:history="1">
        <w:r>
          <w:rPr>
            <w:rStyle w:val="a7"/>
            <w:rFonts w:cs="宋体"/>
            <w:sz w:val="21"/>
          </w:rPr>
          <w:t>http://www.pcori.org/sites/default/files/Standards-in-the-Conduct-of-Registry-Studies-for-Patient-Centered-Outcomes-Research1.pdf</w:t>
        </w:r>
      </w:hyperlink>
      <w:r>
        <w:rPr>
          <w:rFonts w:cs="宋体"/>
          <w:sz w:val="21"/>
        </w:rPr>
        <w:t>）</w:t>
      </w:r>
      <w:r>
        <w:rPr>
          <w:rFonts w:cs="宋体" w:hint="eastAsia"/>
          <w:sz w:val="21"/>
          <w:lang w:eastAsia="zh-CN"/>
        </w:rPr>
        <w:t>。</w:t>
      </w:r>
    </w:p>
    <w:p w14:paraId="7A754911" w14:textId="3A33491D" w:rsidR="00D33511" w:rsidRDefault="0086799F">
      <w:pPr>
        <w:spacing w:before="120"/>
        <w:rPr>
          <w:lang w:eastAsia="zh-CN"/>
        </w:rPr>
      </w:pPr>
      <w:r>
        <w:rPr>
          <w:rFonts w:cs="宋体"/>
          <w:lang w:eastAsia="zh-CN"/>
        </w:rPr>
        <w:lastRenderedPageBreak/>
        <w:t>另举一例，有一种第</w:t>
      </w:r>
      <w:r>
        <w:rPr>
          <w:rFonts w:cs="宋体"/>
          <w:lang w:eastAsia="zh-CN"/>
        </w:rPr>
        <w:t>III</w:t>
      </w:r>
      <w:r>
        <w:rPr>
          <w:rFonts w:cs="宋体"/>
          <w:lang w:eastAsia="zh-CN"/>
        </w:rPr>
        <w:t>类器械，由于设计方面的技术进步，其临床可接受的用途扩展至已批准的适应症之外。很少有已发表的数据可用于支持新适应</w:t>
      </w:r>
      <w:r>
        <w:rPr>
          <w:rFonts w:cs="宋体" w:hint="eastAsia"/>
          <w:lang w:eastAsia="zh-CN"/>
        </w:rPr>
        <w:t>症</w:t>
      </w:r>
      <w:r>
        <w:rPr>
          <w:rFonts w:cs="宋体"/>
          <w:lang w:eastAsia="zh-CN"/>
        </w:rPr>
        <w:t>的安全性和有效性的合理保证。为了解决新适应症缺乏支持数据的问题，相关医疗协会建立了国家注册登记处，以采集在参与机构植入了该器械的所有患者的安全性和有效性信息。该登记还使用了经过确认的匹配算法，可将登记注册记录与管理用医疗赔付数据相关联，用作补充数据集来采集长期结果。在获得</w:t>
      </w:r>
      <w:r>
        <w:rPr>
          <w:rFonts w:cs="宋体"/>
          <w:lang w:eastAsia="zh-CN"/>
        </w:rPr>
        <w:t>IDE</w:t>
      </w:r>
      <w:r>
        <w:rPr>
          <w:rFonts w:cs="宋体"/>
          <w:lang w:eastAsia="zh-CN"/>
        </w:rPr>
        <w:t>申请批准后，使用注册登记数据的采集与分析基础设施进行了研究，研究重点是将器械用于已批准的适应症之外的用途，并要求进行变更以采集特定随访数据（标准治疗中未进行此类活动）。</w:t>
      </w:r>
      <w:r>
        <w:rPr>
          <w:rFonts w:cs="宋体"/>
          <w:lang w:eastAsia="zh-CN"/>
        </w:rPr>
        <w:t>FDA</w:t>
      </w:r>
      <w:r>
        <w:rPr>
          <w:rFonts w:cs="宋体"/>
          <w:lang w:eastAsia="zh-CN"/>
        </w:rPr>
        <w:t>希望</w:t>
      </w:r>
      <w:r>
        <w:rPr>
          <w:rFonts w:cs="宋体"/>
          <w:lang w:eastAsia="zh-CN"/>
        </w:rPr>
        <w:t>RWD</w:t>
      </w:r>
      <w:r>
        <w:rPr>
          <w:rFonts w:cs="宋体"/>
          <w:lang w:eastAsia="zh-CN"/>
        </w:rPr>
        <w:t>的质量足以解决重要安全性问题，并支持该器械的标签变更或其他监管决策。</w:t>
      </w:r>
    </w:p>
    <w:p w14:paraId="008112E1" w14:textId="77777777" w:rsidR="00D33511" w:rsidRDefault="0086799F">
      <w:pPr>
        <w:pStyle w:val="af0"/>
        <w:numPr>
          <w:ilvl w:val="0"/>
          <w:numId w:val="8"/>
        </w:numPr>
        <w:spacing w:before="120"/>
        <w:ind w:leftChars="200" w:left="1042" w:hangingChars="200" w:hanging="562"/>
        <w:outlineLvl w:val="1"/>
        <w:rPr>
          <w:b/>
          <w:bCs/>
          <w:sz w:val="28"/>
          <w:szCs w:val="28"/>
          <w:lang w:eastAsia="zh-CN"/>
        </w:rPr>
      </w:pPr>
      <w:bookmarkStart w:id="16" w:name="_Toc90485554"/>
      <w:r>
        <w:rPr>
          <w:rFonts w:cs="宋体"/>
          <w:b/>
          <w:sz w:val="28"/>
          <w:lang w:eastAsia="zh-CN"/>
        </w:rPr>
        <w:t>上市后监督研究（第</w:t>
      </w:r>
      <w:r>
        <w:rPr>
          <w:rFonts w:cs="宋体"/>
          <w:b/>
          <w:sz w:val="28"/>
          <w:lang w:eastAsia="zh-CN"/>
        </w:rPr>
        <w:t>522</w:t>
      </w:r>
      <w:r>
        <w:rPr>
          <w:rFonts w:cs="宋体"/>
          <w:b/>
          <w:sz w:val="28"/>
          <w:lang w:eastAsia="zh-CN"/>
        </w:rPr>
        <w:t>节）</w:t>
      </w:r>
      <w:bookmarkEnd w:id="16"/>
    </w:p>
    <w:p w14:paraId="72BE0565" w14:textId="03C4917E" w:rsidR="00D33511" w:rsidRDefault="0086799F">
      <w:pPr>
        <w:spacing w:before="120"/>
        <w:rPr>
          <w:lang w:eastAsia="zh-CN"/>
        </w:rPr>
      </w:pPr>
      <w:r>
        <w:rPr>
          <w:rFonts w:cs="宋体"/>
          <w:lang w:eastAsia="zh-CN"/>
        </w:rPr>
        <w:t>根据《联邦食品、药品和化妆品法案》第</w:t>
      </w:r>
      <w:r>
        <w:rPr>
          <w:rFonts w:cs="宋体"/>
          <w:lang w:eastAsia="zh-CN"/>
        </w:rPr>
        <w:t>522</w:t>
      </w:r>
      <w:r>
        <w:rPr>
          <w:rFonts w:cs="宋体"/>
          <w:lang w:eastAsia="zh-CN"/>
        </w:rPr>
        <w:t>节，</w:t>
      </w:r>
      <w:r>
        <w:rPr>
          <w:rFonts w:cs="宋体"/>
          <w:lang w:eastAsia="zh-CN"/>
        </w:rPr>
        <w:t>FDA</w:t>
      </w:r>
      <w:r>
        <w:rPr>
          <w:rFonts w:cs="宋体"/>
          <w:lang w:eastAsia="zh-CN"/>
        </w:rPr>
        <w:t>已经发布了与第</w:t>
      </w:r>
      <w:r>
        <w:rPr>
          <w:rFonts w:cs="宋体"/>
          <w:lang w:eastAsia="zh-CN"/>
        </w:rPr>
        <w:t>II</w:t>
      </w:r>
      <w:r>
        <w:rPr>
          <w:rFonts w:cs="宋体"/>
          <w:lang w:eastAsia="zh-CN"/>
        </w:rPr>
        <w:t>类器械的患者安全性问题研究相关的一系列上市后监督研究指令。此类</w:t>
      </w:r>
      <w:r>
        <w:rPr>
          <w:rFonts w:cs="宋体"/>
          <w:lang w:eastAsia="zh-CN"/>
        </w:rPr>
        <w:t>522</w:t>
      </w:r>
      <w:r>
        <w:rPr>
          <w:rFonts w:cs="宋体"/>
          <w:lang w:eastAsia="zh-CN"/>
        </w:rPr>
        <w:t>指令包括了来自于不同制造商但预期用途、设计和其他特征均相似的多种器械，因此监督问题是相同的。为遵守指令，诸多制造商决定就这一领域与临床专业协会合作，并与</w:t>
      </w:r>
      <w:r>
        <w:rPr>
          <w:rFonts w:cs="宋体"/>
          <w:lang w:eastAsia="zh-CN"/>
        </w:rPr>
        <w:t>FDA</w:t>
      </w:r>
      <w:r>
        <w:rPr>
          <w:rFonts w:cs="宋体"/>
          <w:lang w:eastAsia="zh-CN"/>
        </w:rPr>
        <w:t>合作建立患者注册登记，以便收集所需数据来解决公共卫生问题。</w:t>
      </w:r>
      <w:r>
        <w:rPr>
          <w:rFonts w:cs="宋体" w:hint="eastAsia"/>
          <w:lang w:eastAsia="zh-CN"/>
        </w:rPr>
        <w:t>无需</w:t>
      </w:r>
      <w:r>
        <w:rPr>
          <w:rFonts w:cs="宋体"/>
          <w:lang w:eastAsia="zh-CN"/>
        </w:rPr>
        <w:t>IDE</w:t>
      </w:r>
      <w:r>
        <w:rPr>
          <w:rFonts w:cs="宋体" w:hint="eastAsia"/>
          <w:lang w:eastAsia="zh-CN"/>
        </w:rPr>
        <w:t>是</w:t>
      </w:r>
      <w:r>
        <w:rPr>
          <w:rFonts w:cs="宋体"/>
          <w:lang w:eastAsia="zh-CN"/>
        </w:rPr>
        <w:t>因为</w:t>
      </w:r>
      <w:r>
        <w:rPr>
          <w:rFonts w:cs="宋体"/>
          <w:lang w:eastAsia="zh-CN"/>
        </w:rPr>
        <w:t>522</w:t>
      </w:r>
      <w:r>
        <w:rPr>
          <w:rFonts w:cs="宋体"/>
          <w:lang w:eastAsia="zh-CN"/>
        </w:rPr>
        <w:t>指令侧重于按标签使用的器械。建立的注册登记可用于采集所有该疾病患者的</w:t>
      </w:r>
      <w:r>
        <w:rPr>
          <w:rFonts w:cs="宋体"/>
          <w:lang w:eastAsia="zh-CN"/>
        </w:rPr>
        <w:t>RWD</w:t>
      </w:r>
      <w:r>
        <w:rPr>
          <w:rFonts w:cs="宋体"/>
          <w:lang w:eastAsia="zh-CN"/>
        </w:rPr>
        <w:t>，包括使用相关器械、其他器械和通过医疗管理接受治疗的患者。制造商能够共享对照产品组（包括未使用相关器械的治疗）。此外，在设计之初，注册登记就是用于生成监管质量的</w:t>
      </w:r>
      <w:r>
        <w:rPr>
          <w:rFonts w:cs="宋体"/>
          <w:lang w:eastAsia="zh-CN"/>
        </w:rPr>
        <w:t>RWD</w:t>
      </w:r>
      <w:r>
        <w:rPr>
          <w:rFonts w:cs="宋体"/>
          <w:lang w:eastAsia="zh-CN"/>
        </w:rPr>
        <w:t>并达到改善研究和质量的目的，所以数据质量检查和电子控制是初始设计与实施的一部分。由于这一注册登记的开发流程需要花费大量时间，所以</w:t>
      </w:r>
      <w:r>
        <w:rPr>
          <w:rFonts w:cs="宋体"/>
          <w:lang w:eastAsia="zh-CN"/>
        </w:rPr>
        <w:t>FDA</w:t>
      </w:r>
      <w:r>
        <w:rPr>
          <w:rFonts w:cs="宋体"/>
          <w:lang w:eastAsia="zh-CN"/>
        </w:rPr>
        <w:t>愿意批准制造商延期对</w:t>
      </w:r>
      <w:r>
        <w:rPr>
          <w:rFonts w:cs="宋体"/>
          <w:lang w:eastAsia="zh-CN"/>
        </w:rPr>
        <w:t>522</w:t>
      </w:r>
      <w:r>
        <w:rPr>
          <w:rFonts w:cs="宋体"/>
          <w:lang w:eastAsia="zh-CN"/>
        </w:rPr>
        <w:t>指令做出回应，只要进度仍在不断推进即可。注册登记的设计保证了还可以将注册登记（以及其他的方案和其他传统研究操作要素）用于实施上市前研究，以便支持未来的上市后申请。</w:t>
      </w:r>
    </w:p>
    <w:p w14:paraId="7EE1F4B7" w14:textId="77777777" w:rsidR="00D33511" w:rsidRDefault="0086799F">
      <w:pPr>
        <w:spacing w:before="120"/>
        <w:rPr>
          <w:lang w:eastAsia="zh-CN"/>
        </w:rPr>
      </w:pPr>
      <w:r>
        <w:rPr>
          <w:rFonts w:cs="宋体"/>
          <w:lang w:eastAsia="zh-CN"/>
        </w:rPr>
        <w:br w:type="page"/>
      </w:r>
    </w:p>
    <w:p w14:paraId="3D7613FB" w14:textId="77777777" w:rsidR="00D33511" w:rsidRDefault="0086799F">
      <w:pPr>
        <w:pStyle w:val="af0"/>
        <w:numPr>
          <w:ilvl w:val="0"/>
          <w:numId w:val="8"/>
        </w:numPr>
        <w:spacing w:before="120"/>
        <w:ind w:leftChars="200" w:left="1042" w:hangingChars="200" w:hanging="562"/>
        <w:outlineLvl w:val="1"/>
        <w:rPr>
          <w:b/>
          <w:bCs/>
          <w:sz w:val="28"/>
          <w:szCs w:val="28"/>
          <w:lang w:eastAsia="zh-CN"/>
        </w:rPr>
      </w:pPr>
      <w:bookmarkStart w:id="17" w:name="_Toc90485555"/>
      <w:r>
        <w:rPr>
          <w:rFonts w:cs="宋体"/>
          <w:b/>
          <w:sz w:val="28"/>
          <w:lang w:eastAsia="zh-CN"/>
        </w:rPr>
        <w:lastRenderedPageBreak/>
        <w:t>作为批准条件的批准后器械监督</w:t>
      </w:r>
      <w:bookmarkEnd w:id="17"/>
    </w:p>
    <w:p w14:paraId="75E955A1" w14:textId="77777777" w:rsidR="00D33511" w:rsidRDefault="0086799F">
      <w:pPr>
        <w:spacing w:before="120"/>
        <w:rPr>
          <w:lang w:eastAsia="zh-CN"/>
        </w:rPr>
      </w:pPr>
      <w:r>
        <w:rPr>
          <w:rFonts w:cs="宋体"/>
          <w:lang w:eastAsia="zh-CN"/>
        </w:rPr>
        <w:t>通常来讲，永久性植入物可供患者使用的时间要远远长于上市前临床试验的合理时间。例如，在一项试验中，可对患者随访至植入后</w:t>
      </w:r>
      <w:r>
        <w:rPr>
          <w:rFonts w:cs="宋体"/>
          <w:lang w:eastAsia="zh-CN"/>
        </w:rPr>
        <w:t>2</w:t>
      </w:r>
      <w:r>
        <w:rPr>
          <w:rFonts w:cs="宋体"/>
          <w:lang w:eastAsia="zh-CN"/>
        </w:rPr>
        <w:t>年，而无法提供该植入器械的</w:t>
      </w:r>
      <w:r>
        <w:rPr>
          <w:rFonts w:cs="宋体"/>
          <w:lang w:eastAsia="zh-CN"/>
        </w:rPr>
        <w:t>7</w:t>
      </w:r>
      <w:r>
        <w:rPr>
          <w:rFonts w:cs="宋体"/>
          <w:lang w:eastAsia="zh-CN"/>
        </w:rPr>
        <w:t>至</w:t>
      </w:r>
      <w:r>
        <w:rPr>
          <w:rFonts w:cs="宋体"/>
          <w:lang w:eastAsia="zh-CN"/>
        </w:rPr>
        <w:t>10</w:t>
      </w:r>
      <w:r>
        <w:rPr>
          <w:rFonts w:cs="宋体"/>
          <w:lang w:eastAsia="zh-CN"/>
        </w:rPr>
        <w:t>年寿命内的数据。传统上看，</w:t>
      </w:r>
      <w:r>
        <w:rPr>
          <w:rFonts w:cs="宋体"/>
          <w:lang w:eastAsia="zh-CN"/>
        </w:rPr>
        <w:t>FDA</w:t>
      </w:r>
      <w:r>
        <w:rPr>
          <w:rFonts w:cs="宋体"/>
          <w:lang w:eastAsia="zh-CN"/>
        </w:rPr>
        <w:t>会要求延长对上市前患者队列的随访，并进行其他的新入组研究，以采集数百至数千名患者的信息，随访期可持续</w:t>
      </w:r>
      <w:r>
        <w:rPr>
          <w:rFonts w:cs="宋体" w:hint="eastAsia"/>
          <w:lang w:eastAsia="zh-CN"/>
        </w:rPr>
        <w:t>至</w:t>
      </w:r>
      <w:r>
        <w:rPr>
          <w:rFonts w:cs="宋体"/>
          <w:lang w:eastAsia="zh-CN"/>
        </w:rPr>
        <w:t>植入器械的整个寿命。有些临床专业协会已经建立了注册登记，可以采集接受此类器械的患者</w:t>
      </w:r>
      <w:r>
        <w:rPr>
          <w:rFonts w:cs="宋体"/>
          <w:lang w:eastAsia="zh-CN"/>
        </w:rPr>
        <w:t>RWD</w:t>
      </w:r>
      <w:r>
        <w:rPr>
          <w:rFonts w:cs="宋体"/>
          <w:lang w:eastAsia="zh-CN"/>
        </w:rPr>
        <w:t>。</w:t>
      </w:r>
      <w:r>
        <w:rPr>
          <w:rFonts w:cs="宋体"/>
          <w:lang w:eastAsia="zh-CN"/>
        </w:rPr>
        <w:t>FDA</w:t>
      </w:r>
      <w:r>
        <w:rPr>
          <w:rFonts w:cs="宋体"/>
          <w:lang w:eastAsia="zh-CN"/>
        </w:rPr>
        <w:t>已经与制造商和专业协会一同评价了此类注册登记，并且发现就特定健康结局而言，具有可靠性。如果有充足的</w:t>
      </w:r>
      <w:r>
        <w:rPr>
          <w:rFonts w:cs="宋体"/>
          <w:lang w:eastAsia="zh-CN"/>
        </w:rPr>
        <w:t>RWD</w:t>
      </w:r>
      <w:r>
        <w:rPr>
          <w:rFonts w:cs="宋体"/>
          <w:lang w:eastAsia="zh-CN"/>
        </w:rPr>
        <w:t>能够解决批准后研究（</w:t>
      </w:r>
      <w:r>
        <w:rPr>
          <w:rFonts w:cs="宋体"/>
          <w:lang w:eastAsia="zh-CN"/>
        </w:rPr>
        <w:t>PAS</w:t>
      </w:r>
      <w:r>
        <w:rPr>
          <w:rFonts w:cs="宋体"/>
          <w:lang w:eastAsia="zh-CN"/>
        </w:rPr>
        <w:t>）要求的问题，那么</w:t>
      </w:r>
      <w:r>
        <w:rPr>
          <w:rFonts w:cs="宋体"/>
          <w:lang w:eastAsia="zh-CN"/>
        </w:rPr>
        <w:t>FDA</w:t>
      </w:r>
      <w:r>
        <w:rPr>
          <w:rFonts w:cs="宋体"/>
          <w:lang w:eastAsia="zh-CN"/>
        </w:rPr>
        <w:t>可以发</w:t>
      </w:r>
      <w:r>
        <w:rPr>
          <w:rFonts w:cs="宋体" w:hint="eastAsia"/>
          <w:lang w:eastAsia="zh-CN"/>
        </w:rPr>
        <w:t>布</w:t>
      </w:r>
      <w:r>
        <w:rPr>
          <w:rFonts w:cs="宋体"/>
          <w:lang w:eastAsia="zh-CN"/>
        </w:rPr>
        <w:t>有条件批准，并要求采集</w:t>
      </w:r>
      <w:r>
        <w:rPr>
          <w:rFonts w:cs="宋体"/>
          <w:lang w:eastAsia="zh-CN"/>
        </w:rPr>
        <w:t>/</w:t>
      </w:r>
      <w:r>
        <w:rPr>
          <w:rFonts w:cs="宋体"/>
          <w:lang w:eastAsia="zh-CN"/>
        </w:rPr>
        <w:t>上报关于器械的</w:t>
      </w:r>
      <w:r>
        <w:rPr>
          <w:rFonts w:cs="宋体"/>
          <w:lang w:eastAsia="zh-CN"/>
        </w:rPr>
        <w:t>RWD</w:t>
      </w:r>
      <w:r>
        <w:rPr>
          <w:rFonts w:cs="宋体"/>
          <w:lang w:eastAsia="zh-CN"/>
        </w:rPr>
        <w:t>。</w:t>
      </w:r>
    </w:p>
    <w:p w14:paraId="1386EC57" w14:textId="270E32E4" w:rsidR="00D33511" w:rsidRDefault="0086799F">
      <w:pPr>
        <w:spacing w:before="120"/>
        <w:rPr>
          <w:lang w:eastAsia="zh-CN"/>
        </w:rPr>
      </w:pPr>
      <w:r>
        <w:rPr>
          <w:rFonts w:cs="宋体"/>
          <w:lang w:eastAsia="zh-CN"/>
        </w:rPr>
        <w:t>例如，新突破的第</w:t>
      </w:r>
      <w:r>
        <w:rPr>
          <w:rFonts w:cs="宋体"/>
          <w:lang w:eastAsia="zh-CN"/>
        </w:rPr>
        <w:t>III</w:t>
      </w:r>
      <w:r>
        <w:rPr>
          <w:rFonts w:cs="宋体"/>
          <w:lang w:eastAsia="zh-CN"/>
        </w:rPr>
        <w:t>类医疗器械已获得批准（基于前瞻性随机对照临床试验数据）。在</w:t>
      </w:r>
      <w:r>
        <w:rPr>
          <w:rFonts w:cs="宋体"/>
          <w:lang w:eastAsia="zh-CN"/>
        </w:rPr>
        <w:t>PMA</w:t>
      </w:r>
      <w:r>
        <w:rPr>
          <w:rFonts w:cs="宋体"/>
          <w:lang w:eastAsia="zh-CN"/>
        </w:rPr>
        <w:t>审评流程的早期，制造商就开始考虑上市后承诺，并开始与</w:t>
      </w:r>
      <w:r>
        <w:rPr>
          <w:rFonts w:cs="宋体"/>
          <w:lang w:eastAsia="zh-CN"/>
        </w:rPr>
        <w:t>FDA</w:t>
      </w:r>
      <w:r>
        <w:rPr>
          <w:rFonts w:cs="宋体"/>
          <w:lang w:eastAsia="zh-CN"/>
        </w:rPr>
        <w:t>和利益相关方进行讨论。启动了一项登记注册，其生成的</w:t>
      </w:r>
      <w:r>
        <w:rPr>
          <w:rFonts w:cs="宋体"/>
          <w:lang w:eastAsia="zh-CN"/>
        </w:rPr>
        <w:t>RWD</w:t>
      </w:r>
      <w:r>
        <w:rPr>
          <w:rFonts w:cs="宋体"/>
          <w:lang w:eastAsia="zh-CN"/>
        </w:rPr>
        <w:t>符合</w:t>
      </w:r>
      <w:r>
        <w:rPr>
          <w:rFonts w:cs="宋体"/>
          <w:lang w:eastAsia="zh-CN"/>
        </w:rPr>
        <w:t>FDA</w:t>
      </w:r>
      <w:r>
        <w:rPr>
          <w:rFonts w:cs="宋体"/>
          <w:lang w:eastAsia="zh-CN"/>
        </w:rPr>
        <w:t>数据要求和其他要求。由于新的登记注册建立的非常早，足以收集关于自器械批准起接受器械的所有患者的信息，所以</w:t>
      </w:r>
      <w:r>
        <w:rPr>
          <w:rFonts w:cs="宋体"/>
          <w:lang w:eastAsia="zh-CN"/>
        </w:rPr>
        <w:t>FDA</w:t>
      </w:r>
      <w:r>
        <w:rPr>
          <w:rFonts w:cs="宋体"/>
          <w:lang w:eastAsia="zh-CN"/>
        </w:rPr>
        <w:t>可以提供有条件的早期器械批准，只需在上市后条件下进一步可靠收集并上报</w:t>
      </w:r>
      <w:r>
        <w:rPr>
          <w:rFonts w:cs="宋体"/>
          <w:lang w:eastAsia="zh-CN"/>
        </w:rPr>
        <w:t>RWD</w:t>
      </w:r>
      <w:r>
        <w:rPr>
          <w:rFonts w:cs="宋体"/>
          <w:lang w:eastAsia="zh-CN"/>
        </w:rPr>
        <w:t>。自此，此项注册登记被用于</w:t>
      </w:r>
      <w:r>
        <w:rPr>
          <w:rFonts w:cs="宋体"/>
          <w:lang w:eastAsia="zh-CN"/>
        </w:rPr>
        <w:t>a</w:t>
      </w:r>
      <w:r>
        <w:rPr>
          <w:rFonts w:cs="宋体"/>
          <w:lang w:eastAsia="zh-CN"/>
        </w:rPr>
        <w:t>）采集后续的类似设计和适应</w:t>
      </w:r>
      <w:r>
        <w:rPr>
          <w:rFonts w:cs="宋体" w:hint="eastAsia"/>
          <w:lang w:eastAsia="zh-CN"/>
        </w:rPr>
        <w:t>症</w:t>
      </w:r>
      <w:r>
        <w:rPr>
          <w:rFonts w:cs="宋体"/>
          <w:lang w:eastAsia="zh-CN"/>
        </w:rPr>
        <w:t>的器械的监督数据；</w:t>
      </w:r>
      <w:r>
        <w:rPr>
          <w:rFonts w:cs="宋体"/>
          <w:lang w:eastAsia="zh-CN"/>
        </w:rPr>
        <w:t>b</w:t>
      </w:r>
      <w:r>
        <w:rPr>
          <w:rFonts w:cs="宋体"/>
          <w:lang w:eastAsia="zh-CN"/>
        </w:rPr>
        <w:t>）采集并回顾性地分析所有器械使用</w:t>
      </w:r>
      <w:r>
        <w:rPr>
          <w:rFonts w:cs="宋体"/>
          <w:lang w:eastAsia="zh-CN"/>
        </w:rPr>
        <w:t>RWD</w:t>
      </w:r>
      <w:r>
        <w:rPr>
          <w:rFonts w:cs="宋体"/>
          <w:lang w:eastAsia="zh-CN"/>
        </w:rPr>
        <w:t>，以支持适应症的新扩展；</w:t>
      </w:r>
      <w:r>
        <w:rPr>
          <w:rFonts w:cs="宋体"/>
          <w:lang w:eastAsia="zh-CN"/>
        </w:rPr>
        <w:t>c</w:t>
      </w:r>
      <w:r>
        <w:rPr>
          <w:rFonts w:cs="宋体"/>
          <w:lang w:eastAsia="zh-CN"/>
        </w:rPr>
        <w:t>）基于新器械或已批准器械的新一代产品的</w:t>
      </w:r>
      <w:r>
        <w:rPr>
          <w:rFonts w:cs="宋体"/>
          <w:lang w:eastAsia="zh-CN"/>
        </w:rPr>
        <w:t>IDE</w:t>
      </w:r>
      <w:r>
        <w:rPr>
          <w:rFonts w:cs="宋体"/>
          <w:lang w:eastAsia="zh-CN"/>
        </w:rPr>
        <w:t>，支持嵌入式前瞻性临床研究。对于注册登记的一般数据采集活动，无需</w:t>
      </w:r>
      <w:r>
        <w:rPr>
          <w:rFonts w:cs="宋体"/>
          <w:lang w:eastAsia="zh-CN"/>
        </w:rPr>
        <w:t>IDE</w:t>
      </w:r>
      <w:r>
        <w:rPr>
          <w:rFonts w:cs="宋体"/>
          <w:lang w:eastAsia="zh-CN"/>
        </w:rPr>
        <w:t>，因为其中采集了关于已批准的医疗器械的所有使用数据，并且不会影响治疗决策和</w:t>
      </w:r>
      <w:r>
        <w:rPr>
          <w:rFonts w:cs="宋体"/>
          <w:lang w:eastAsia="zh-CN"/>
        </w:rPr>
        <w:t>/</w:t>
      </w:r>
      <w:r>
        <w:rPr>
          <w:rFonts w:cs="宋体"/>
          <w:lang w:eastAsia="zh-CN"/>
        </w:rPr>
        <w:t>或患者接受的后续治疗。对器械使用（用于已批准的适应症之外）</w:t>
      </w:r>
      <w:r>
        <w:rPr>
          <w:rFonts w:cs="宋体"/>
          <w:lang w:eastAsia="zh-CN"/>
        </w:rPr>
        <w:t>RWD</w:t>
      </w:r>
      <w:r>
        <w:rPr>
          <w:rFonts w:cs="宋体"/>
          <w:lang w:eastAsia="zh-CN"/>
        </w:rPr>
        <w:t>的回顾性分析无需</w:t>
      </w:r>
      <w:r>
        <w:rPr>
          <w:rFonts w:cs="宋体"/>
          <w:lang w:eastAsia="zh-CN"/>
        </w:rPr>
        <w:t>IDE</w:t>
      </w:r>
      <w:r>
        <w:rPr>
          <w:rFonts w:cs="宋体"/>
          <w:lang w:eastAsia="zh-CN"/>
        </w:rPr>
        <w:t>，原因是治疗决策不会受到预期的未来分析的影响，但由于人类受试者保护问题，所以</w:t>
      </w:r>
      <w:r>
        <w:rPr>
          <w:rFonts w:cs="宋体"/>
          <w:lang w:eastAsia="zh-CN"/>
        </w:rPr>
        <w:t>IRB</w:t>
      </w:r>
      <w:r>
        <w:rPr>
          <w:rFonts w:cs="宋体"/>
          <w:lang w:eastAsia="zh-CN"/>
        </w:rPr>
        <w:t>进行了审评。但是，如果基于登记注册来研究某一新的、未经批准的重大风险器械，临床研究的前瞻性入组则将需要</w:t>
      </w:r>
      <w:r>
        <w:rPr>
          <w:rFonts w:cs="宋体"/>
          <w:lang w:eastAsia="zh-CN"/>
        </w:rPr>
        <w:t>IDE</w:t>
      </w:r>
      <w:r>
        <w:rPr>
          <w:rFonts w:cs="宋体"/>
          <w:lang w:eastAsia="zh-CN"/>
        </w:rPr>
        <w:t>。与之相似，对于已批准器械的新适应症，前瞻性、非观察性临床研究可能也会需要</w:t>
      </w:r>
      <w:r>
        <w:rPr>
          <w:rFonts w:cs="宋体"/>
          <w:lang w:eastAsia="zh-CN"/>
        </w:rPr>
        <w:t>IDE</w:t>
      </w:r>
      <w:r>
        <w:rPr>
          <w:rFonts w:cs="宋体"/>
          <w:lang w:eastAsia="zh-CN"/>
        </w:rPr>
        <w:t>（取决于风险判定）。</w:t>
      </w:r>
    </w:p>
    <w:p w14:paraId="3A2579FB" w14:textId="77777777" w:rsidR="00D33511" w:rsidRDefault="0086799F">
      <w:pPr>
        <w:pStyle w:val="af0"/>
        <w:numPr>
          <w:ilvl w:val="0"/>
          <w:numId w:val="8"/>
        </w:numPr>
        <w:spacing w:before="120"/>
        <w:ind w:leftChars="200" w:left="1042" w:hangingChars="200" w:hanging="562"/>
        <w:outlineLvl w:val="1"/>
        <w:rPr>
          <w:b/>
          <w:bCs/>
          <w:sz w:val="28"/>
          <w:szCs w:val="28"/>
        </w:rPr>
      </w:pPr>
      <w:bookmarkStart w:id="18" w:name="_Toc90485556"/>
      <w:proofErr w:type="spellStart"/>
      <w:r>
        <w:rPr>
          <w:rFonts w:cs="宋体"/>
          <w:b/>
          <w:sz w:val="28"/>
        </w:rPr>
        <w:t>对照组</w:t>
      </w:r>
      <w:bookmarkEnd w:id="18"/>
      <w:proofErr w:type="spellEnd"/>
    </w:p>
    <w:p w14:paraId="4AC56AC0" w14:textId="77777777" w:rsidR="00D33511" w:rsidRDefault="0086799F">
      <w:pPr>
        <w:spacing w:before="120"/>
        <w:rPr>
          <w:lang w:eastAsia="zh-CN"/>
        </w:rPr>
      </w:pPr>
      <w:r>
        <w:rPr>
          <w:rFonts w:cs="宋体"/>
          <w:lang w:eastAsia="zh-CN"/>
        </w:rPr>
        <w:t>对于与前一代器械和其他制造商的其他类似器械相比有重大技术变更的新一代医疗器械，制造商在开发过程中联系了</w:t>
      </w:r>
      <w:r>
        <w:rPr>
          <w:rFonts w:cs="宋体"/>
          <w:lang w:eastAsia="zh-CN"/>
        </w:rPr>
        <w:t>FDA</w:t>
      </w:r>
      <w:r>
        <w:rPr>
          <w:rFonts w:cs="宋体"/>
          <w:lang w:eastAsia="zh-CN"/>
        </w:rPr>
        <w:t>。</w:t>
      </w:r>
      <w:r>
        <w:rPr>
          <w:rFonts w:cs="宋体"/>
          <w:lang w:eastAsia="zh-CN"/>
        </w:rPr>
        <w:t>FDA</w:t>
      </w:r>
      <w:r>
        <w:rPr>
          <w:rFonts w:cs="宋体"/>
          <w:lang w:eastAsia="zh-CN"/>
        </w:rPr>
        <w:t>判定需要提供临床证据以支持该器械修订的批准决策。现有注册登记可采集用于这一相似预期用途的所有医疗器械的使用数据。制造商设计了一项临床研究，比较了新器械与已注册登记的非随机并行对照组的使用情况。按照本指南引用的因素，</w:t>
      </w:r>
      <w:r>
        <w:rPr>
          <w:rFonts w:cs="宋体"/>
          <w:lang w:eastAsia="zh-CN"/>
        </w:rPr>
        <w:t>FDA</w:t>
      </w:r>
      <w:r>
        <w:rPr>
          <w:rFonts w:cs="宋体"/>
          <w:lang w:eastAsia="zh-CN"/>
        </w:rPr>
        <w:t>和制造商对现有注册登记进行了评价，并且发现其足以提供关于对照人群的充分可靠且相关的</w:t>
      </w:r>
      <w:r>
        <w:rPr>
          <w:rFonts w:cs="宋体"/>
          <w:lang w:eastAsia="zh-CN"/>
        </w:rPr>
        <w:t>RWD</w:t>
      </w:r>
      <w:r>
        <w:rPr>
          <w:rFonts w:cs="宋体"/>
          <w:lang w:eastAsia="zh-CN"/>
        </w:rPr>
        <w:t>，因此制造商无需从此类患者中采集额外数据或以任何方式影响其临床治疗过程。根据已批准的</w:t>
      </w:r>
      <w:r>
        <w:rPr>
          <w:rFonts w:cs="宋体"/>
          <w:lang w:eastAsia="zh-CN"/>
        </w:rPr>
        <w:t>IDE</w:t>
      </w:r>
      <w:r>
        <w:rPr>
          <w:rFonts w:cs="宋体"/>
          <w:lang w:eastAsia="zh-CN"/>
        </w:rPr>
        <w:t>，入组了使用试验用器械的患者。但是，对照组患者不属于</w:t>
      </w:r>
      <w:r>
        <w:rPr>
          <w:rFonts w:cs="宋体"/>
          <w:lang w:eastAsia="zh-CN"/>
        </w:rPr>
        <w:t>IDE</w:t>
      </w:r>
      <w:r>
        <w:rPr>
          <w:rFonts w:cs="宋体"/>
          <w:lang w:eastAsia="zh-CN"/>
        </w:rPr>
        <w:t>的一部分，原因在于他们已经入组了关于收集</w:t>
      </w:r>
      <w:r>
        <w:rPr>
          <w:rFonts w:cs="宋体"/>
          <w:lang w:eastAsia="zh-CN"/>
        </w:rPr>
        <w:t>FDA</w:t>
      </w:r>
      <w:r>
        <w:rPr>
          <w:rFonts w:cs="宋体"/>
          <w:lang w:eastAsia="zh-CN"/>
        </w:rPr>
        <w:t>已批准器械</w:t>
      </w:r>
      <w:r>
        <w:rPr>
          <w:rFonts w:cs="宋体"/>
          <w:lang w:eastAsia="zh-CN"/>
        </w:rPr>
        <w:t>RWD</w:t>
      </w:r>
      <w:r>
        <w:rPr>
          <w:rFonts w:cs="宋体"/>
          <w:lang w:eastAsia="zh-CN"/>
        </w:rPr>
        <w:t>的国家注册登记，其治疗不受现有研究的影响。</w:t>
      </w:r>
      <w:r>
        <w:rPr>
          <w:rFonts w:cs="宋体"/>
          <w:lang w:eastAsia="zh-CN"/>
        </w:rPr>
        <w:br w:type="page"/>
      </w:r>
    </w:p>
    <w:p w14:paraId="129D160E" w14:textId="77777777" w:rsidR="00D33511" w:rsidRDefault="0086799F">
      <w:pPr>
        <w:pStyle w:val="af0"/>
        <w:numPr>
          <w:ilvl w:val="0"/>
          <w:numId w:val="8"/>
        </w:numPr>
        <w:spacing w:before="120"/>
        <w:ind w:leftChars="200" w:left="1042" w:hangingChars="200" w:hanging="562"/>
        <w:outlineLvl w:val="1"/>
        <w:rPr>
          <w:b/>
          <w:bCs/>
          <w:sz w:val="28"/>
          <w:szCs w:val="28"/>
        </w:rPr>
      </w:pPr>
      <w:bookmarkStart w:id="19" w:name="_Toc90485557"/>
      <w:proofErr w:type="spellStart"/>
      <w:r>
        <w:rPr>
          <w:rFonts w:cs="宋体"/>
          <w:b/>
          <w:sz w:val="28"/>
        </w:rPr>
        <w:lastRenderedPageBreak/>
        <w:t>补充数据</w:t>
      </w:r>
      <w:bookmarkEnd w:id="19"/>
      <w:proofErr w:type="spellEnd"/>
    </w:p>
    <w:p w14:paraId="2F63C372" w14:textId="664D0589" w:rsidR="00D33511" w:rsidRDefault="0086799F">
      <w:pPr>
        <w:spacing w:before="120"/>
        <w:rPr>
          <w:lang w:eastAsia="zh-CN"/>
        </w:rPr>
      </w:pPr>
      <w:r>
        <w:rPr>
          <w:rFonts w:cs="宋体"/>
          <w:lang w:eastAsia="zh-CN"/>
        </w:rPr>
        <w:t>FDA</w:t>
      </w:r>
      <w:r>
        <w:rPr>
          <w:rFonts w:cs="宋体"/>
          <w:lang w:eastAsia="zh-CN"/>
        </w:rPr>
        <w:t>会时常发现与已上市医疗器械的安全性相关的问题，而上市前试验中未检出这一问题。如果已经通过系统的方式采集</w:t>
      </w:r>
      <w:r>
        <w:rPr>
          <w:rFonts w:cs="宋体"/>
          <w:lang w:eastAsia="zh-CN"/>
        </w:rPr>
        <w:t>RWD</w:t>
      </w:r>
      <w:r>
        <w:rPr>
          <w:rFonts w:cs="宋体"/>
          <w:lang w:eastAsia="zh-CN"/>
        </w:rPr>
        <w:t>，</w:t>
      </w:r>
      <w:r>
        <w:rPr>
          <w:rFonts w:cs="宋体"/>
          <w:lang w:eastAsia="zh-CN"/>
        </w:rPr>
        <w:t>FDA</w:t>
      </w:r>
      <w:r>
        <w:rPr>
          <w:rFonts w:cs="宋体"/>
          <w:lang w:eastAsia="zh-CN"/>
        </w:rPr>
        <w:t>会综合使用此类</w:t>
      </w:r>
      <w:r>
        <w:rPr>
          <w:rFonts w:cs="宋体"/>
          <w:lang w:eastAsia="zh-CN"/>
        </w:rPr>
        <w:t>RWD</w:t>
      </w:r>
      <w:r>
        <w:rPr>
          <w:rFonts w:cs="宋体"/>
          <w:lang w:eastAsia="zh-CN"/>
        </w:rPr>
        <w:t>以及病例报告、出版物、不良事件报告、</w:t>
      </w:r>
      <w:r>
        <w:rPr>
          <w:rFonts w:cs="宋体" w:hint="eastAsia"/>
          <w:lang w:eastAsia="zh-CN"/>
        </w:rPr>
        <w:t>设计</w:t>
      </w:r>
      <w:r>
        <w:rPr>
          <w:rFonts w:cs="宋体"/>
          <w:lang w:eastAsia="zh-CN"/>
        </w:rPr>
        <w:t>和非临床数据</w:t>
      </w:r>
      <w:r>
        <w:rPr>
          <w:rFonts w:cs="宋体" w:hint="eastAsia"/>
          <w:lang w:eastAsia="zh-CN"/>
        </w:rPr>
        <w:t>以及</w:t>
      </w:r>
      <w:r>
        <w:rPr>
          <w:rFonts w:cs="宋体"/>
          <w:lang w:eastAsia="zh-CN"/>
        </w:rPr>
        <w:t>FDA</w:t>
      </w:r>
      <w:r>
        <w:rPr>
          <w:rFonts w:cs="宋体"/>
          <w:lang w:eastAsia="zh-CN"/>
        </w:rPr>
        <w:t>可获得的其他来源信息，以便对问题严重程度、促发因素、受影响人群和替代疗法有更好的认识。事实证明，增加</w:t>
      </w:r>
      <w:r>
        <w:rPr>
          <w:rFonts w:cs="宋体"/>
          <w:lang w:eastAsia="zh-CN"/>
        </w:rPr>
        <w:t>RWD</w:t>
      </w:r>
      <w:r>
        <w:rPr>
          <w:rFonts w:cs="宋体"/>
          <w:lang w:eastAsia="zh-CN"/>
        </w:rPr>
        <w:t>非常具有价值，其可用于制定行动方案，以便在此类情况下最大程度地保护公共卫生。</w:t>
      </w:r>
    </w:p>
    <w:p w14:paraId="214DB446" w14:textId="6AB270E1" w:rsidR="00D33511" w:rsidRDefault="0086799F">
      <w:pPr>
        <w:spacing w:before="120"/>
        <w:rPr>
          <w:lang w:eastAsia="zh-CN"/>
        </w:rPr>
      </w:pPr>
      <w:r>
        <w:rPr>
          <w:rFonts w:cs="宋体"/>
          <w:lang w:eastAsia="zh-CN"/>
        </w:rPr>
        <w:t>以正在接受新适应症审评的某一第</w:t>
      </w:r>
      <w:r>
        <w:rPr>
          <w:rFonts w:cs="宋体"/>
          <w:lang w:eastAsia="zh-CN"/>
        </w:rPr>
        <w:t>III</w:t>
      </w:r>
      <w:r>
        <w:rPr>
          <w:rFonts w:cs="宋体"/>
          <w:lang w:eastAsia="zh-CN"/>
        </w:rPr>
        <w:t>类器械为例。制造商提供了来自前瞻性临床试验的数据，然而随访信息有限，且对照组的数据不足，因而难以解读结果。但是，现有的注册登记已经收集并报告了关于对照治疗的</w:t>
      </w:r>
      <w:r>
        <w:rPr>
          <w:rFonts w:cs="宋体"/>
          <w:lang w:eastAsia="zh-CN"/>
        </w:rPr>
        <w:t>RWD</w:t>
      </w:r>
      <w:r>
        <w:rPr>
          <w:rFonts w:cs="宋体"/>
          <w:lang w:eastAsia="zh-CN"/>
        </w:rPr>
        <w:t>。注册数据可用作补充并有助于解读临床试验数据，以便</w:t>
      </w:r>
      <w:r>
        <w:rPr>
          <w:rFonts w:cs="宋体"/>
          <w:lang w:eastAsia="zh-CN"/>
        </w:rPr>
        <w:t>FDA</w:t>
      </w:r>
      <w:r>
        <w:rPr>
          <w:rFonts w:cs="宋体"/>
          <w:lang w:eastAsia="zh-CN"/>
        </w:rPr>
        <w:t>做出适当的监管决策，而无需额外的临床试验数据。如果没有</w:t>
      </w:r>
      <w:r>
        <w:rPr>
          <w:rFonts w:cs="宋体"/>
          <w:lang w:eastAsia="zh-CN"/>
        </w:rPr>
        <w:t>RWE</w:t>
      </w:r>
      <w:r>
        <w:rPr>
          <w:rFonts w:cs="宋体"/>
          <w:lang w:eastAsia="zh-CN"/>
        </w:rPr>
        <w:t>，则可能会有更多研究受试者暴露于风险</w:t>
      </w:r>
      <w:r w:rsidR="00733EC2">
        <w:rPr>
          <w:rFonts w:cs="宋体"/>
          <w:lang w:eastAsia="zh-CN"/>
        </w:rPr>
        <w:t>受益</w:t>
      </w:r>
      <w:r>
        <w:rPr>
          <w:rFonts w:cs="宋体"/>
          <w:lang w:eastAsia="zh-CN"/>
        </w:rPr>
        <w:t>平衡情况可疑的器械。在此情况下，应尽快做出最终决策，在保护受试者健康的同时，还可以促进开发新的医疗器械设计。</w:t>
      </w:r>
    </w:p>
    <w:p w14:paraId="3D099C53" w14:textId="77777777" w:rsidR="00D33511" w:rsidRDefault="0086799F">
      <w:pPr>
        <w:pStyle w:val="af0"/>
        <w:numPr>
          <w:ilvl w:val="0"/>
          <w:numId w:val="8"/>
        </w:numPr>
        <w:spacing w:before="120"/>
        <w:ind w:leftChars="200" w:left="1042" w:hangingChars="200" w:hanging="562"/>
        <w:outlineLvl w:val="1"/>
        <w:rPr>
          <w:b/>
          <w:bCs/>
          <w:sz w:val="28"/>
          <w:szCs w:val="28"/>
          <w:lang w:eastAsia="zh-CN"/>
        </w:rPr>
      </w:pPr>
      <w:bookmarkStart w:id="20" w:name="_Toc90485558"/>
      <w:r>
        <w:rPr>
          <w:rFonts w:cs="宋体"/>
          <w:b/>
          <w:sz w:val="28"/>
          <w:lang w:eastAsia="zh-CN"/>
        </w:rPr>
        <w:t>客观性能标准和性能目标</w:t>
      </w:r>
      <w:bookmarkEnd w:id="20"/>
    </w:p>
    <w:p w14:paraId="34BEED27" w14:textId="77777777" w:rsidR="00D33511" w:rsidRDefault="0086799F">
      <w:pPr>
        <w:spacing w:before="120"/>
        <w:rPr>
          <w:lang w:eastAsia="zh-CN"/>
        </w:rPr>
      </w:pPr>
      <w:r>
        <w:rPr>
          <w:rFonts w:cs="宋体"/>
          <w:lang w:eastAsia="zh-CN"/>
        </w:rPr>
        <w:t>客观性能标准（</w:t>
      </w:r>
      <w:r>
        <w:rPr>
          <w:rFonts w:cs="宋体"/>
          <w:lang w:eastAsia="zh-CN"/>
        </w:rPr>
        <w:t>OPC</w:t>
      </w:r>
      <w:r>
        <w:rPr>
          <w:rFonts w:cs="宋体"/>
          <w:lang w:eastAsia="zh-CN"/>
        </w:rPr>
        <w:t>）是指从临床研究和／或注册登记的历史数据得出的数值目标值，</w:t>
      </w:r>
      <w:r>
        <w:rPr>
          <w:rFonts w:cs="宋体"/>
          <w:lang w:eastAsia="zh-CN"/>
        </w:rPr>
        <w:t>FDA</w:t>
      </w:r>
      <w:r>
        <w:rPr>
          <w:rFonts w:cs="宋体"/>
          <w:lang w:eastAsia="zh-CN"/>
        </w:rPr>
        <w:t>可采用二分法的方式（合格／失败）将其用于安全性或有效性终点的审评与比较。</w:t>
      </w:r>
      <w:r>
        <w:rPr>
          <w:rFonts w:cs="宋体"/>
          <w:vertAlign w:val="superscript"/>
          <w:lang w:eastAsia="zh-CN"/>
        </w:rPr>
        <w:t>27</w:t>
      </w:r>
      <w:r>
        <w:rPr>
          <w:rFonts w:cs="宋体"/>
          <w:lang w:eastAsia="zh-CN"/>
        </w:rPr>
        <w:t>通常来讲，在器械技术已经足够成熟时，可以在某一类器械的公开信息或来自所有可用研究的汇总信息的基础上制定</w:t>
      </w:r>
      <w:r>
        <w:rPr>
          <w:rFonts w:cs="宋体"/>
          <w:lang w:eastAsia="zh-CN"/>
        </w:rPr>
        <w:t>OPC</w:t>
      </w:r>
      <w:r>
        <w:rPr>
          <w:rFonts w:cs="宋体"/>
          <w:lang w:eastAsia="zh-CN"/>
        </w:rPr>
        <w:t>。与</w:t>
      </w:r>
      <w:r>
        <w:rPr>
          <w:rFonts w:cs="宋体"/>
          <w:lang w:eastAsia="zh-CN"/>
        </w:rPr>
        <w:t>OPC</w:t>
      </w:r>
      <w:r>
        <w:rPr>
          <w:rFonts w:cs="宋体"/>
          <w:lang w:eastAsia="zh-CN"/>
        </w:rPr>
        <w:t>相似，性能目标（</w:t>
      </w:r>
      <w:r>
        <w:rPr>
          <w:rFonts w:cs="宋体"/>
          <w:lang w:eastAsia="zh-CN"/>
        </w:rPr>
        <w:t>PG</w:t>
      </w:r>
      <w:r>
        <w:rPr>
          <w:rFonts w:cs="宋体"/>
          <w:lang w:eastAsia="zh-CN"/>
        </w:rPr>
        <w:t>）是指数值，</w:t>
      </w:r>
      <w:r>
        <w:rPr>
          <w:rFonts w:cs="宋体"/>
          <w:lang w:eastAsia="zh-CN"/>
        </w:rPr>
        <w:t>FDA</w:t>
      </w:r>
      <w:r>
        <w:rPr>
          <w:rFonts w:cs="宋体"/>
          <w:lang w:eastAsia="zh-CN"/>
        </w:rPr>
        <w:t>认为其足以用于评价试验用器械的安全性和／或有效性终点。但一般而言，</w:t>
      </w:r>
      <w:r>
        <w:rPr>
          <w:rFonts w:cs="宋体"/>
          <w:lang w:eastAsia="zh-CN"/>
        </w:rPr>
        <w:t>PG</w:t>
      </w:r>
      <w:r>
        <w:rPr>
          <w:rFonts w:cs="宋体"/>
          <w:lang w:eastAsia="zh-CN"/>
        </w:rPr>
        <w:t>使用的器械技术的发展或成熟程度不及</w:t>
      </w:r>
      <w:r>
        <w:rPr>
          <w:rFonts w:cs="宋体"/>
          <w:lang w:eastAsia="zh-CN"/>
        </w:rPr>
        <w:t>OPC</w:t>
      </w:r>
      <w:r>
        <w:rPr>
          <w:rFonts w:cs="宋体"/>
          <w:lang w:eastAsia="zh-CN"/>
        </w:rPr>
        <w:t>，并且用于生成</w:t>
      </w:r>
      <w:r>
        <w:rPr>
          <w:rFonts w:cs="宋体"/>
          <w:lang w:eastAsia="zh-CN"/>
        </w:rPr>
        <w:t>PG</w:t>
      </w:r>
      <w:r>
        <w:rPr>
          <w:rFonts w:cs="宋体"/>
          <w:lang w:eastAsia="zh-CN"/>
        </w:rPr>
        <w:t>的数据的可靠性也不及</w:t>
      </w:r>
      <w:r>
        <w:rPr>
          <w:rFonts w:cs="宋体"/>
          <w:lang w:eastAsia="zh-CN"/>
        </w:rPr>
        <w:t>OPC</w:t>
      </w:r>
      <w:r>
        <w:rPr>
          <w:rFonts w:cs="宋体"/>
          <w:lang w:eastAsia="zh-CN"/>
        </w:rPr>
        <w:t>。对于难以研究的患者人群或者如果没有任何临床均势可用的情况，则可以考虑使用</w:t>
      </w:r>
      <w:r>
        <w:rPr>
          <w:rFonts w:cs="宋体"/>
          <w:lang w:eastAsia="zh-CN"/>
        </w:rPr>
        <w:t>PG</w:t>
      </w:r>
      <w:r>
        <w:rPr>
          <w:rFonts w:cs="宋体"/>
          <w:lang w:eastAsia="zh-CN"/>
        </w:rPr>
        <w:t>。通过具有充分相关性和可靠性的</w:t>
      </w:r>
      <w:r>
        <w:rPr>
          <w:rFonts w:cs="宋体"/>
          <w:lang w:eastAsia="zh-CN"/>
        </w:rPr>
        <w:t>RWD</w:t>
      </w:r>
      <w:r>
        <w:rPr>
          <w:rFonts w:cs="宋体"/>
          <w:lang w:eastAsia="zh-CN"/>
        </w:rPr>
        <w:t>来源，可以适用适当的统计方法（例如：受试者水平的</w:t>
      </w:r>
      <w:r>
        <w:rPr>
          <w:rFonts w:cs="宋体"/>
          <w:lang w:eastAsia="zh-CN"/>
        </w:rPr>
        <w:t>meta</w:t>
      </w:r>
      <w:r>
        <w:rPr>
          <w:rFonts w:cs="宋体"/>
          <w:lang w:eastAsia="zh-CN"/>
        </w:rPr>
        <w:t>分析）来构建</w:t>
      </w:r>
      <w:r>
        <w:rPr>
          <w:rFonts w:cs="宋体"/>
          <w:lang w:eastAsia="zh-CN"/>
        </w:rPr>
        <w:t>PG</w:t>
      </w:r>
      <w:r>
        <w:rPr>
          <w:rFonts w:cs="宋体"/>
          <w:lang w:eastAsia="zh-CN"/>
        </w:rPr>
        <w:t>。随着时间推移和技术发展，可以使用</w:t>
      </w:r>
      <w:r>
        <w:rPr>
          <w:rFonts w:cs="宋体"/>
          <w:lang w:eastAsia="zh-CN"/>
        </w:rPr>
        <w:t>RWD</w:t>
      </w:r>
      <w:r>
        <w:rPr>
          <w:rFonts w:cs="宋体"/>
          <w:lang w:eastAsia="zh-CN"/>
        </w:rPr>
        <w:t>来更新</w:t>
      </w:r>
      <w:r>
        <w:rPr>
          <w:rFonts w:cs="宋体"/>
          <w:lang w:eastAsia="zh-CN"/>
        </w:rPr>
        <w:t>OPC</w:t>
      </w:r>
      <w:r>
        <w:rPr>
          <w:rFonts w:cs="宋体"/>
          <w:lang w:eastAsia="zh-CN"/>
        </w:rPr>
        <w:t>或</w:t>
      </w:r>
      <w:r>
        <w:rPr>
          <w:rFonts w:cs="宋体"/>
          <w:lang w:eastAsia="zh-CN"/>
        </w:rPr>
        <w:t>PG</w:t>
      </w:r>
      <w:r>
        <w:rPr>
          <w:rFonts w:cs="宋体"/>
          <w:lang w:eastAsia="zh-CN"/>
        </w:rPr>
        <w:t>。</w:t>
      </w:r>
    </w:p>
    <w:p w14:paraId="1B9CB235" w14:textId="33DA4D49" w:rsidR="00D33511" w:rsidRDefault="0086799F">
      <w:pPr>
        <w:pBdr>
          <w:top w:val="single" w:sz="4" w:space="1" w:color="auto"/>
        </w:pBdr>
        <w:spacing w:beforeLines="1100" w:before="2640"/>
        <w:rPr>
          <w:lang w:eastAsia="zh-CN"/>
        </w:rPr>
      </w:pPr>
      <w:r>
        <w:rPr>
          <w:rFonts w:cs="宋体"/>
          <w:sz w:val="21"/>
          <w:vertAlign w:val="superscript"/>
          <w:lang w:eastAsia="zh-CN"/>
        </w:rPr>
        <w:t>27</w:t>
      </w:r>
      <w:r>
        <w:rPr>
          <w:rFonts w:cs="宋体"/>
          <w:sz w:val="21"/>
          <w:lang w:eastAsia="zh-CN"/>
        </w:rPr>
        <w:t>如需了解关于</w:t>
      </w:r>
      <w:r>
        <w:rPr>
          <w:rFonts w:cs="宋体"/>
          <w:sz w:val="21"/>
          <w:lang w:eastAsia="zh-CN"/>
        </w:rPr>
        <w:t>OPC</w:t>
      </w:r>
      <w:r>
        <w:rPr>
          <w:rFonts w:cs="宋体"/>
          <w:sz w:val="21"/>
          <w:lang w:eastAsia="zh-CN"/>
        </w:rPr>
        <w:t>和</w:t>
      </w:r>
      <w:r>
        <w:rPr>
          <w:rFonts w:cs="宋体"/>
          <w:sz w:val="21"/>
          <w:lang w:eastAsia="zh-CN"/>
        </w:rPr>
        <w:t>PG</w:t>
      </w:r>
      <w:r>
        <w:rPr>
          <w:rFonts w:cs="宋体"/>
          <w:sz w:val="21"/>
          <w:lang w:eastAsia="zh-CN"/>
        </w:rPr>
        <w:t>的更多信息，可参见《医疗器械关键临床研究的设计考虑因素</w:t>
      </w:r>
      <w:r>
        <w:rPr>
          <w:rFonts w:cs="宋体"/>
          <w:sz w:val="21"/>
          <w:lang w:eastAsia="zh-CN"/>
        </w:rPr>
        <w:t>-</w:t>
      </w:r>
      <w:r>
        <w:rPr>
          <w:rFonts w:cs="宋体"/>
          <w:sz w:val="21"/>
          <w:lang w:eastAsia="zh-CN"/>
        </w:rPr>
        <w:t>行业、临床研究者、机构审查委员会和</w:t>
      </w:r>
      <w:r w:rsidR="002E064B">
        <w:rPr>
          <w:rFonts w:cs="宋体"/>
          <w:sz w:val="21"/>
          <w:lang w:eastAsia="zh-CN"/>
        </w:rPr>
        <w:t>美国食品药品监督管理局</w:t>
      </w:r>
      <w:r>
        <w:rPr>
          <w:rFonts w:cs="宋体"/>
          <w:sz w:val="21"/>
          <w:lang w:eastAsia="zh-CN"/>
        </w:rPr>
        <w:t>工作人员指南》。</w:t>
      </w:r>
      <w:r>
        <w:rPr>
          <w:rFonts w:cs="宋体"/>
          <w:color w:val="0000FF"/>
          <w:sz w:val="21"/>
          <w:u w:val="single"/>
          <w:lang w:eastAsia="zh-CN"/>
        </w:rPr>
        <w:t>http://www.fda.gov/downloads/MedicalDevices/DeviceRegulationandGuidance/GuidanceDocuments/UCM373766.pdf</w:t>
      </w:r>
      <w:r>
        <w:rPr>
          <w:rFonts w:cs="宋体"/>
          <w:sz w:val="21"/>
          <w:lang w:eastAsia="zh-CN"/>
        </w:rPr>
        <w:t>）。</w:t>
      </w:r>
      <w:r>
        <w:rPr>
          <w:rFonts w:cs="宋体"/>
          <w:sz w:val="21"/>
          <w:lang w:eastAsia="zh-CN"/>
        </w:rPr>
        <w:br w:type="page"/>
      </w:r>
    </w:p>
    <w:p w14:paraId="656D6834" w14:textId="77777777" w:rsidR="00D33511" w:rsidRDefault="0086799F">
      <w:pPr>
        <w:pStyle w:val="af0"/>
        <w:numPr>
          <w:ilvl w:val="0"/>
          <w:numId w:val="1"/>
        </w:numPr>
        <w:spacing w:before="120"/>
        <w:ind w:left="643" w:hangingChars="200" w:hanging="643"/>
        <w:outlineLvl w:val="0"/>
        <w:rPr>
          <w:b/>
          <w:bCs/>
          <w:sz w:val="32"/>
          <w:szCs w:val="32"/>
        </w:rPr>
      </w:pPr>
      <w:bookmarkStart w:id="21" w:name="_Toc90485559"/>
      <w:proofErr w:type="spellStart"/>
      <w:r>
        <w:rPr>
          <w:rFonts w:cs="宋体"/>
          <w:b/>
          <w:sz w:val="32"/>
        </w:rPr>
        <w:lastRenderedPageBreak/>
        <w:t>术语表</w:t>
      </w:r>
      <w:bookmarkEnd w:id="21"/>
      <w:proofErr w:type="spellEnd"/>
    </w:p>
    <w:p w14:paraId="314381A3" w14:textId="77777777" w:rsidR="00D33511" w:rsidRDefault="0086799F">
      <w:pPr>
        <w:spacing w:before="120"/>
        <w:rPr>
          <w:lang w:eastAsia="zh-CN"/>
        </w:rPr>
      </w:pPr>
      <w:r>
        <w:rPr>
          <w:rFonts w:cs="宋体"/>
          <w:lang w:eastAsia="zh-CN"/>
        </w:rPr>
        <w:t>为使读者了解本指南使用的特定术语，提供了下列定义。下列定义并不意味着对《联邦食品、药品和化妆品法案》、相关法典或法规，以及其他联邦、州或本地法律或其他指南文件使用的类似词语或词组的新解读或阐述说明。</w:t>
      </w:r>
    </w:p>
    <w:p w14:paraId="05D10F87" w14:textId="77777777" w:rsidR="00D33511" w:rsidRDefault="0086799F">
      <w:pPr>
        <w:pStyle w:val="af0"/>
        <w:numPr>
          <w:ilvl w:val="0"/>
          <w:numId w:val="9"/>
        </w:numPr>
        <w:spacing w:before="120"/>
        <w:ind w:left="704" w:firstLineChars="0"/>
      </w:pPr>
      <w:r>
        <w:rPr>
          <w:rFonts w:cs="宋体"/>
          <w:b/>
          <w:lang w:eastAsia="zh-CN"/>
        </w:rPr>
        <w:t>偏倚</w:t>
      </w:r>
      <w:r>
        <w:rPr>
          <w:rFonts w:cs="宋体"/>
          <w:lang w:eastAsia="zh-CN"/>
        </w:rPr>
        <w:t>-“</w:t>
      </w:r>
      <w:r>
        <w:rPr>
          <w:rFonts w:cs="宋体"/>
          <w:lang w:eastAsia="zh-CN"/>
        </w:rPr>
        <w:t>偏倚是指研究及其数据的设计、实施、分析、解读、发表或审评过程中的任何系统性错误，可导致错误地估计治疗对疾病的疗效。这一系统错误是下列各项中的缺陷所致：选择研究参与者的方法、数据收集规程、关于如何发布和是否发布结果的决定。此类缺陷可导致观察到的研究结果不同于</w:t>
      </w:r>
      <w:r>
        <w:rPr>
          <w:rFonts w:cs="宋体"/>
          <w:lang w:eastAsia="zh-CN"/>
        </w:rPr>
        <w:t>“</w:t>
      </w:r>
      <w:r>
        <w:rPr>
          <w:rFonts w:cs="宋体"/>
          <w:lang w:eastAsia="zh-CN"/>
        </w:rPr>
        <w:t>真实</w:t>
      </w:r>
      <w:r>
        <w:rPr>
          <w:rFonts w:cs="宋体"/>
          <w:lang w:eastAsia="zh-CN"/>
        </w:rPr>
        <w:t>”</w:t>
      </w:r>
      <w:r>
        <w:rPr>
          <w:rFonts w:cs="宋体"/>
          <w:lang w:eastAsia="zh-CN"/>
        </w:rPr>
        <w:t>结果。可通过下列方式尽量减少偏倚：适合于研究假设的研究设计，以及建立有效、可靠的数据采集规程并对其进行严格监测。</w:t>
      </w:r>
      <w:r>
        <w:rPr>
          <w:rFonts w:cs="宋体"/>
        </w:rPr>
        <w:t>”</w:t>
      </w:r>
      <w:r>
        <w:rPr>
          <w:rFonts w:cs="宋体"/>
          <w:vertAlign w:val="superscript"/>
        </w:rPr>
        <w:t>28</w:t>
      </w:r>
    </w:p>
    <w:p w14:paraId="404D6232" w14:textId="77777777" w:rsidR="00D33511" w:rsidRDefault="0086799F">
      <w:pPr>
        <w:pStyle w:val="af0"/>
        <w:numPr>
          <w:ilvl w:val="0"/>
          <w:numId w:val="9"/>
        </w:numPr>
        <w:spacing w:before="120"/>
        <w:ind w:left="704" w:firstLineChars="0"/>
      </w:pPr>
      <w:r>
        <w:rPr>
          <w:rFonts w:cs="宋体"/>
          <w:b/>
          <w:lang w:eastAsia="zh-CN"/>
        </w:rPr>
        <w:t>混淆</w:t>
      </w:r>
      <w:r>
        <w:rPr>
          <w:rFonts w:cs="宋体"/>
          <w:lang w:eastAsia="zh-CN"/>
        </w:rPr>
        <w:t>-“</w:t>
      </w:r>
      <w:r>
        <w:rPr>
          <w:rFonts w:cs="宋体"/>
          <w:lang w:eastAsia="zh-CN"/>
        </w:rPr>
        <w:t>由于指定为混淆因素的第三个变量的影响，导致观察到某一暴露或治疗与结局之间的非因果关系的情况。混淆因素变量应与研究中的治疗和结局均相关。由于确实存在这一关系（虽然不是因果关系），所以混淆与偏倚是明显不同的。</w:t>
      </w:r>
      <w:r>
        <w:rPr>
          <w:rFonts w:cs="宋体"/>
        </w:rPr>
        <w:t>”</w:t>
      </w:r>
      <w:r>
        <w:rPr>
          <w:rFonts w:cs="宋体"/>
          <w:vertAlign w:val="superscript"/>
        </w:rPr>
        <w:t>29</w:t>
      </w:r>
    </w:p>
    <w:p w14:paraId="73BCDBD2" w14:textId="77777777" w:rsidR="00D33511" w:rsidRDefault="0086799F">
      <w:pPr>
        <w:pStyle w:val="af0"/>
        <w:numPr>
          <w:ilvl w:val="0"/>
          <w:numId w:val="9"/>
        </w:numPr>
        <w:spacing w:before="120"/>
        <w:ind w:left="704" w:firstLineChars="0"/>
      </w:pPr>
      <w:r>
        <w:rPr>
          <w:rFonts w:cs="宋体"/>
          <w:b/>
          <w:lang w:eastAsia="zh-CN"/>
        </w:rPr>
        <w:t>电子健康记录（</w:t>
      </w:r>
      <w:r>
        <w:rPr>
          <w:rFonts w:cs="宋体"/>
          <w:b/>
          <w:lang w:eastAsia="zh-CN"/>
        </w:rPr>
        <w:t>EHR</w:t>
      </w:r>
      <w:r>
        <w:rPr>
          <w:rFonts w:cs="宋体"/>
          <w:b/>
          <w:lang w:eastAsia="zh-CN"/>
        </w:rPr>
        <w:t>）</w:t>
      </w:r>
      <w:r>
        <w:rPr>
          <w:rFonts w:cs="宋体"/>
          <w:lang w:eastAsia="zh-CN"/>
        </w:rPr>
        <w:t>-“</w:t>
      </w:r>
      <w:r>
        <w:rPr>
          <w:rFonts w:cs="宋体"/>
          <w:lang w:eastAsia="zh-CN"/>
        </w:rPr>
        <w:t>符合国家认可／使用的互操作性标准的个人健康相关信息的电子记录，由多家医疗机构的授权临床医师和工作人员负责创建、管理和咨询。</w:t>
      </w:r>
      <w:r>
        <w:rPr>
          <w:rFonts w:cs="宋体"/>
        </w:rPr>
        <w:t>”</w:t>
      </w:r>
      <w:r>
        <w:rPr>
          <w:rFonts w:cs="宋体"/>
          <w:vertAlign w:val="superscript"/>
        </w:rPr>
        <w:t>30</w:t>
      </w:r>
    </w:p>
    <w:p w14:paraId="2F4A0851" w14:textId="77777777" w:rsidR="00D33511" w:rsidRDefault="0086799F">
      <w:pPr>
        <w:pStyle w:val="af0"/>
        <w:numPr>
          <w:ilvl w:val="0"/>
          <w:numId w:val="9"/>
        </w:numPr>
        <w:spacing w:before="120"/>
        <w:ind w:left="704" w:firstLineChars="0"/>
      </w:pPr>
      <w:r>
        <w:rPr>
          <w:rFonts w:cs="宋体"/>
          <w:b/>
          <w:lang w:eastAsia="zh-CN"/>
        </w:rPr>
        <w:t>电子病历（</w:t>
      </w:r>
      <w:r>
        <w:rPr>
          <w:rFonts w:cs="宋体"/>
          <w:b/>
          <w:lang w:eastAsia="zh-CN"/>
        </w:rPr>
        <w:t>EMR</w:t>
      </w:r>
      <w:r>
        <w:rPr>
          <w:rFonts w:cs="宋体"/>
          <w:b/>
          <w:lang w:eastAsia="zh-CN"/>
        </w:rPr>
        <w:t>）</w:t>
      </w:r>
      <w:r>
        <w:rPr>
          <w:rFonts w:cs="宋体"/>
          <w:lang w:eastAsia="zh-CN"/>
        </w:rPr>
        <w:t>-“</w:t>
      </w:r>
      <w:r>
        <w:rPr>
          <w:rFonts w:cs="宋体"/>
          <w:lang w:eastAsia="zh-CN"/>
        </w:rPr>
        <w:t>个人健康相关信息的电子记录，由一家医疗机构的授权临床医师和工作人员负责创建、收集、管理和咨询。</w:t>
      </w:r>
      <w:r>
        <w:rPr>
          <w:rFonts w:cs="宋体"/>
        </w:rPr>
        <w:t>”</w:t>
      </w:r>
      <w:r>
        <w:rPr>
          <w:rFonts w:cs="宋体"/>
          <w:vertAlign w:val="superscript"/>
        </w:rPr>
        <w:t>31</w:t>
      </w:r>
    </w:p>
    <w:p w14:paraId="462DDD2C" w14:textId="77777777" w:rsidR="00D33511" w:rsidRDefault="0086799F">
      <w:pPr>
        <w:pBdr>
          <w:top w:val="single" w:sz="4" w:space="1" w:color="auto"/>
          <w:bottom w:val="single" w:sz="4" w:space="1" w:color="auto"/>
        </w:pBdr>
        <w:wordWrap w:val="0"/>
        <w:spacing w:beforeLines="1250" w:before="3000"/>
        <w:rPr>
          <w:sz w:val="21"/>
          <w:szCs w:val="21"/>
        </w:rPr>
      </w:pPr>
      <w:r>
        <w:rPr>
          <w:rFonts w:cs="宋体"/>
          <w:sz w:val="21"/>
          <w:vertAlign w:val="superscript"/>
        </w:rPr>
        <w:t>28</w:t>
      </w:r>
      <w:r>
        <w:rPr>
          <w:rFonts w:cs="宋体"/>
          <w:sz w:val="21"/>
        </w:rPr>
        <w:t xml:space="preserve"> JM </w:t>
      </w:r>
      <w:proofErr w:type="spellStart"/>
      <w:r>
        <w:rPr>
          <w:rFonts w:cs="宋体"/>
          <w:sz w:val="21"/>
        </w:rPr>
        <w:t>Last.A</w:t>
      </w:r>
      <w:proofErr w:type="spellEnd"/>
      <w:r>
        <w:rPr>
          <w:rFonts w:cs="宋体"/>
          <w:sz w:val="21"/>
        </w:rPr>
        <w:t xml:space="preserve"> dictionary of Epidemiology (3rd edition).New York: Oxford University Press, 1995) (M </w:t>
      </w:r>
      <w:proofErr w:type="spellStart"/>
      <w:r>
        <w:rPr>
          <w:rFonts w:cs="宋体"/>
          <w:sz w:val="21"/>
        </w:rPr>
        <w:t>Szklo</w:t>
      </w:r>
      <w:proofErr w:type="spellEnd"/>
      <w:r>
        <w:rPr>
          <w:rFonts w:cs="宋体"/>
          <w:sz w:val="21"/>
        </w:rPr>
        <w:t xml:space="preserve"> &amp; FJ </w:t>
      </w:r>
      <w:proofErr w:type="spellStart"/>
      <w:r>
        <w:rPr>
          <w:rFonts w:cs="宋体"/>
          <w:sz w:val="21"/>
        </w:rPr>
        <w:t>Nieto.Epidemiology</w:t>
      </w:r>
      <w:proofErr w:type="spellEnd"/>
      <w:r>
        <w:rPr>
          <w:rFonts w:cs="宋体"/>
          <w:sz w:val="21"/>
        </w:rPr>
        <w:t xml:space="preserve">: Beyond the </w:t>
      </w:r>
      <w:proofErr w:type="spellStart"/>
      <w:r>
        <w:rPr>
          <w:rFonts w:cs="宋体"/>
          <w:sz w:val="21"/>
        </w:rPr>
        <w:t>basics.Gaithersburg</w:t>
      </w:r>
      <w:proofErr w:type="spellEnd"/>
      <w:r>
        <w:rPr>
          <w:rFonts w:cs="宋体"/>
          <w:sz w:val="21"/>
        </w:rPr>
        <w:t>, MD: Aspen Publishers, Inc., 2000</w:t>
      </w:r>
    </w:p>
    <w:p w14:paraId="688AC157" w14:textId="77777777" w:rsidR="00D33511" w:rsidRDefault="0086799F">
      <w:pPr>
        <w:pBdr>
          <w:top w:val="single" w:sz="4" w:space="1" w:color="auto"/>
          <w:bottom w:val="single" w:sz="4" w:space="1" w:color="auto"/>
        </w:pBdr>
        <w:wordWrap w:val="0"/>
        <w:spacing w:beforeLines="0" w:before="0"/>
        <w:rPr>
          <w:sz w:val="21"/>
          <w:szCs w:val="21"/>
        </w:rPr>
      </w:pPr>
      <w:r>
        <w:rPr>
          <w:rFonts w:cs="宋体"/>
          <w:sz w:val="21"/>
          <w:vertAlign w:val="superscript"/>
        </w:rPr>
        <w:t>29</w:t>
      </w:r>
      <w:r>
        <w:rPr>
          <w:rFonts w:cs="宋体"/>
          <w:sz w:val="21"/>
        </w:rPr>
        <w:t xml:space="preserve"> L </w:t>
      </w:r>
      <w:proofErr w:type="spellStart"/>
      <w:r>
        <w:rPr>
          <w:rFonts w:cs="宋体"/>
          <w:sz w:val="21"/>
        </w:rPr>
        <w:t>Gordis.Epidemiology.Philadelphia</w:t>
      </w:r>
      <w:proofErr w:type="spellEnd"/>
      <w:r>
        <w:rPr>
          <w:rFonts w:cs="宋体"/>
          <w:sz w:val="21"/>
        </w:rPr>
        <w:t>: WB Saunders, Co., 1996</w:t>
      </w:r>
    </w:p>
    <w:p w14:paraId="2E281713" w14:textId="77777777" w:rsidR="00D33511" w:rsidRDefault="0086799F">
      <w:pPr>
        <w:pBdr>
          <w:top w:val="single" w:sz="4" w:space="1" w:color="auto"/>
          <w:bottom w:val="single" w:sz="4" w:space="1" w:color="auto"/>
        </w:pBdr>
        <w:wordWrap w:val="0"/>
        <w:spacing w:beforeLines="0" w:before="0"/>
        <w:rPr>
          <w:sz w:val="21"/>
          <w:szCs w:val="21"/>
          <w:lang w:eastAsia="zh-CN"/>
        </w:rPr>
      </w:pPr>
      <w:r>
        <w:rPr>
          <w:rFonts w:cs="宋体"/>
          <w:sz w:val="21"/>
          <w:vertAlign w:val="superscript"/>
          <w:lang w:eastAsia="zh-CN"/>
        </w:rPr>
        <w:t>30</w:t>
      </w:r>
      <w:r>
        <w:rPr>
          <w:rFonts w:cs="宋体"/>
          <w:sz w:val="21"/>
          <w:lang w:eastAsia="zh-CN"/>
        </w:rPr>
        <w:t>国家卫生信息技术联盟向国家卫生信息技术协调员办公室提交的关于定义关键卫生信息技术术语的报告，</w:t>
      </w:r>
      <w:r>
        <w:rPr>
          <w:rFonts w:cs="宋体"/>
          <w:sz w:val="21"/>
          <w:lang w:eastAsia="zh-CN"/>
        </w:rPr>
        <w:t>2008</w:t>
      </w:r>
      <w:r>
        <w:rPr>
          <w:rFonts w:cs="宋体"/>
          <w:sz w:val="21"/>
          <w:lang w:eastAsia="zh-CN"/>
        </w:rPr>
        <w:t>年</w:t>
      </w:r>
      <w:r>
        <w:rPr>
          <w:rFonts w:cs="宋体"/>
          <w:sz w:val="21"/>
          <w:lang w:eastAsia="zh-CN"/>
        </w:rPr>
        <w:t>4</w:t>
      </w:r>
      <w:r>
        <w:rPr>
          <w:rFonts w:cs="宋体"/>
          <w:sz w:val="21"/>
          <w:lang w:eastAsia="zh-CN"/>
        </w:rPr>
        <w:t>月</w:t>
      </w:r>
      <w:r>
        <w:rPr>
          <w:rFonts w:cs="宋体"/>
          <w:sz w:val="21"/>
          <w:lang w:eastAsia="zh-CN"/>
        </w:rPr>
        <w:t>28</w:t>
      </w:r>
      <w:r>
        <w:rPr>
          <w:rFonts w:cs="宋体"/>
          <w:sz w:val="21"/>
          <w:lang w:eastAsia="zh-CN"/>
        </w:rPr>
        <w:t>日。（</w:t>
      </w:r>
      <w:r>
        <w:rPr>
          <w:rFonts w:cs="宋体"/>
          <w:color w:val="0000FF"/>
          <w:sz w:val="21"/>
          <w:u w:val="single"/>
          <w:lang w:eastAsia="zh-CN"/>
        </w:rPr>
        <w:t>http://www.himss.org/national-alliance-health-information-technology-report-office-national-coordinator-health</w:t>
      </w:r>
      <w:r>
        <w:rPr>
          <w:rFonts w:cs="宋体"/>
          <w:sz w:val="21"/>
          <w:lang w:eastAsia="zh-CN"/>
        </w:rPr>
        <w:t>）。</w:t>
      </w:r>
    </w:p>
    <w:p w14:paraId="530A0007" w14:textId="77777777" w:rsidR="00D33511" w:rsidRDefault="0086799F">
      <w:pPr>
        <w:wordWrap w:val="0"/>
        <w:spacing w:beforeLines="0" w:before="0"/>
        <w:rPr>
          <w:lang w:eastAsia="zh-CN"/>
        </w:rPr>
      </w:pPr>
      <w:r>
        <w:rPr>
          <w:rFonts w:cs="宋体"/>
          <w:sz w:val="21"/>
          <w:vertAlign w:val="superscript"/>
          <w:lang w:eastAsia="zh-CN"/>
        </w:rPr>
        <w:t>31</w:t>
      </w:r>
      <w:r>
        <w:rPr>
          <w:rFonts w:cs="宋体"/>
          <w:sz w:val="21"/>
          <w:lang w:eastAsia="zh-CN"/>
        </w:rPr>
        <w:t>国家卫生信息技术联盟向国家卫生信息技术协调员办公室提交的关于定义关键卫生信息技术术语的报告，</w:t>
      </w:r>
      <w:r>
        <w:rPr>
          <w:rFonts w:cs="宋体"/>
          <w:sz w:val="21"/>
          <w:lang w:eastAsia="zh-CN"/>
        </w:rPr>
        <w:t>2008</w:t>
      </w:r>
      <w:r>
        <w:rPr>
          <w:rFonts w:cs="宋体"/>
          <w:sz w:val="21"/>
          <w:lang w:eastAsia="zh-CN"/>
        </w:rPr>
        <w:t>年</w:t>
      </w:r>
      <w:r>
        <w:rPr>
          <w:rFonts w:cs="宋体"/>
          <w:sz w:val="21"/>
          <w:lang w:eastAsia="zh-CN"/>
        </w:rPr>
        <w:t>4</w:t>
      </w:r>
      <w:r>
        <w:rPr>
          <w:rFonts w:cs="宋体"/>
          <w:sz w:val="21"/>
          <w:lang w:eastAsia="zh-CN"/>
        </w:rPr>
        <w:t>月</w:t>
      </w:r>
      <w:r>
        <w:rPr>
          <w:rFonts w:cs="宋体"/>
          <w:sz w:val="21"/>
          <w:lang w:eastAsia="zh-CN"/>
        </w:rPr>
        <w:t>28</w:t>
      </w:r>
      <w:r>
        <w:rPr>
          <w:rFonts w:cs="宋体"/>
          <w:sz w:val="21"/>
          <w:lang w:eastAsia="zh-CN"/>
        </w:rPr>
        <w:t>日。（</w:t>
      </w:r>
      <w:r>
        <w:rPr>
          <w:rFonts w:cs="宋体"/>
          <w:color w:val="0000FF"/>
          <w:sz w:val="21"/>
          <w:u w:val="single"/>
          <w:lang w:eastAsia="zh-CN"/>
        </w:rPr>
        <w:t>http://www.himss.org/national-alliance-health-information-technology-report-office-national-coordinator-health</w:t>
      </w:r>
      <w:r>
        <w:rPr>
          <w:rFonts w:cs="宋体"/>
          <w:sz w:val="21"/>
          <w:lang w:eastAsia="zh-CN"/>
        </w:rPr>
        <w:t>）</w:t>
      </w:r>
      <w:r>
        <w:rPr>
          <w:rFonts w:cs="宋体" w:hint="eastAsia"/>
          <w:sz w:val="21"/>
          <w:lang w:eastAsia="zh-CN"/>
        </w:rPr>
        <w:t>。</w:t>
      </w:r>
      <w:r>
        <w:rPr>
          <w:rFonts w:cs="宋体"/>
          <w:lang w:eastAsia="zh-CN"/>
        </w:rPr>
        <w:br w:type="page"/>
      </w:r>
    </w:p>
    <w:p w14:paraId="41AFFB5D" w14:textId="77777777" w:rsidR="00D33511" w:rsidRDefault="0086799F">
      <w:pPr>
        <w:pStyle w:val="af0"/>
        <w:numPr>
          <w:ilvl w:val="0"/>
          <w:numId w:val="9"/>
        </w:numPr>
        <w:spacing w:before="120"/>
        <w:ind w:left="704" w:firstLineChars="0"/>
      </w:pPr>
      <w:r>
        <w:rPr>
          <w:rFonts w:cs="宋体"/>
          <w:b/>
          <w:lang w:eastAsia="zh-CN"/>
        </w:rPr>
        <w:lastRenderedPageBreak/>
        <w:t>介入研究</w:t>
      </w:r>
      <w:r>
        <w:rPr>
          <w:rFonts w:cs="宋体"/>
          <w:lang w:eastAsia="zh-CN"/>
        </w:rPr>
        <w:t>-“</w:t>
      </w:r>
      <w:r>
        <w:rPr>
          <w:rFonts w:cs="宋体"/>
          <w:lang w:eastAsia="zh-CN"/>
        </w:rPr>
        <w:t>参与者被分配接受一次或多次介入（或不介入），以便研究人员可以评价介入治疗对生物医学或健康相关结局影响的临床研究。按研究方案确定分配。参与者可能会接受诊断、治疗或其他类型的介入。</w:t>
      </w:r>
      <w:r>
        <w:rPr>
          <w:rFonts w:cs="宋体"/>
        </w:rPr>
        <w:t>”</w:t>
      </w:r>
      <w:r>
        <w:rPr>
          <w:rFonts w:cs="宋体"/>
          <w:vertAlign w:val="superscript"/>
        </w:rPr>
        <w:t>32</w:t>
      </w:r>
    </w:p>
    <w:p w14:paraId="174AEB11" w14:textId="77777777" w:rsidR="00D33511" w:rsidRDefault="0086799F">
      <w:pPr>
        <w:pStyle w:val="af0"/>
        <w:numPr>
          <w:ilvl w:val="0"/>
          <w:numId w:val="9"/>
        </w:numPr>
        <w:spacing w:before="120"/>
        <w:ind w:left="704" w:firstLineChars="0"/>
      </w:pPr>
      <w:r>
        <w:rPr>
          <w:rFonts w:cs="宋体"/>
          <w:b/>
          <w:lang w:eastAsia="zh-CN"/>
        </w:rPr>
        <w:t>大型简单试验</w:t>
      </w:r>
      <w:r>
        <w:rPr>
          <w:rFonts w:cs="宋体"/>
          <w:lang w:eastAsia="zh-CN"/>
        </w:rPr>
        <w:t>-“</w:t>
      </w:r>
      <w:r>
        <w:rPr>
          <w:rFonts w:cs="宋体"/>
          <w:lang w:eastAsia="zh-CN"/>
        </w:rPr>
        <w:t>大型简单试验（</w:t>
      </w:r>
      <w:r>
        <w:rPr>
          <w:rFonts w:cs="宋体"/>
          <w:lang w:eastAsia="zh-CN"/>
        </w:rPr>
        <w:t>LST</w:t>
      </w:r>
      <w:r>
        <w:rPr>
          <w:rFonts w:cs="宋体"/>
          <w:lang w:eastAsia="zh-CN"/>
        </w:rPr>
        <w:t>）是指一种随机临床试验（</w:t>
      </w:r>
      <w:r>
        <w:rPr>
          <w:rFonts w:cs="宋体"/>
          <w:lang w:eastAsia="zh-CN"/>
        </w:rPr>
        <w:t>RCT</w:t>
      </w:r>
      <w:r>
        <w:rPr>
          <w:rFonts w:cs="宋体"/>
          <w:lang w:eastAsia="zh-CN"/>
        </w:rPr>
        <w:t>），在理想情况下，适用于解答很多重要的临床问题，并且由于通常可以解答关于更广泛患者群体的一个或两个问题，所以比其他大型</w:t>
      </w:r>
      <w:r>
        <w:rPr>
          <w:rFonts w:cs="宋体"/>
          <w:lang w:eastAsia="zh-CN"/>
        </w:rPr>
        <w:t>RCT</w:t>
      </w:r>
      <w:r>
        <w:rPr>
          <w:rFonts w:cs="宋体"/>
          <w:lang w:eastAsia="zh-CN"/>
        </w:rPr>
        <w:t>的效率更高且成本更低。</w:t>
      </w:r>
      <w:r>
        <w:rPr>
          <w:rFonts w:cs="宋体"/>
          <w:lang w:eastAsia="zh-CN"/>
        </w:rPr>
        <w:t>LST</w:t>
      </w:r>
      <w:r>
        <w:rPr>
          <w:rFonts w:cs="宋体"/>
          <w:lang w:eastAsia="zh-CN"/>
        </w:rPr>
        <w:t>有较大的样本量和统计学把握度，可检出临床相关治疗作用，提供明确结果并尽量减少随机误差的影响。</w:t>
      </w:r>
      <w:r>
        <w:rPr>
          <w:rFonts w:cs="宋体"/>
        </w:rPr>
        <w:t>”</w:t>
      </w:r>
      <w:r>
        <w:rPr>
          <w:rFonts w:cs="宋体"/>
          <w:vertAlign w:val="superscript"/>
        </w:rPr>
        <w:t>33</w:t>
      </w:r>
    </w:p>
    <w:p w14:paraId="30289B35" w14:textId="77777777" w:rsidR="00D33511" w:rsidRDefault="0086799F">
      <w:pPr>
        <w:pStyle w:val="af0"/>
        <w:numPr>
          <w:ilvl w:val="0"/>
          <w:numId w:val="9"/>
        </w:numPr>
        <w:spacing w:before="120"/>
        <w:ind w:left="704" w:firstLineChars="0"/>
      </w:pPr>
      <w:r>
        <w:rPr>
          <w:rFonts w:cs="宋体"/>
          <w:b/>
          <w:lang w:eastAsia="zh-CN"/>
        </w:rPr>
        <w:t>医疗行政管理赔付数据</w:t>
      </w:r>
      <w:r>
        <w:rPr>
          <w:rFonts w:cs="宋体"/>
          <w:lang w:eastAsia="zh-CN"/>
        </w:rPr>
        <w:t>-“</w:t>
      </w:r>
      <w:r>
        <w:rPr>
          <w:rFonts w:cs="宋体"/>
          <w:lang w:eastAsia="zh-CN"/>
        </w:rPr>
        <w:t>赔付数据来自个人使用的医疗系统</w:t>
      </w:r>
      <w:r>
        <w:rPr>
          <w:rFonts w:cs="宋体"/>
          <w:lang w:eastAsia="zh-CN"/>
        </w:rPr>
        <w:t>[</w:t>
      </w:r>
      <w:r>
        <w:rPr>
          <w:rFonts w:cs="宋体"/>
          <w:lang w:eastAsia="zh-CN"/>
        </w:rPr>
        <w:t>和医疗机构对该治疗的报销</w:t>
      </w:r>
      <w:r>
        <w:rPr>
          <w:rFonts w:cs="宋体"/>
          <w:lang w:eastAsia="zh-CN"/>
        </w:rPr>
        <w:t>]</w:t>
      </w:r>
      <w:r>
        <w:rPr>
          <w:rFonts w:cs="宋体"/>
          <w:lang w:eastAsia="zh-CN"/>
        </w:rPr>
        <w:t>。</w:t>
      </w:r>
      <w:r>
        <w:rPr>
          <w:rFonts w:cs="宋体"/>
        </w:rPr>
        <w:t>”</w:t>
      </w:r>
      <w:r>
        <w:rPr>
          <w:rFonts w:cs="宋体"/>
          <w:vertAlign w:val="superscript"/>
        </w:rPr>
        <w:t>34</w:t>
      </w:r>
    </w:p>
    <w:p w14:paraId="20D7044B" w14:textId="77777777" w:rsidR="00D33511" w:rsidRDefault="0086799F">
      <w:pPr>
        <w:pStyle w:val="af0"/>
        <w:numPr>
          <w:ilvl w:val="0"/>
          <w:numId w:val="9"/>
        </w:numPr>
        <w:spacing w:before="120"/>
        <w:ind w:left="704" w:firstLineChars="0"/>
      </w:pPr>
      <w:r>
        <w:rPr>
          <w:rFonts w:cs="宋体"/>
          <w:b/>
          <w:lang w:eastAsia="zh-CN"/>
        </w:rPr>
        <w:t>医疗器械注册登记</w:t>
      </w:r>
      <w:r>
        <w:rPr>
          <w:rFonts w:cs="宋体"/>
          <w:lang w:eastAsia="zh-CN"/>
        </w:rPr>
        <w:t>-“</w:t>
      </w:r>
      <w:r>
        <w:rPr>
          <w:rFonts w:cs="宋体"/>
          <w:lang w:eastAsia="zh-CN"/>
        </w:rPr>
        <w:t>一种组织化系统，可持续不断收集与常规临床治疗相关的数据、评价有意义的结局并且以合理规模全面涵盖了器械的暴露人群（例如：国际、国家、地区和卫生系统），主要目的是提高患者治疗质量。</w:t>
      </w:r>
      <w:r>
        <w:rPr>
          <w:rFonts w:cs="宋体"/>
        </w:rPr>
        <w:t>”</w:t>
      </w:r>
      <w:r>
        <w:rPr>
          <w:rFonts w:cs="宋体"/>
          <w:vertAlign w:val="superscript"/>
        </w:rPr>
        <w:t>35</w:t>
      </w:r>
    </w:p>
    <w:p w14:paraId="73CC6206" w14:textId="77777777" w:rsidR="00D33511" w:rsidRDefault="0086799F">
      <w:pPr>
        <w:pStyle w:val="af0"/>
        <w:numPr>
          <w:ilvl w:val="0"/>
          <w:numId w:val="9"/>
        </w:numPr>
        <w:spacing w:before="120"/>
        <w:ind w:left="704" w:firstLineChars="0"/>
      </w:pPr>
      <w:r>
        <w:rPr>
          <w:rFonts w:cs="宋体"/>
          <w:b/>
          <w:lang w:eastAsia="zh-CN"/>
        </w:rPr>
        <w:t>医学公认的标准疗法</w:t>
      </w:r>
      <w:r>
        <w:rPr>
          <w:rFonts w:cs="宋体"/>
          <w:lang w:eastAsia="zh-CN"/>
        </w:rPr>
        <w:t>-“</w:t>
      </w:r>
      <w:r>
        <w:rPr>
          <w:rFonts w:cs="宋体"/>
          <w:lang w:eastAsia="zh-CN"/>
        </w:rPr>
        <w:t>医学公认的标准疗法是指医学专家公认的适合于特定类型疾病或病情的治疗或规程，并且是医疗专业人士的常用疗法。医学公认的标准疗法通常已发表于同行审评期刊或者经过专业医学协会的某种形式的认可。</w:t>
      </w:r>
      <w:r>
        <w:rPr>
          <w:rFonts w:cs="宋体"/>
        </w:rPr>
        <w:t>此类公认标准疗法的证据基础各不相同。</w:t>
      </w:r>
      <w:r>
        <w:rPr>
          <w:rFonts w:cs="宋体"/>
        </w:rPr>
        <w:t>”</w:t>
      </w:r>
      <w:r>
        <w:rPr>
          <w:rFonts w:cs="宋体"/>
          <w:vertAlign w:val="superscript"/>
        </w:rPr>
        <w:t>36</w:t>
      </w:r>
    </w:p>
    <w:p w14:paraId="02D9638A" w14:textId="77777777" w:rsidR="00D33511" w:rsidRDefault="0086799F">
      <w:pPr>
        <w:pStyle w:val="af0"/>
        <w:numPr>
          <w:ilvl w:val="0"/>
          <w:numId w:val="9"/>
        </w:numPr>
        <w:spacing w:before="120"/>
        <w:ind w:left="704" w:firstLineChars="0"/>
      </w:pPr>
      <w:r>
        <w:rPr>
          <w:rFonts w:cs="宋体"/>
          <w:b/>
          <w:lang w:eastAsia="zh-CN"/>
        </w:rPr>
        <w:t>观察性研究</w:t>
      </w:r>
      <w:r>
        <w:rPr>
          <w:rFonts w:cs="宋体"/>
          <w:lang w:eastAsia="zh-CN"/>
        </w:rPr>
        <w:t>-“</w:t>
      </w:r>
      <w:r>
        <w:rPr>
          <w:rFonts w:cs="宋体"/>
          <w:lang w:eastAsia="zh-CN"/>
        </w:rPr>
        <w:t>该研究不涉及研究者的任何介入（实验或其他方式）；例如：一种研究健康状况的变化与其他特征的变化之间关系的群体研究。大部分的分析流行病学设计（值得注意的是病例对照研究和队列研究）均属于观察性研究，因为研究者只进行观察而不采取介入措施，只进行记录、分类、计数并分析结果。</w:t>
      </w:r>
      <w:r>
        <w:rPr>
          <w:rFonts w:cs="宋体"/>
        </w:rPr>
        <w:t>”</w:t>
      </w:r>
      <w:r>
        <w:rPr>
          <w:rFonts w:cs="宋体"/>
          <w:vertAlign w:val="superscript"/>
        </w:rPr>
        <w:t>37</w:t>
      </w:r>
    </w:p>
    <w:p w14:paraId="68CC5336" w14:textId="77777777" w:rsidR="00D33511" w:rsidRDefault="0086799F">
      <w:pPr>
        <w:pBdr>
          <w:top w:val="single" w:sz="4" w:space="1" w:color="auto"/>
          <w:bottom w:val="single" w:sz="4" w:space="1" w:color="auto"/>
        </w:pBdr>
        <w:wordWrap w:val="0"/>
        <w:spacing w:beforeLines="850" w:before="2040"/>
        <w:rPr>
          <w:sz w:val="21"/>
          <w:szCs w:val="21"/>
        </w:rPr>
      </w:pPr>
      <w:r>
        <w:rPr>
          <w:rFonts w:cs="宋体"/>
          <w:sz w:val="21"/>
          <w:vertAlign w:val="superscript"/>
        </w:rPr>
        <w:t>32</w:t>
      </w:r>
      <w:r>
        <w:rPr>
          <w:rFonts w:cs="宋体"/>
          <w:sz w:val="21"/>
        </w:rPr>
        <w:t xml:space="preserve"> https://www.clinicaltrials.gov/ct2/about-studies/glossary</w:t>
      </w:r>
    </w:p>
    <w:p w14:paraId="01A133A9" w14:textId="77777777" w:rsidR="00D33511" w:rsidRDefault="0086799F">
      <w:pPr>
        <w:pBdr>
          <w:top w:val="single" w:sz="4" w:space="1" w:color="auto"/>
          <w:bottom w:val="single" w:sz="4" w:space="1" w:color="auto"/>
        </w:pBdr>
        <w:wordWrap w:val="0"/>
        <w:spacing w:beforeLines="0" w:before="0"/>
        <w:rPr>
          <w:sz w:val="21"/>
          <w:szCs w:val="21"/>
          <w:lang w:eastAsia="zh-CN"/>
        </w:rPr>
      </w:pPr>
      <w:r>
        <w:rPr>
          <w:rFonts w:cs="宋体"/>
          <w:sz w:val="21"/>
          <w:vertAlign w:val="superscript"/>
        </w:rPr>
        <w:t>33</w:t>
      </w:r>
      <w:r>
        <w:rPr>
          <w:rFonts w:cs="宋体"/>
          <w:sz w:val="21"/>
        </w:rPr>
        <w:t>项目：大型简单试验；临床试验转化计划（</w:t>
      </w:r>
      <w:hyperlink r:id="rId14" w:history="1">
        <w:r>
          <w:rPr>
            <w:rStyle w:val="a7"/>
            <w:rFonts w:cs="宋体"/>
            <w:sz w:val="21"/>
          </w:rPr>
          <w:t>https://www.ctticlinicaltrials.org/projects/large-simple-trials</w:t>
        </w:r>
      </w:hyperlink>
      <w:r>
        <w:rPr>
          <w:rFonts w:cs="宋体"/>
          <w:sz w:val="21"/>
        </w:rPr>
        <w:t>）</w:t>
      </w:r>
      <w:r>
        <w:rPr>
          <w:rFonts w:cs="宋体" w:hint="eastAsia"/>
          <w:sz w:val="21"/>
          <w:lang w:eastAsia="zh-CN"/>
        </w:rPr>
        <w:t>。</w:t>
      </w:r>
    </w:p>
    <w:p w14:paraId="20479A3C" w14:textId="77777777" w:rsidR="00D33511" w:rsidRDefault="0086799F">
      <w:pPr>
        <w:wordWrap w:val="0"/>
        <w:spacing w:beforeLines="0" w:before="0"/>
        <w:rPr>
          <w:sz w:val="21"/>
          <w:szCs w:val="21"/>
        </w:rPr>
      </w:pPr>
      <w:r>
        <w:rPr>
          <w:rFonts w:cs="宋体"/>
          <w:sz w:val="21"/>
          <w:vertAlign w:val="superscript"/>
        </w:rPr>
        <w:t>34</w:t>
      </w:r>
      <w:r>
        <w:rPr>
          <w:rFonts w:cs="宋体"/>
          <w:sz w:val="21"/>
        </w:rPr>
        <w:t xml:space="preserve"> Strom, Brian. </w:t>
      </w:r>
      <w:proofErr w:type="spellStart"/>
      <w:r>
        <w:rPr>
          <w:rFonts w:cs="宋体"/>
          <w:sz w:val="21"/>
        </w:rPr>
        <w:t>Pharmacoepidemiology.Chichester</w:t>
      </w:r>
      <w:proofErr w:type="spellEnd"/>
      <w:r>
        <w:rPr>
          <w:rFonts w:cs="宋体"/>
          <w:sz w:val="21"/>
        </w:rPr>
        <w:t>, England: John Wiley and Sons, 2005.</w:t>
      </w:r>
    </w:p>
    <w:p w14:paraId="75F4C058" w14:textId="77777777" w:rsidR="00D33511" w:rsidRDefault="0086799F">
      <w:pPr>
        <w:pBdr>
          <w:bottom w:val="single" w:sz="4" w:space="1" w:color="auto"/>
        </w:pBdr>
        <w:wordWrap w:val="0"/>
        <w:spacing w:beforeLines="0" w:before="0"/>
        <w:rPr>
          <w:sz w:val="21"/>
          <w:szCs w:val="21"/>
          <w:lang w:eastAsia="zh-CN"/>
        </w:rPr>
      </w:pPr>
      <w:r>
        <w:rPr>
          <w:rFonts w:cs="宋体"/>
          <w:sz w:val="21"/>
          <w:vertAlign w:val="superscript"/>
          <w:lang w:eastAsia="zh-CN"/>
        </w:rPr>
        <w:t>35</w:t>
      </w:r>
      <w:r>
        <w:rPr>
          <w:rFonts w:cs="宋体"/>
          <w:sz w:val="21"/>
          <w:lang w:eastAsia="zh-CN"/>
        </w:rPr>
        <w:t xml:space="preserve"> IMDRF</w:t>
      </w:r>
      <w:r>
        <w:rPr>
          <w:rFonts w:cs="宋体"/>
          <w:sz w:val="21"/>
          <w:lang w:eastAsia="zh-CN"/>
        </w:rPr>
        <w:t>注册登记基本原则。可登录以下网址获取：</w:t>
      </w:r>
      <w:r>
        <w:rPr>
          <w:rFonts w:cs="宋体"/>
          <w:color w:val="0000FF"/>
          <w:sz w:val="21"/>
          <w:u w:val="single"/>
          <w:lang w:eastAsia="zh-CN"/>
        </w:rPr>
        <w:t>http://www.imdrf.org/docs/imdrf/final/commonsults/imdrf-cons-essential-principles-151124.pdf</w:t>
      </w:r>
      <w:r>
        <w:rPr>
          <w:rFonts w:cs="宋体"/>
          <w:sz w:val="21"/>
          <w:lang w:eastAsia="zh-CN"/>
        </w:rPr>
        <w:t>。</w:t>
      </w:r>
      <w:r>
        <w:rPr>
          <w:rFonts w:cs="宋体"/>
          <w:sz w:val="21"/>
          <w:lang w:eastAsia="zh-CN"/>
        </w:rPr>
        <w:t>2016</w:t>
      </w:r>
      <w:r>
        <w:rPr>
          <w:rFonts w:cs="宋体"/>
          <w:sz w:val="21"/>
          <w:lang w:eastAsia="zh-CN"/>
        </w:rPr>
        <w:t>年</w:t>
      </w:r>
      <w:r>
        <w:rPr>
          <w:rFonts w:cs="宋体"/>
          <w:sz w:val="21"/>
          <w:lang w:eastAsia="zh-CN"/>
        </w:rPr>
        <w:t>8</w:t>
      </w:r>
      <w:r>
        <w:rPr>
          <w:rFonts w:cs="宋体"/>
          <w:sz w:val="21"/>
          <w:lang w:eastAsia="zh-CN"/>
        </w:rPr>
        <w:t>月</w:t>
      </w:r>
      <w:r>
        <w:rPr>
          <w:rFonts w:cs="宋体"/>
          <w:sz w:val="21"/>
          <w:lang w:eastAsia="zh-CN"/>
        </w:rPr>
        <w:t>3</w:t>
      </w:r>
      <w:r>
        <w:rPr>
          <w:rFonts w:cs="宋体"/>
          <w:sz w:val="21"/>
          <w:lang w:eastAsia="zh-CN"/>
        </w:rPr>
        <w:t>日访问</w:t>
      </w:r>
    </w:p>
    <w:p w14:paraId="4983DF6D" w14:textId="77777777" w:rsidR="00D33511" w:rsidRDefault="0086799F">
      <w:pPr>
        <w:wordWrap w:val="0"/>
        <w:spacing w:beforeLines="0" w:before="0"/>
        <w:rPr>
          <w:sz w:val="21"/>
          <w:szCs w:val="21"/>
          <w:lang w:eastAsia="zh-CN"/>
        </w:rPr>
      </w:pPr>
      <w:r>
        <w:rPr>
          <w:rFonts w:cs="宋体"/>
          <w:sz w:val="21"/>
          <w:vertAlign w:val="superscript"/>
          <w:lang w:eastAsia="zh-CN"/>
        </w:rPr>
        <w:t>36</w:t>
      </w:r>
      <w:r>
        <w:rPr>
          <w:rFonts w:cs="宋体"/>
          <w:sz w:val="21"/>
          <w:lang w:eastAsia="zh-CN"/>
        </w:rPr>
        <w:t>涉及标准治疗干预的研究中的伦理审评与监督问题：医学研究所</w:t>
      </w:r>
      <w:r>
        <w:rPr>
          <w:rFonts w:cs="宋体"/>
          <w:sz w:val="21"/>
          <w:lang w:eastAsia="zh-CN"/>
        </w:rPr>
        <w:t>2015</w:t>
      </w:r>
      <w:r>
        <w:rPr>
          <w:rFonts w:cs="宋体"/>
          <w:sz w:val="21"/>
          <w:lang w:eastAsia="zh-CN"/>
        </w:rPr>
        <w:t>研讨会（</w:t>
      </w:r>
      <w:r>
        <w:rPr>
          <w:rFonts w:cs="宋体"/>
          <w:color w:val="0000FF"/>
          <w:sz w:val="21"/>
          <w:u w:val="single"/>
          <w:lang w:eastAsia="zh-CN"/>
        </w:rPr>
        <w:t>https://www.nap.edu/read/21668/chapter/1</w:t>
      </w:r>
      <w:r>
        <w:rPr>
          <w:rFonts w:cs="宋体"/>
          <w:sz w:val="21"/>
          <w:lang w:eastAsia="zh-CN"/>
        </w:rPr>
        <w:t>）</w:t>
      </w:r>
      <w:r>
        <w:rPr>
          <w:rFonts w:cs="宋体" w:hint="eastAsia"/>
          <w:sz w:val="21"/>
          <w:lang w:eastAsia="zh-CN"/>
        </w:rPr>
        <w:t>。</w:t>
      </w:r>
    </w:p>
    <w:p w14:paraId="631F2699" w14:textId="77777777" w:rsidR="00D33511" w:rsidRDefault="0086799F">
      <w:pPr>
        <w:wordWrap w:val="0"/>
        <w:spacing w:beforeLines="0" w:before="0"/>
      </w:pPr>
      <w:r>
        <w:rPr>
          <w:rFonts w:cs="宋体"/>
          <w:sz w:val="21"/>
          <w:vertAlign w:val="superscript"/>
        </w:rPr>
        <w:t>37</w:t>
      </w:r>
      <w:r>
        <w:rPr>
          <w:rFonts w:cs="宋体"/>
          <w:sz w:val="21"/>
        </w:rPr>
        <w:t xml:space="preserve"> Dictionary of Epidemiology (6 ed.) Oxford Reference </w:t>
      </w:r>
      <w:r>
        <w:rPr>
          <w:rFonts w:cs="宋体"/>
          <w:color w:val="0000FF"/>
          <w:sz w:val="21"/>
          <w:u w:val="single"/>
        </w:rPr>
        <w:t>http://irea.ir/files/site1/pages/dictionary.pdf.</w:t>
      </w:r>
    </w:p>
    <w:p w14:paraId="3D1898CB" w14:textId="77777777" w:rsidR="00D33511" w:rsidRDefault="0086799F">
      <w:pPr>
        <w:pStyle w:val="af0"/>
        <w:numPr>
          <w:ilvl w:val="0"/>
          <w:numId w:val="9"/>
        </w:numPr>
        <w:spacing w:before="120"/>
        <w:ind w:left="704" w:firstLineChars="0"/>
      </w:pPr>
      <w:r>
        <w:rPr>
          <w:rFonts w:cs="宋体"/>
          <w:b/>
          <w:lang w:eastAsia="zh-CN"/>
        </w:rPr>
        <w:lastRenderedPageBreak/>
        <w:t>上市后监督</w:t>
      </w:r>
      <w:r>
        <w:rPr>
          <w:rFonts w:cs="宋体"/>
          <w:lang w:eastAsia="zh-CN"/>
        </w:rPr>
        <w:t>-“</w:t>
      </w:r>
      <w:r>
        <w:rPr>
          <w:rFonts w:cs="宋体"/>
          <w:lang w:eastAsia="zh-CN"/>
        </w:rPr>
        <w:t>上市后监督是以主动、系统、科学有效的方式采集、分析并解读关于已上市医疗器械的数据和其他信息的过程。</w:t>
      </w:r>
      <w:r>
        <w:rPr>
          <w:rFonts w:cs="宋体"/>
        </w:rPr>
        <w:t>”</w:t>
      </w:r>
      <w:r>
        <w:rPr>
          <w:rFonts w:cs="宋体"/>
          <w:vertAlign w:val="superscript"/>
        </w:rPr>
        <w:t>38</w:t>
      </w:r>
    </w:p>
    <w:p w14:paraId="73AA7C15" w14:textId="77D65701" w:rsidR="00D33511" w:rsidRDefault="0086799F">
      <w:pPr>
        <w:pStyle w:val="af0"/>
        <w:numPr>
          <w:ilvl w:val="0"/>
          <w:numId w:val="9"/>
        </w:numPr>
        <w:spacing w:before="120"/>
        <w:ind w:left="704" w:firstLineChars="0"/>
        <w:rPr>
          <w:lang w:eastAsia="zh-CN"/>
        </w:rPr>
      </w:pPr>
      <w:r>
        <w:rPr>
          <w:rFonts w:cs="宋体"/>
          <w:b/>
          <w:lang w:eastAsia="zh-CN"/>
        </w:rPr>
        <w:t>范式临床试验（</w:t>
      </w:r>
      <w:r>
        <w:rPr>
          <w:rFonts w:cs="宋体"/>
          <w:b/>
          <w:lang w:eastAsia="zh-CN"/>
        </w:rPr>
        <w:t>PCT</w:t>
      </w:r>
      <w:r>
        <w:rPr>
          <w:rFonts w:cs="宋体"/>
          <w:b/>
          <w:lang w:eastAsia="zh-CN"/>
        </w:rPr>
        <w:t>）</w:t>
      </w:r>
      <w:r>
        <w:rPr>
          <w:rFonts w:cs="宋体"/>
          <w:lang w:eastAsia="zh-CN"/>
        </w:rPr>
        <w:t>-</w:t>
      </w:r>
      <w:r>
        <w:rPr>
          <w:rFonts w:cs="宋体"/>
          <w:lang w:eastAsia="zh-CN"/>
        </w:rPr>
        <w:t>是指</w:t>
      </w:r>
      <w:r>
        <w:rPr>
          <w:rFonts w:cs="宋体"/>
          <w:lang w:eastAsia="zh-CN"/>
        </w:rPr>
        <w:t>“</w:t>
      </w:r>
      <w:r>
        <w:rPr>
          <w:rFonts w:cs="宋体"/>
          <w:lang w:eastAsia="zh-CN"/>
        </w:rPr>
        <w:t>主要目的是向决策者提供关于个体或群体层面的生物医学或行为健康介入的</w:t>
      </w:r>
      <w:r w:rsidR="00733EC2">
        <w:rPr>
          <w:rFonts w:cs="宋体"/>
          <w:lang w:eastAsia="zh-CN"/>
        </w:rPr>
        <w:t>受益</w:t>
      </w:r>
      <w:r>
        <w:rPr>
          <w:rFonts w:cs="宋体"/>
          <w:lang w:eastAsia="zh-CN"/>
        </w:rPr>
        <w:t>、负担和风险的比较平衡</w:t>
      </w:r>
      <w:r>
        <w:rPr>
          <w:rFonts w:cs="宋体"/>
          <w:lang w:eastAsia="zh-CN"/>
        </w:rPr>
        <w:t>”</w:t>
      </w:r>
      <w:r>
        <w:rPr>
          <w:rFonts w:cs="宋体"/>
          <w:lang w:eastAsia="zh-CN"/>
        </w:rPr>
        <w:t>的临床试验。</w:t>
      </w:r>
      <w:r>
        <w:rPr>
          <w:rFonts w:cs="宋体"/>
          <w:vertAlign w:val="superscript"/>
          <w:lang w:eastAsia="zh-CN"/>
        </w:rPr>
        <w:t>39</w:t>
      </w:r>
    </w:p>
    <w:p w14:paraId="6E6737C0" w14:textId="77777777" w:rsidR="00D33511" w:rsidRDefault="0086799F">
      <w:pPr>
        <w:pStyle w:val="af0"/>
        <w:numPr>
          <w:ilvl w:val="0"/>
          <w:numId w:val="9"/>
        </w:numPr>
        <w:spacing w:before="120"/>
        <w:ind w:left="704" w:firstLineChars="0"/>
      </w:pPr>
      <w:r>
        <w:rPr>
          <w:rFonts w:cs="宋体"/>
          <w:b/>
          <w:lang w:eastAsia="zh-CN"/>
        </w:rPr>
        <w:t>前瞻性研究</w:t>
      </w:r>
      <w:r>
        <w:rPr>
          <w:rFonts w:cs="宋体"/>
          <w:lang w:eastAsia="zh-CN"/>
        </w:rPr>
        <w:t>-“</w:t>
      </w:r>
      <w:r>
        <w:rPr>
          <w:rFonts w:cs="宋体"/>
          <w:lang w:eastAsia="zh-CN"/>
        </w:rPr>
        <w:t>前瞻性研究设计（也被称为并行队列研究）在研究开始时确定相关原始人群，并于该时间点以后收集暴露／治疗和结局数据。</w:t>
      </w:r>
      <w:r>
        <w:rPr>
          <w:rFonts w:cs="宋体"/>
          <w:lang w:eastAsia="zh-CN"/>
        </w:rPr>
        <w:t>‘</w:t>
      </w:r>
      <w:r>
        <w:rPr>
          <w:rFonts w:cs="宋体"/>
          <w:lang w:eastAsia="zh-CN"/>
        </w:rPr>
        <w:t>研究开始</w:t>
      </w:r>
      <w:r>
        <w:rPr>
          <w:rFonts w:cs="宋体"/>
          <w:lang w:eastAsia="zh-CN"/>
        </w:rPr>
        <w:t>’</w:t>
      </w:r>
      <w:r>
        <w:rPr>
          <w:rFonts w:cs="宋体"/>
          <w:lang w:eastAsia="zh-CN"/>
        </w:rPr>
        <w:t>定义为关于特定研究问题的研究方案启动的时间。</w:t>
      </w:r>
      <w:r>
        <w:rPr>
          <w:rFonts w:cs="宋体"/>
        </w:rPr>
        <w:t>”</w:t>
      </w:r>
      <w:r>
        <w:rPr>
          <w:rFonts w:cs="宋体"/>
          <w:vertAlign w:val="superscript"/>
        </w:rPr>
        <w:t>40</w:t>
      </w:r>
    </w:p>
    <w:p w14:paraId="08D29FFD" w14:textId="77777777" w:rsidR="00D33511" w:rsidRDefault="0086799F">
      <w:pPr>
        <w:pStyle w:val="af0"/>
        <w:numPr>
          <w:ilvl w:val="0"/>
          <w:numId w:val="9"/>
        </w:numPr>
        <w:spacing w:before="120"/>
        <w:ind w:left="704" w:firstLineChars="0"/>
        <w:rPr>
          <w:lang w:eastAsia="zh-CN"/>
        </w:rPr>
      </w:pPr>
      <w:r>
        <w:rPr>
          <w:rFonts w:cs="宋体"/>
          <w:b/>
          <w:lang w:eastAsia="zh-CN"/>
        </w:rPr>
        <w:t>真实世界数据（</w:t>
      </w:r>
      <w:r>
        <w:rPr>
          <w:rFonts w:cs="宋体"/>
          <w:b/>
          <w:lang w:eastAsia="zh-CN"/>
        </w:rPr>
        <w:t>RWD</w:t>
      </w:r>
      <w:r>
        <w:rPr>
          <w:rFonts w:cs="宋体"/>
          <w:b/>
          <w:lang w:eastAsia="zh-CN"/>
        </w:rPr>
        <w:t>）</w:t>
      </w:r>
      <w:r>
        <w:rPr>
          <w:rFonts w:cs="宋体"/>
          <w:lang w:eastAsia="zh-CN"/>
        </w:rPr>
        <w:t>是指从各种来源常规收集的与患者健康状况和／或医疗服务相关的数据。</w:t>
      </w:r>
    </w:p>
    <w:p w14:paraId="13505B4B" w14:textId="1E104C16" w:rsidR="00D33511" w:rsidRDefault="0086799F">
      <w:pPr>
        <w:pStyle w:val="af0"/>
        <w:numPr>
          <w:ilvl w:val="0"/>
          <w:numId w:val="9"/>
        </w:numPr>
        <w:spacing w:before="120"/>
        <w:ind w:left="704" w:firstLineChars="0"/>
        <w:rPr>
          <w:lang w:eastAsia="zh-CN"/>
        </w:rPr>
      </w:pPr>
      <w:r>
        <w:rPr>
          <w:rFonts w:cs="宋体"/>
          <w:b/>
          <w:lang w:eastAsia="zh-CN"/>
        </w:rPr>
        <w:t>真实世界证据（</w:t>
      </w:r>
      <w:r>
        <w:rPr>
          <w:rFonts w:cs="宋体"/>
          <w:b/>
          <w:lang w:eastAsia="zh-CN"/>
        </w:rPr>
        <w:t>RWE</w:t>
      </w:r>
      <w:r>
        <w:rPr>
          <w:rFonts w:cs="宋体"/>
          <w:b/>
          <w:lang w:eastAsia="zh-CN"/>
        </w:rPr>
        <w:t>）</w:t>
      </w:r>
      <w:r>
        <w:rPr>
          <w:rFonts w:cs="宋体"/>
          <w:lang w:eastAsia="zh-CN"/>
        </w:rPr>
        <w:t>是指通过分析</w:t>
      </w:r>
      <w:r>
        <w:rPr>
          <w:rFonts w:cs="宋体"/>
          <w:lang w:eastAsia="zh-CN"/>
        </w:rPr>
        <w:t>RWD</w:t>
      </w:r>
      <w:r>
        <w:rPr>
          <w:rFonts w:cs="宋体"/>
          <w:lang w:eastAsia="zh-CN"/>
        </w:rPr>
        <w:t>得出的关于药物产品的使用以及潜在</w:t>
      </w:r>
      <w:r w:rsidR="00733EC2">
        <w:rPr>
          <w:rFonts w:cs="宋体"/>
          <w:lang w:eastAsia="zh-CN"/>
        </w:rPr>
        <w:t>受益</w:t>
      </w:r>
      <w:r>
        <w:rPr>
          <w:rFonts w:cs="宋体"/>
          <w:lang w:eastAsia="zh-CN"/>
        </w:rPr>
        <w:t>或风险的临床证据。</w:t>
      </w:r>
    </w:p>
    <w:p w14:paraId="0CCB106F" w14:textId="77777777" w:rsidR="00D33511" w:rsidRDefault="0086799F">
      <w:pPr>
        <w:pStyle w:val="af0"/>
        <w:numPr>
          <w:ilvl w:val="0"/>
          <w:numId w:val="9"/>
        </w:numPr>
        <w:spacing w:before="120"/>
        <w:ind w:left="704" w:firstLineChars="0"/>
      </w:pPr>
      <w:r>
        <w:rPr>
          <w:rFonts w:cs="宋体"/>
          <w:b/>
          <w:lang w:eastAsia="zh-CN"/>
        </w:rPr>
        <w:t>注册登记</w:t>
      </w:r>
      <w:r>
        <w:rPr>
          <w:rFonts w:cs="宋体"/>
          <w:lang w:eastAsia="zh-CN"/>
        </w:rPr>
        <w:t>-“</w:t>
      </w:r>
      <w:r>
        <w:rPr>
          <w:rFonts w:cs="宋体"/>
          <w:lang w:eastAsia="zh-CN"/>
        </w:rPr>
        <w:t>是一种组织化系统，采用观察性研究方法来采集统一数据（临床和其他），以便评价按某一疾病、病情或暴露定义的人群的特定结局，可用于一项或多项预定的科学、临床或政策目的。</w:t>
      </w:r>
      <w:r>
        <w:rPr>
          <w:rFonts w:cs="宋体"/>
        </w:rPr>
        <w:t>”</w:t>
      </w:r>
      <w:r>
        <w:rPr>
          <w:rFonts w:cs="宋体"/>
          <w:vertAlign w:val="superscript"/>
        </w:rPr>
        <w:t>41</w:t>
      </w:r>
    </w:p>
    <w:p w14:paraId="6542310A" w14:textId="77777777" w:rsidR="00D33511" w:rsidRDefault="0086799F">
      <w:pPr>
        <w:pStyle w:val="af0"/>
        <w:numPr>
          <w:ilvl w:val="0"/>
          <w:numId w:val="9"/>
        </w:numPr>
        <w:spacing w:before="120"/>
        <w:ind w:left="704" w:firstLineChars="0"/>
      </w:pPr>
      <w:r>
        <w:rPr>
          <w:rFonts w:cs="宋体"/>
          <w:b/>
          <w:lang w:eastAsia="zh-CN"/>
        </w:rPr>
        <w:t>回顾性研究</w:t>
      </w:r>
      <w:r>
        <w:rPr>
          <w:rFonts w:cs="宋体"/>
          <w:lang w:eastAsia="zh-CN"/>
        </w:rPr>
        <w:t>-“</w:t>
      </w:r>
      <w:r>
        <w:rPr>
          <w:rFonts w:cs="宋体"/>
          <w:lang w:eastAsia="zh-CN"/>
        </w:rPr>
        <w:t>回顾性研究设计（也被称为</w:t>
      </w:r>
      <w:r>
        <w:rPr>
          <w:rFonts w:cs="宋体"/>
          <w:i/>
          <w:lang w:eastAsia="zh-CN"/>
        </w:rPr>
        <w:t>回顾性队列研究、历史队列或非并行前瞻性研究</w:t>
      </w:r>
      <w:r>
        <w:rPr>
          <w:rFonts w:cs="宋体"/>
          <w:lang w:eastAsia="zh-CN"/>
        </w:rPr>
        <w:t>）通过历史数据（即研究启动之前生成的数据）定义人群并确定暴露／治疗。在研究启动时，就已经确定相关变量和结局。有些研究采用了并行和回顾性队列的综合设计，其中通过现有客观记录（例如：医疗记录、赔付数据）确定暴露／治疗，并会在未来继续进行随访和结局测量。</w:t>
      </w:r>
      <w:r>
        <w:rPr>
          <w:rFonts w:cs="宋体"/>
        </w:rPr>
        <w:t>”</w:t>
      </w:r>
      <w:r>
        <w:rPr>
          <w:rFonts w:cs="宋体"/>
          <w:vertAlign w:val="superscript"/>
        </w:rPr>
        <w:t>42</w:t>
      </w:r>
    </w:p>
    <w:p w14:paraId="376027BF" w14:textId="77777777" w:rsidR="00D33511" w:rsidRDefault="0086799F">
      <w:pPr>
        <w:pBdr>
          <w:bottom w:val="single" w:sz="4" w:space="1" w:color="auto"/>
        </w:pBdr>
        <w:spacing w:beforeLines="1050" w:before="2520"/>
        <w:rPr>
          <w:sz w:val="21"/>
          <w:szCs w:val="21"/>
        </w:rPr>
      </w:pPr>
      <w:r>
        <w:rPr>
          <w:sz w:val="21"/>
          <w:szCs w:val="21"/>
          <w:vertAlign w:val="superscript"/>
        </w:rPr>
        <w:t>38</w:t>
      </w:r>
      <w:r>
        <w:rPr>
          <w:sz w:val="21"/>
          <w:szCs w:val="21"/>
        </w:rPr>
        <w:t xml:space="preserve"> 21 CFR 822.3</w:t>
      </w:r>
    </w:p>
    <w:p w14:paraId="7EE19F6D" w14:textId="77777777" w:rsidR="00D33511" w:rsidRDefault="0086799F">
      <w:pPr>
        <w:spacing w:beforeLines="0" w:before="0"/>
        <w:rPr>
          <w:sz w:val="21"/>
          <w:szCs w:val="21"/>
        </w:rPr>
      </w:pPr>
      <w:r>
        <w:rPr>
          <w:rFonts w:cs="宋体"/>
          <w:sz w:val="21"/>
          <w:vertAlign w:val="superscript"/>
        </w:rPr>
        <w:t>39</w:t>
      </w:r>
      <w:r>
        <w:rPr>
          <w:rFonts w:cs="宋体"/>
          <w:sz w:val="21"/>
        </w:rPr>
        <w:t>改编自</w:t>
      </w:r>
      <w:r>
        <w:rPr>
          <w:rFonts w:cs="宋体"/>
          <w:sz w:val="21"/>
        </w:rPr>
        <w:t xml:space="preserve">Califf </w:t>
      </w:r>
      <w:proofErr w:type="spellStart"/>
      <w:r>
        <w:rPr>
          <w:rFonts w:cs="宋体"/>
          <w:sz w:val="21"/>
        </w:rPr>
        <w:t>R</w:t>
      </w:r>
      <w:r>
        <w:rPr>
          <w:rFonts w:cs="宋体"/>
          <w:sz w:val="21"/>
        </w:rPr>
        <w:t>和</w:t>
      </w:r>
      <w:r>
        <w:rPr>
          <w:rFonts w:cs="宋体"/>
          <w:sz w:val="21"/>
        </w:rPr>
        <w:t>Sugarman</w:t>
      </w:r>
      <w:proofErr w:type="spellEnd"/>
      <w:r>
        <w:rPr>
          <w:rFonts w:cs="宋体"/>
          <w:sz w:val="21"/>
        </w:rPr>
        <w:t xml:space="preserve"> J; Exploring the Ethical and Regulatory Issues in Pragmatic Clinical Trials; </w:t>
      </w:r>
      <w:proofErr w:type="spellStart"/>
      <w:r>
        <w:rPr>
          <w:rFonts w:cs="宋体"/>
          <w:i/>
          <w:sz w:val="21"/>
        </w:rPr>
        <w:t>Clin</w:t>
      </w:r>
      <w:proofErr w:type="spellEnd"/>
      <w:r>
        <w:rPr>
          <w:rFonts w:cs="宋体"/>
          <w:i/>
          <w:sz w:val="21"/>
        </w:rPr>
        <w:t xml:space="preserve"> Trials</w:t>
      </w:r>
      <w:r>
        <w:rPr>
          <w:rFonts w:cs="宋体"/>
          <w:sz w:val="21"/>
        </w:rPr>
        <w:t xml:space="preserve">, 2015 Oct;12(5):436-41. </w:t>
      </w:r>
      <w:proofErr w:type="spellStart"/>
      <w:r>
        <w:rPr>
          <w:rFonts w:cs="宋体"/>
          <w:sz w:val="21"/>
        </w:rPr>
        <w:t>doi</w:t>
      </w:r>
      <w:proofErr w:type="spellEnd"/>
      <w:r>
        <w:rPr>
          <w:rFonts w:cs="宋体"/>
          <w:sz w:val="21"/>
        </w:rPr>
        <w:t>: 10.1177/1740774515598334</w:t>
      </w:r>
      <w:r>
        <w:rPr>
          <w:rFonts w:cs="宋体"/>
          <w:sz w:val="21"/>
        </w:rPr>
        <w:t>。电子版，</w:t>
      </w:r>
      <w:r>
        <w:rPr>
          <w:rFonts w:cs="宋体"/>
          <w:sz w:val="21"/>
        </w:rPr>
        <w:t>2015</w:t>
      </w:r>
      <w:r>
        <w:rPr>
          <w:rFonts w:cs="宋体"/>
          <w:sz w:val="21"/>
        </w:rPr>
        <w:t>年</w:t>
      </w:r>
      <w:r>
        <w:rPr>
          <w:rFonts w:cs="宋体"/>
          <w:sz w:val="21"/>
        </w:rPr>
        <w:t>9</w:t>
      </w:r>
      <w:r>
        <w:rPr>
          <w:rFonts w:cs="宋体"/>
          <w:sz w:val="21"/>
        </w:rPr>
        <w:t>月</w:t>
      </w:r>
      <w:r>
        <w:rPr>
          <w:rFonts w:cs="宋体"/>
          <w:sz w:val="21"/>
        </w:rPr>
        <w:t>15</w:t>
      </w:r>
      <w:r>
        <w:rPr>
          <w:rFonts w:cs="宋体"/>
          <w:sz w:val="21"/>
        </w:rPr>
        <w:t>日</w:t>
      </w:r>
    </w:p>
    <w:p w14:paraId="30AE1F05" w14:textId="77777777" w:rsidR="00D33511" w:rsidRDefault="0086799F">
      <w:pPr>
        <w:pBdr>
          <w:top w:val="single" w:sz="4" w:space="1" w:color="auto"/>
          <w:bottom w:val="single" w:sz="4" w:space="1" w:color="auto"/>
        </w:pBdr>
        <w:spacing w:beforeLines="0" w:before="0"/>
        <w:rPr>
          <w:sz w:val="21"/>
          <w:szCs w:val="21"/>
        </w:rPr>
      </w:pPr>
      <w:r>
        <w:rPr>
          <w:rFonts w:cs="宋体"/>
          <w:sz w:val="21"/>
          <w:vertAlign w:val="superscript"/>
        </w:rPr>
        <w:t>40</w:t>
      </w:r>
      <w:r>
        <w:rPr>
          <w:rFonts w:cs="宋体"/>
          <w:sz w:val="21"/>
        </w:rPr>
        <w:t xml:space="preserve"> JM </w:t>
      </w:r>
      <w:proofErr w:type="spellStart"/>
      <w:r>
        <w:rPr>
          <w:rFonts w:cs="宋体"/>
          <w:sz w:val="21"/>
        </w:rPr>
        <w:t>Last.A</w:t>
      </w:r>
      <w:proofErr w:type="spellEnd"/>
      <w:r>
        <w:rPr>
          <w:rFonts w:cs="宋体"/>
          <w:sz w:val="21"/>
        </w:rPr>
        <w:t xml:space="preserve"> dictionary of Epidemiology (3rd edition).New York: Oxford University Press, 1995) (M </w:t>
      </w:r>
      <w:proofErr w:type="spellStart"/>
      <w:r>
        <w:rPr>
          <w:rFonts w:cs="宋体"/>
          <w:sz w:val="21"/>
        </w:rPr>
        <w:t>Szklo</w:t>
      </w:r>
      <w:proofErr w:type="spellEnd"/>
      <w:r>
        <w:rPr>
          <w:rFonts w:cs="宋体"/>
          <w:sz w:val="21"/>
        </w:rPr>
        <w:t xml:space="preserve"> &amp; FJ </w:t>
      </w:r>
      <w:proofErr w:type="spellStart"/>
      <w:r>
        <w:rPr>
          <w:rFonts w:cs="宋体"/>
          <w:sz w:val="21"/>
        </w:rPr>
        <w:t>Nieto.Epidemiology</w:t>
      </w:r>
      <w:proofErr w:type="spellEnd"/>
      <w:r>
        <w:rPr>
          <w:rFonts w:cs="宋体"/>
          <w:sz w:val="21"/>
        </w:rPr>
        <w:t xml:space="preserve">: Beyond the </w:t>
      </w:r>
      <w:proofErr w:type="spellStart"/>
      <w:r>
        <w:rPr>
          <w:rFonts w:cs="宋体"/>
          <w:sz w:val="21"/>
        </w:rPr>
        <w:t>basics.Gaithersburg</w:t>
      </w:r>
      <w:proofErr w:type="spellEnd"/>
      <w:r>
        <w:rPr>
          <w:rFonts w:cs="宋体"/>
          <w:sz w:val="21"/>
        </w:rPr>
        <w:t>, MD: Aspen Publishers, Inc., 2000</w:t>
      </w:r>
    </w:p>
    <w:p w14:paraId="22E8D790" w14:textId="77777777" w:rsidR="00D33511" w:rsidRDefault="0086799F">
      <w:pPr>
        <w:spacing w:beforeLines="0" w:before="0"/>
        <w:rPr>
          <w:sz w:val="21"/>
          <w:szCs w:val="21"/>
          <w:lang w:eastAsia="zh-CN"/>
        </w:rPr>
      </w:pPr>
      <w:r>
        <w:rPr>
          <w:rFonts w:cs="宋体"/>
          <w:sz w:val="21"/>
          <w:vertAlign w:val="superscript"/>
          <w:lang w:eastAsia="zh-CN"/>
        </w:rPr>
        <w:t>41</w:t>
      </w:r>
      <w:r>
        <w:rPr>
          <w:rFonts w:cs="宋体"/>
          <w:sz w:val="21"/>
          <w:lang w:eastAsia="zh-CN"/>
        </w:rPr>
        <w:t>《评价患者结局的注册登记：用户指南》</w:t>
      </w:r>
    </w:p>
    <w:p w14:paraId="59A2737F" w14:textId="77777777" w:rsidR="00D33511" w:rsidRDefault="0086799F">
      <w:pPr>
        <w:spacing w:beforeLines="0" w:before="0"/>
        <w:rPr>
          <w:sz w:val="21"/>
          <w:szCs w:val="21"/>
          <w:lang w:eastAsia="zh-CN"/>
        </w:rPr>
      </w:pPr>
      <w:r>
        <w:rPr>
          <w:rFonts w:cs="宋体"/>
          <w:sz w:val="21"/>
        </w:rPr>
        <w:t>（</w:t>
      </w:r>
      <w:r>
        <w:rPr>
          <w:rFonts w:cs="宋体"/>
          <w:color w:val="0000FF"/>
          <w:sz w:val="21"/>
          <w:u w:val="single"/>
        </w:rPr>
        <w:t>https://www.effectivehealthcare.ahrq.gov/ehc/products/420/1897/registries-guide-3rd-edition-vol-1-140430.pdf</w:t>
      </w:r>
      <w:r>
        <w:rPr>
          <w:rFonts w:cs="宋体"/>
          <w:sz w:val="21"/>
        </w:rPr>
        <w:t>）</w:t>
      </w:r>
    </w:p>
    <w:p w14:paraId="4835B437" w14:textId="77777777" w:rsidR="00D33511" w:rsidRDefault="0086799F">
      <w:pPr>
        <w:pBdr>
          <w:top w:val="single" w:sz="4" w:space="1" w:color="auto"/>
        </w:pBdr>
        <w:spacing w:beforeLines="0" w:before="0"/>
      </w:pPr>
      <w:r>
        <w:rPr>
          <w:rFonts w:cs="宋体"/>
          <w:sz w:val="21"/>
          <w:vertAlign w:val="superscript"/>
        </w:rPr>
        <w:t>42</w:t>
      </w:r>
      <w:r>
        <w:rPr>
          <w:rFonts w:cs="宋体"/>
          <w:sz w:val="21"/>
        </w:rPr>
        <w:t xml:space="preserve"> JM </w:t>
      </w:r>
      <w:proofErr w:type="spellStart"/>
      <w:r>
        <w:rPr>
          <w:rFonts w:cs="宋体"/>
          <w:sz w:val="21"/>
        </w:rPr>
        <w:t>Last.A</w:t>
      </w:r>
      <w:proofErr w:type="spellEnd"/>
      <w:r>
        <w:rPr>
          <w:rFonts w:cs="宋体"/>
          <w:sz w:val="21"/>
        </w:rPr>
        <w:t xml:space="preserve"> dictionary of Epidemiology (3rd edition).New York: Oxford University Press, 1995) (M </w:t>
      </w:r>
      <w:proofErr w:type="spellStart"/>
      <w:r>
        <w:rPr>
          <w:rFonts w:cs="宋体"/>
          <w:sz w:val="21"/>
        </w:rPr>
        <w:t>Szklo</w:t>
      </w:r>
      <w:proofErr w:type="spellEnd"/>
      <w:r>
        <w:rPr>
          <w:rFonts w:cs="宋体"/>
          <w:sz w:val="21"/>
        </w:rPr>
        <w:t xml:space="preserve"> &amp; FJ </w:t>
      </w:r>
      <w:proofErr w:type="spellStart"/>
      <w:r>
        <w:rPr>
          <w:rFonts w:cs="宋体"/>
          <w:sz w:val="21"/>
        </w:rPr>
        <w:t>Nieto.Epidemiology</w:t>
      </w:r>
      <w:proofErr w:type="spellEnd"/>
      <w:r>
        <w:rPr>
          <w:rFonts w:cs="宋体"/>
          <w:sz w:val="21"/>
        </w:rPr>
        <w:t xml:space="preserve">: Beyond the </w:t>
      </w:r>
      <w:proofErr w:type="spellStart"/>
      <w:r>
        <w:rPr>
          <w:rFonts w:cs="宋体"/>
          <w:sz w:val="21"/>
        </w:rPr>
        <w:t>basics.Gaithersburg</w:t>
      </w:r>
      <w:proofErr w:type="spellEnd"/>
      <w:r>
        <w:rPr>
          <w:rFonts w:cs="宋体"/>
          <w:sz w:val="21"/>
        </w:rPr>
        <w:t>, MD: Aspen Publishers, Inc., 2000</w:t>
      </w:r>
      <w:r>
        <w:rPr>
          <w:rFonts w:cs="宋体"/>
          <w:sz w:val="21"/>
        </w:rPr>
        <w:br w:type="page"/>
      </w:r>
    </w:p>
    <w:p w14:paraId="4F4F7D18" w14:textId="77777777" w:rsidR="00D33511" w:rsidRDefault="0086799F">
      <w:pPr>
        <w:pStyle w:val="af0"/>
        <w:numPr>
          <w:ilvl w:val="0"/>
          <w:numId w:val="9"/>
        </w:numPr>
        <w:spacing w:before="120"/>
        <w:ind w:left="704" w:firstLineChars="0"/>
      </w:pPr>
      <w:r>
        <w:rPr>
          <w:rFonts w:cs="宋体"/>
          <w:b/>
          <w:lang w:eastAsia="zh-CN"/>
        </w:rPr>
        <w:lastRenderedPageBreak/>
        <w:t>监督</w:t>
      </w:r>
      <w:r>
        <w:rPr>
          <w:rFonts w:cs="宋体"/>
          <w:lang w:eastAsia="zh-CN"/>
        </w:rPr>
        <w:t>-“</w:t>
      </w:r>
      <w:r>
        <w:rPr>
          <w:rFonts w:cs="宋体"/>
          <w:lang w:eastAsia="zh-CN"/>
        </w:rPr>
        <w:t>监督是关于采集、分析、解读并发布描述性信息的一项连续、系统的流程，旨在监测健康问题。</w:t>
      </w:r>
      <w:r>
        <w:rPr>
          <w:rFonts w:cs="宋体"/>
        </w:rPr>
        <w:t>”</w:t>
      </w:r>
      <w:r>
        <w:rPr>
          <w:rFonts w:cs="宋体"/>
          <w:vertAlign w:val="superscript"/>
        </w:rPr>
        <w:t>43</w:t>
      </w:r>
    </w:p>
    <w:p w14:paraId="377ED6C3" w14:textId="77777777" w:rsidR="00D33511" w:rsidRDefault="0086799F">
      <w:pPr>
        <w:pStyle w:val="af0"/>
        <w:numPr>
          <w:ilvl w:val="0"/>
          <w:numId w:val="9"/>
        </w:numPr>
        <w:spacing w:before="120"/>
        <w:ind w:left="704" w:firstLineChars="0"/>
        <w:rPr>
          <w:lang w:eastAsia="zh-CN"/>
        </w:rPr>
      </w:pPr>
      <w:r>
        <w:rPr>
          <w:rFonts w:cs="宋体"/>
          <w:b/>
          <w:lang w:eastAsia="zh-CN"/>
        </w:rPr>
        <w:t>传统临床试验</w:t>
      </w:r>
      <w:r>
        <w:rPr>
          <w:rFonts w:cs="宋体"/>
          <w:lang w:eastAsia="zh-CN"/>
        </w:rPr>
        <w:t>-</w:t>
      </w:r>
      <w:r>
        <w:rPr>
          <w:rFonts w:cs="宋体"/>
          <w:lang w:eastAsia="zh-CN"/>
        </w:rPr>
        <w:t>传统临床试验通常是指在专门的研究机构、对特定人群开展的试验。往往采用可控制变异性并确保数据质量的各种措施，例如：详尽的合格性标准、详细的病例报告表（不同于普通的医疗记录）、强化监测和稽查（以确保严格遵守研究规程）以及严格精准的数据采集。通常还投入了大量的精力来确保治疗依从性，并避免采用可对随机治疗疗效造成影响的伴随治疗。</w:t>
      </w:r>
    </w:p>
    <w:p w14:paraId="1801D6E7" w14:textId="77777777" w:rsidR="00D33511" w:rsidRDefault="00D33511">
      <w:pPr>
        <w:spacing w:before="120"/>
        <w:rPr>
          <w:lang w:eastAsia="zh-CN"/>
        </w:rPr>
      </w:pPr>
    </w:p>
    <w:p w14:paraId="199E0A27" w14:textId="77777777" w:rsidR="00D33511" w:rsidRDefault="00D33511">
      <w:pPr>
        <w:spacing w:before="120"/>
        <w:rPr>
          <w:lang w:eastAsia="zh-CN"/>
        </w:rPr>
      </w:pPr>
    </w:p>
    <w:p w14:paraId="5EF8306A" w14:textId="77777777" w:rsidR="00D33511" w:rsidRDefault="00D33511">
      <w:pPr>
        <w:spacing w:before="120"/>
        <w:rPr>
          <w:lang w:eastAsia="zh-CN"/>
        </w:rPr>
      </w:pPr>
    </w:p>
    <w:p w14:paraId="72663FD3" w14:textId="77777777" w:rsidR="00D33511" w:rsidRDefault="00D33511">
      <w:pPr>
        <w:spacing w:before="120"/>
        <w:rPr>
          <w:lang w:eastAsia="zh-CN"/>
        </w:rPr>
      </w:pPr>
    </w:p>
    <w:p w14:paraId="57AB8261" w14:textId="77777777" w:rsidR="00D33511" w:rsidRDefault="00D33511">
      <w:pPr>
        <w:spacing w:before="120"/>
        <w:rPr>
          <w:lang w:eastAsia="zh-CN"/>
        </w:rPr>
      </w:pPr>
    </w:p>
    <w:p w14:paraId="69B59F79" w14:textId="77777777" w:rsidR="00D33511" w:rsidRDefault="00D33511">
      <w:pPr>
        <w:spacing w:before="120"/>
        <w:rPr>
          <w:lang w:eastAsia="zh-CN"/>
        </w:rPr>
      </w:pPr>
    </w:p>
    <w:p w14:paraId="77B3D5CC" w14:textId="77777777" w:rsidR="00D33511" w:rsidRDefault="00D33511">
      <w:pPr>
        <w:spacing w:before="120"/>
        <w:rPr>
          <w:lang w:eastAsia="zh-CN"/>
        </w:rPr>
      </w:pPr>
    </w:p>
    <w:p w14:paraId="491DE214" w14:textId="77777777" w:rsidR="00D33511" w:rsidRDefault="00D33511">
      <w:pPr>
        <w:spacing w:before="120"/>
        <w:rPr>
          <w:lang w:eastAsia="zh-CN"/>
        </w:rPr>
      </w:pPr>
    </w:p>
    <w:p w14:paraId="1A76F38F" w14:textId="77777777" w:rsidR="00D33511" w:rsidRDefault="00D33511">
      <w:pPr>
        <w:spacing w:before="120"/>
        <w:rPr>
          <w:lang w:eastAsia="zh-CN"/>
        </w:rPr>
      </w:pPr>
    </w:p>
    <w:p w14:paraId="606A63B4" w14:textId="77777777" w:rsidR="00D33511" w:rsidRDefault="00D33511">
      <w:pPr>
        <w:spacing w:before="120"/>
        <w:rPr>
          <w:lang w:eastAsia="zh-CN"/>
        </w:rPr>
      </w:pPr>
    </w:p>
    <w:p w14:paraId="6C7FD76A" w14:textId="77777777" w:rsidR="00D33511" w:rsidRDefault="00D33511">
      <w:pPr>
        <w:spacing w:before="120"/>
        <w:rPr>
          <w:lang w:eastAsia="zh-CN"/>
        </w:rPr>
      </w:pPr>
    </w:p>
    <w:p w14:paraId="7F77F457" w14:textId="77777777" w:rsidR="00D33511" w:rsidRDefault="00D33511">
      <w:pPr>
        <w:spacing w:before="120"/>
        <w:rPr>
          <w:lang w:eastAsia="zh-CN"/>
        </w:rPr>
      </w:pPr>
    </w:p>
    <w:p w14:paraId="37E5B11B" w14:textId="77777777" w:rsidR="00D33511" w:rsidRDefault="00D33511">
      <w:pPr>
        <w:spacing w:before="120"/>
        <w:rPr>
          <w:lang w:eastAsia="zh-CN"/>
        </w:rPr>
      </w:pPr>
    </w:p>
    <w:p w14:paraId="01C82A43" w14:textId="77777777" w:rsidR="00D33511" w:rsidRDefault="00D33511">
      <w:pPr>
        <w:spacing w:beforeLines="850" w:before="2040"/>
        <w:rPr>
          <w:lang w:eastAsia="zh-CN"/>
        </w:rPr>
      </w:pPr>
    </w:p>
    <w:p w14:paraId="7709EA75" w14:textId="77777777" w:rsidR="00D33511" w:rsidRDefault="00D33511">
      <w:pPr>
        <w:spacing w:before="120"/>
        <w:rPr>
          <w:lang w:eastAsia="zh-CN"/>
        </w:rPr>
      </w:pPr>
    </w:p>
    <w:p w14:paraId="52748B75" w14:textId="77777777" w:rsidR="00D33511" w:rsidRDefault="00D33511">
      <w:pPr>
        <w:spacing w:before="120"/>
        <w:rPr>
          <w:lang w:eastAsia="zh-CN"/>
        </w:rPr>
      </w:pPr>
    </w:p>
    <w:p w14:paraId="5C16E922" w14:textId="77777777" w:rsidR="00D33511" w:rsidRDefault="00D33511">
      <w:pPr>
        <w:spacing w:before="120"/>
        <w:rPr>
          <w:lang w:eastAsia="zh-CN"/>
        </w:rPr>
      </w:pPr>
    </w:p>
    <w:p w14:paraId="75FAB130" w14:textId="77777777" w:rsidR="00D33511" w:rsidRDefault="00D33511">
      <w:pPr>
        <w:spacing w:before="120"/>
        <w:rPr>
          <w:lang w:eastAsia="zh-CN"/>
        </w:rPr>
      </w:pPr>
    </w:p>
    <w:p w14:paraId="2D6C7799" w14:textId="77777777" w:rsidR="00D33511" w:rsidRDefault="0086799F">
      <w:pPr>
        <w:spacing w:before="120"/>
        <w:rPr>
          <w:sz w:val="21"/>
          <w:szCs w:val="21"/>
        </w:rPr>
      </w:pPr>
      <w:r>
        <w:rPr>
          <w:rFonts w:cs="宋体"/>
          <w:sz w:val="21"/>
          <w:vertAlign w:val="superscript"/>
        </w:rPr>
        <w:t>43</w:t>
      </w:r>
      <w:r>
        <w:rPr>
          <w:rFonts w:cs="宋体"/>
          <w:sz w:val="21"/>
        </w:rPr>
        <w:t xml:space="preserve"> JW </w:t>
      </w:r>
      <w:proofErr w:type="spellStart"/>
      <w:r>
        <w:rPr>
          <w:rFonts w:cs="宋体"/>
          <w:sz w:val="21"/>
        </w:rPr>
        <w:t>Buehler.Surveillance</w:t>
      </w:r>
      <w:proofErr w:type="spellEnd"/>
      <w:r>
        <w:rPr>
          <w:rFonts w:cs="宋体"/>
          <w:sz w:val="21"/>
        </w:rPr>
        <w:t xml:space="preserve"> (Ch. 22) pages 435-458 in KJ Rothman &amp; S Greenland (editors) Modern Epidemiology 2nd </w:t>
      </w:r>
      <w:proofErr w:type="spellStart"/>
      <w:r>
        <w:rPr>
          <w:rFonts w:cs="宋体"/>
          <w:sz w:val="21"/>
        </w:rPr>
        <w:t>edition.Philadelphia</w:t>
      </w:r>
      <w:proofErr w:type="spellEnd"/>
      <w:r>
        <w:rPr>
          <w:rFonts w:cs="宋体"/>
          <w:sz w:val="21"/>
        </w:rPr>
        <w:t>: Lippincott-Raven Publishers, 1998.</w:t>
      </w:r>
    </w:p>
    <w:sectPr w:rsidR="00D3351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0D08F" w14:textId="77777777" w:rsidR="00FA798F" w:rsidRDefault="00FA798F">
      <w:pPr>
        <w:spacing w:before="120" w:line="240" w:lineRule="auto"/>
      </w:pPr>
    </w:p>
  </w:endnote>
  <w:endnote w:type="continuationSeparator" w:id="0">
    <w:p w14:paraId="49BC872D" w14:textId="77777777" w:rsidR="00FA798F" w:rsidRDefault="00FA798F">
      <w:pPr>
        <w:spacing w:before="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1ACC" w14:textId="77777777" w:rsidR="00D33511" w:rsidRDefault="00D33511">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FB8AE" w14:textId="77777777" w:rsidR="00D33511" w:rsidRDefault="0086799F">
    <w:pPr>
      <w:pStyle w:val="af"/>
      <w:spacing w:beforeLines="0" w:before="0" w:line="240" w:lineRule="auto"/>
      <w:jc w:val="center"/>
    </w:pPr>
    <w:r>
      <w:fldChar w:fldCharType="begin"/>
    </w:r>
    <w:r>
      <w:instrText>PAGE   \* MERGEFORMAT</w:instrText>
    </w:r>
    <w:r>
      <w:fldChar w:fldCharType="separate"/>
    </w:r>
    <w:r w:rsidR="00742D5D" w:rsidRPr="00742D5D">
      <w:rPr>
        <w:noProof/>
        <w:lang w:val="zh-CN" w:eastAsia="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5864" w14:textId="77777777" w:rsidR="00D33511" w:rsidRDefault="00D33511">
    <w:pPr>
      <w:pStyle w:val="a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0BBEA" w14:textId="77777777" w:rsidR="00FA798F" w:rsidRDefault="00FA798F">
      <w:pPr>
        <w:spacing w:before="120"/>
      </w:pPr>
    </w:p>
  </w:footnote>
  <w:footnote w:type="continuationSeparator" w:id="0">
    <w:p w14:paraId="763CF9C9" w14:textId="77777777" w:rsidR="00FA798F" w:rsidRDefault="00FA798F">
      <w:pPr>
        <w:spacing w:before="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1530" w14:textId="77777777" w:rsidR="00D33511" w:rsidRDefault="00D33511">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4264" w14:textId="77777777" w:rsidR="00D33511" w:rsidRDefault="0086799F">
    <w:pPr>
      <w:pStyle w:val="af"/>
      <w:spacing w:beforeLines="0" w:before="0" w:line="240" w:lineRule="auto"/>
      <w:jc w:val="center"/>
      <w:rPr>
        <w:b/>
        <w:bCs/>
        <w:i/>
        <w:iCs/>
      </w:rPr>
    </w:pPr>
    <w:proofErr w:type="spellStart"/>
    <w:r>
      <w:rPr>
        <w:rFonts w:cs="宋体" w:hint="eastAsia"/>
        <w:b/>
        <w:i/>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183D" w14:textId="77777777" w:rsidR="00D33511" w:rsidRDefault="00D33511">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29"/>
    <w:multiLevelType w:val="multilevel"/>
    <w:tmpl w:val="020B052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9036E90"/>
    <w:multiLevelType w:val="multilevel"/>
    <w:tmpl w:val="09036E90"/>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DD277D"/>
    <w:multiLevelType w:val="multilevel"/>
    <w:tmpl w:val="14DD277D"/>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AF608E"/>
    <w:multiLevelType w:val="multilevel"/>
    <w:tmpl w:val="34AF608E"/>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FB7029"/>
    <w:multiLevelType w:val="multilevel"/>
    <w:tmpl w:val="36FB702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8444517"/>
    <w:multiLevelType w:val="multilevel"/>
    <w:tmpl w:val="384445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827F78"/>
    <w:multiLevelType w:val="multilevel"/>
    <w:tmpl w:val="40827F78"/>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A545B3"/>
    <w:multiLevelType w:val="multilevel"/>
    <w:tmpl w:val="5AA545B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F7203E5"/>
    <w:multiLevelType w:val="multilevel"/>
    <w:tmpl w:val="7F7203E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2"/>
  </w:num>
  <w:num w:numId="5">
    <w:abstractNumId w:val="8"/>
  </w:num>
  <w:num w:numId="6">
    <w:abstractNumId w:val="0"/>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70"/>
    <w:rsid w:val="00000149"/>
    <w:rsid w:val="0001277E"/>
    <w:rsid w:val="00026E25"/>
    <w:rsid w:val="000B2E95"/>
    <w:rsid w:val="000B5BF9"/>
    <w:rsid w:val="0015035A"/>
    <w:rsid w:val="00150E0D"/>
    <w:rsid w:val="001A4DB4"/>
    <w:rsid w:val="001D7D1D"/>
    <w:rsid w:val="00260A19"/>
    <w:rsid w:val="002E064B"/>
    <w:rsid w:val="002E4A99"/>
    <w:rsid w:val="00340A7A"/>
    <w:rsid w:val="00397A90"/>
    <w:rsid w:val="00462ADC"/>
    <w:rsid w:val="0046450C"/>
    <w:rsid w:val="00512C29"/>
    <w:rsid w:val="00577C78"/>
    <w:rsid w:val="00592DA5"/>
    <w:rsid w:val="005C3C95"/>
    <w:rsid w:val="00633BF3"/>
    <w:rsid w:val="00651FCC"/>
    <w:rsid w:val="006814B7"/>
    <w:rsid w:val="00694E95"/>
    <w:rsid w:val="006D0ABB"/>
    <w:rsid w:val="00733EC2"/>
    <w:rsid w:val="00742D5D"/>
    <w:rsid w:val="007768A7"/>
    <w:rsid w:val="007D6F7F"/>
    <w:rsid w:val="007F5A76"/>
    <w:rsid w:val="00823301"/>
    <w:rsid w:val="00832138"/>
    <w:rsid w:val="0086268E"/>
    <w:rsid w:val="0086799F"/>
    <w:rsid w:val="00871629"/>
    <w:rsid w:val="008C0C15"/>
    <w:rsid w:val="00A754BE"/>
    <w:rsid w:val="00A94BF2"/>
    <w:rsid w:val="00AC0E06"/>
    <w:rsid w:val="00AC38FF"/>
    <w:rsid w:val="00AF2840"/>
    <w:rsid w:val="00B10A77"/>
    <w:rsid w:val="00B7422A"/>
    <w:rsid w:val="00C10D5B"/>
    <w:rsid w:val="00C457E3"/>
    <w:rsid w:val="00CA767B"/>
    <w:rsid w:val="00CC3A3A"/>
    <w:rsid w:val="00CF09DC"/>
    <w:rsid w:val="00D33511"/>
    <w:rsid w:val="00D62DF2"/>
    <w:rsid w:val="00DC709C"/>
    <w:rsid w:val="00DD3401"/>
    <w:rsid w:val="00DD798E"/>
    <w:rsid w:val="00E22614"/>
    <w:rsid w:val="00E258F8"/>
    <w:rsid w:val="00E4658E"/>
    <w:rsid w:val="00E84570"/>
    <w:rsid w:val="00EE463C"/>
    <w:rsid w:val="00F20492"/>
    <w:rsid w:val="00F31A87"/>
    <w:rsid w:val="00F47C6C"/>
    <w:rsid w:val="00F77223"/>
    <w:rsid w:val="00FA798F"/>
    <w:rsid w:val="2A902FA2"/>
    <w:rsid w:val="404611FE"/>
    <w:rsid w:val="498F422D"/>
    <w:rsid w:val="5892515F"/>
    <w:rsid w:val="61B90934"/>
    <w:rsid w:val="6D786886"/>
    <w:rsid w:val="72A94663"/>
    <w:rsid w:val="731D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tabs>
        <w:tab w:val="left" w:pos="1470"/>
        <w:tab w:val="right" w:leader="dot" w:pos="9060"/>
      </w:tabs>
      <w:spacing w:beforeLines="0" w:before="0"/>
      <w:ind w:leftChars="400" w:left="960"/>
    </w:pPr>
  </w:style>
  <w:style w:type="paragraph" w:styleId="a3">
    <w:name w:val="Balloon Text"/>
    <w:basedOn w:val="a"/>
    <w:link w:val="Char"/>
    <w:uiPriority w:val="99"/>
    <w:semiHidden/>
    <w:unhideWhenUsed/>
    <w:qFormat/>
    <w:pPr>
      <w:spacing w:before="0"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qFormat/>
    <w:pPr>
      <w:spacing w:beforeLines="0" w:before="0"/>
    </w:pPr>
  </w:style>
  <w:style w:type="paragraph" w:styleId="2">
    <w:name w:val="toc 2"/>
    <w:basedOn w:val="a"/>
    <w:next w:val="a"/>
    <w:uiPriority w:val="39"/>
    <w:unhideWhenUsed/>
    <w:qFormat/>
    <w:pPr>
      <w:spacing w:beforeLines="0" w:before="0"/>
      <w:ind w:leftChars="200" w:left="20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a8">
    <w:name w:val="脚注_"/>
    <w:basedOn w:val="a0"/>
    <w:link w:val="a9"/>
    <w:qFormat/>
    <w:rPr>
      <w:rFonts w:ascii="Times New Roman" w:eastAsia="Times New Roman" w:hAnsi="Times New Roman" w:cs="Times New Roman"/>
      <w:sz w:val="20"/>
      <w:szCs w:val="20"/>
      <w:u w:val="none"/>
      <w:shd w:val="clear" w:color="auto" w:fill="auto"/>
    </w:rPr>
  </w:style>
  <w:style w:type="paragraph" w:customStyle="1" w:styleId="a9">
    <w:name w:val="脚注"/>
    <w:basedOn w:val="a"/>
    <w:link w:val="a8"/>
    <w:qFormat/>
    <w:rPr>
      <w:rFonts w:eastAsia="Times New Roman" w:cs="Times New Roman"/>
      <w:sz w:val="20"/>
      <w:szCs w:val="20"/>
    </w:rPr>
  </w:style>
  <w:style w:type="character" w:customStyle="1" w:styleId="aa">
    <w:name w:val="其他_"/>
    <w:basedOn w:val="a0"/>
    <w:link w:val="ab"/>
    <w:qFormat/>
    <w:rPr>
      <w:rFonts w:ascii="Times New Roman" w:eastAsia="Times New Roman" w:hAnsi="Times New Roman" w:cs="Times New Roman"/>
      <w:u w:val="none"/>
      <w:shd w:val="clear" w:color="auto" w:fill="auto"/>
    </w:rPr>
  </w:style>
  <w:style w:type="paragraph" w:customStyle="1" w:styleId="ab">
    <w:name w:val="其他"/>
    <w:basedOn w:val="a"/>
    <w:link w:val="aa"/>
    <w:qFormat/>
    <w:pPr>
      <w:spacing w:after="240"/>
    </w:pPr>
    <w:rPr>
      <w:rFonts w:eastAsia="Times New Roman" w:cs="Times New Roman"/>
    </w:rPr>
  </w:style>
  <w:style w:type="character" w:customStyle="1" w:styleId="20">
    <w:name w:val="页眉或页脚 (2)_"/>
    <w:basedOn w:val="a0"/>
    <w:link w:val="21"/>
    <w:qFormat/>
    <w:rPr>
      <w:rFonts w:ascii="Times New Roman" w:eastAsia="Times New Roman" w:hAnsi="Times New Roman" w:cs="Times New Roman"/>
      <w:sz w:val="20"/>
      <w:szCs w:val="20"/>
      <w:u w:val="none"/>
      <w:shd w:val="clear" w:color="auto" w:fill="auto"/>
    </w:rPr>
  </w:style>
  <w:style w:type="paragraph" w:customStyle="1" w:styleId="21">
    <w:name w:val="页眉或页脚 (2)"/>
    <w:basedOn w:val="a"/>
    <w:link w:val="20"/>
    <w:qFormat/>
    <w:rPr>
      <w:rFonts w:eastAsia="Times New Roman" w:cs="Times New Roman"/>
      <w:sz w:val="20"/>
      <w:szCs w:val="20"/>
    </w:rPr>
  </w:style>
  <w:style w:type="character" w:customStyle="1" w:styleId="ac">
    <w:name w:val="正文文本_"/>
    <w:basedOn w:val="a0"/>
    <w:link w:val="10"/>
    <w:qFormat/>
    <w:rPr>
      <w:rFonts w:ascii="Times New Roman" w:eastAsia="Times New Roman" w:hAnsi="Times New Roman" w:cs="Times New Roman"/>
      <w:u w:val="none"/>
      <w:shd w:val="clear" w:color="auto" w:fill="auto"/>
    </w:rPr>
  </w:style>
  <w:style w:type="paragraph" w:customStyle="1" w:styleId="10">
    <w:name w:val="正文文本1"/>
    <w:basedOn w:val="a"/>
    <w:link w:val="ac"/>
    <w:qFormat/>
    <w:pPr>
      <w:spacing w:after="240"/>
    </w:pPr>
    <w:rPr>
      <w:rFonts w:eastAsia="Times New Roman" w:cs="Times New Roman"/>
    </w:rPr>
  </w:style>
  <w:style w:type="character" w:customStyle="1" w:styleId="ad">
    <w:name w:val="目录_"/>
    <w:basedOn w:val="a0"/>
    <w:link w:val="ae"/>
    <w:qFormat/>
    <w:rPr>
      <w:rFonts w:ascii="Times New Roman" w:eastAsia="Times New Roman" w:hAnsi="Times New Roman" w:cs="Times New Roman"/>
      <w:u w:val="none"/>
      <w:shd w:val="clear" w:color="auto" w:fill="auto"/>
    </w:rPr>
  </w:style>
  <w:style w:type="paragraph" w:customStyle="1" w:styleId="ae">
    <w:name w:val="目录"/>
    <w:basedOn w:val="a"/>
    <w:link w:val="ad"/>
    <w:qFormat/>
    <w:pPr>
      <w:ind w:firstLine="220"/>
    </w:pPr>
    <w:rPr>
      <w:rFonts w:eastAsia="Times New Roman" w:cs="Times New Roman"/>
    </w:rPr>
  </w:style>
  <w:style w:type="character" w:customStyle="1" w:styleId="11">
    <w:name w:val="标题 #1_"/>
    <w:basedOn w:val="a0"/>
    <w:link w:val="12"/>
    <w:qFormat/>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qFormat/>
    <w:pPr>
      <w:spacing w:after="500"/>
      <w:outlineLvl w:val="0"/>
    </w:pPr>
    <w:rPr>
      <w:rFonts w:eastAsia="Times New Roman" w:cs="Times New Roman"/>
      <w:b/>
      <w:bCs/>
      <w:sz w:val="36"/>
      <w:szCs w:val="36"/>
    </w:rPr>
  </w:style>
  <w:style w:type="character" w:customStyle="1" w:styleId="22">
    <w:name w:val="标题 #2_"/>
    <w:basedOn w:val="a0"/>
    <w:link w:val="23"/>
    <w:qFormat/>
    <w:rPr>
      <w:rFonts w:ascii="Times New Roman" w:eastAsia="Times New Roman" w:hAnsi="Times New Roman" w:cs="Times New Roman"/>
      <w:b/>
      <w:bCs/>
      <w:sz w:val="32"/>
      <w:szCs w:val="32"/>
      <w:u w:val="none"/>
      <w:shd w:val="clear" w:color="auto" w:fill="auto"/>
    </w:rPr>
  </w:style>
  <w:style w:type="paragraph" w:customStyle="1" w:styleId="23">
    <w:name w:val="标题 #2"/>
    <w:basedOn w:val="a"/>
    <w:link w:val="22"/>
    <w:qFormat/>
    <w:pPr>
      <w:spacing w:after="220"/>
      <w:ind w:firstLine="380"/>
      <w:outlineLvl w:val="1"/>
    </w:pPr>
    <w:rPr>
      <w:rFonts w:eastAsia="Times New Roman" w:cs="Times New Roman"/>
      <w:b/>
      <w:bCs/>
      <w:sz w:val="32"/>
      <w:szCs w:val="32"/>
    </w:rPr>
  </w:style>
  <w:style w:type="character" w:customStyle="1" w:styleId="30">
    <w:name w:val="标题 #3_"/>
    <w:basedOn w:val="a0"/>
    <w:link w:val="31"/>
    <w:qFormat/>
    <w:rPr>
      <w:rFonts w:ascii="Times New Roman" w:eastAsia="Times New Roman" w:hAnsi="Times New Roman" w:cs="Times New Roman"/>
      <w:b/>
      <w:bCs/>
      <w:sz w:val="28"/>
      <w:szCs w:val="28"/>
      <w:u w:val="none"/>
      <w:shd w:val="clear" w:color="auto" w:fill="auto"/>
    </w:rPr>
  </w:style>
  <w:style w:type="paragraph" w:customStyle="1" w:styleId="31">
    <w:name w:val="标题 #3"/>
    <w:basedOn w:val="a"/>
    <w:link w:val="30"/>
    <w:qFormat/>
    <w:pPr>
      <w:spacing w:after="240"/>
      <w:ind w:left="1100"/>
      <w:outlineLvl w:val="2"/>
    </w:pPr>
    <w:rPr>
      <w:rFonts w:eastAsia="Times New Roman" w:cs="Times New Roman"/>
      <w:b/>
      <w:bCs/>
      <w:sz w:val="28"/>
      <w:szCs w:val="28"/>
    </w:rPr>
  </w:style>
  <w:style w:type="paragraph" w:styleId="af">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character" w:customStyle="1" w:styleId="Char1">
    <w:name w:val="页眉 Char"/>
    <w:basedOn w:val="a0"/>
    <w:link w:val="a5"/>
    <w:uiPriority w:val="99"/>
    <w:qFormat/>
    <w:rPr>
      <w:rFonts w:ascii="Times New Roman" w:eastAsia="宋体" w:hAnsi="Times New Roman"/>
      <w:color w:val="000000"/>
      <w:sz w:val="18"/>
      <w:szCs w:val="18"/>
    </w:rPr>
  </w:style>
  <w:style w:type="character" w:customStyle="1" w:styleId="Char0">
    <w:name w:val="页脚 Char"/>
    <w:basedOn w:val="a0"/>
    <w:link w:val="a4"/>
    <w:uiPriority w:val="99"/>
    <w:qFormat/>
    <w:rPr>
      <w:rFonts w:ascii="Times New Roman" w:eastAsia="宋体" w:hAnsi="Times New Roman"/>
      <w:color w:val="000000"/>
      <w:sz w:val="18"/>
      <w:szCs w:val="18"/>
    </w:rPr>
  </w:style>
  <w:style w:type="paragraph" w:styleId="af0">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批注框文本 Char"/>
    <w:basedOn w:val="a0"/>
    <w:link w:val="a3"/>
    <w:uiPriority w:val="99"/>
    <w:semiHidden/>
    <w:qFormat/>
    <w:rPr>
      <w:rFonts w:ascii="Times New Roman" w:eastAsia="宋体" w:hAnsi="Times New Roman"/>
      <w:color w:val="000000"/>
      <w:sz w:val="18"/>
      <w:szCs w:val="18"/>
    </w:rPr>
  </w:style>
  <w:style w:type="character" w:customStyle="1" w:styleId="24">
    <w:name w:val="未处理的提及2"/>
    <w:basedOn w:val="a0"/>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宋体" w:hAnsi="Times New Roman"/>
      <w:color w:val="000000"/>
      <w:sz w:val="24"/>
      <w:szCs w:val="24"/>
      <w:lang w:eastAsia="en-US" w:bidi="en-US"/>
    </w:rPr>
  </w:style>
  <w:style w:type="character" w:customStyle="1" w:styleId="32">
    <w:name w:val="未处理的提及3"/>
    <w:basedOn w:val="a0"/>
    <w:uiPriority w:val="99"/>
    <w:semiHidden/>
    <w:unhideWhenUsed/>
    <w:qFormat/>
    <w:rPr>
      <w:color w:val="605E5C"/>
      <w:shd w:val="clear" w:color="auto" w:fill="E1DFDD"/>
    </w:rPr>
  </w:style>
  <w:style w:type="paragraph" w:styleId="af1">
    <w:name w:val="Revision"/>
    <w:hidden/>
    <w:uiPriority w:val="99"/>
    <w:semiHidden/>
    <w:rsid w:val="00F77223"/>
    <w:rPr>
      <w:rFonts w:ascii="Times New Roman" w:eastAsia="宋体" w:hAnsi="Times New Roman"/>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tabs>
        <w:tab w:val="left" w:pos="1470"/>
        <w:tab w:val="right" w:leader="dot" w:pos="9060"/>
      </w:tabs>
      <w:spacing w:beforeLines="0" w:before="0"/>
      <w:ind w:leftChars="400" w:left="960"/>
    </w:pPr>
  </w:style>
  <w:style w:type="paragraph" w:styleId="a3">
    <w:name w:val="Balloon Text"/>
    <w:basedOn w:val="a"/>
    <w:link w:val="Char"/>
    <w:uiPriority w:val="99"/>
    <w:semiHidden/>
    <w:unhideWhenUsed/>
    <w:qFormat/>
    <w:pPr>
      <w:spacing w:before="0"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qFormat/>
    <w:pPr>
      <w:spacing w:beforeLines="0" w:before="0"/>
    </w:pPr>
  </w:style>
  <w:style w:type="paragraph" w:styleId="2">
    <w:name w:val="toc 2"/>
    <w:basedOn w:val="a"/>
    <w:next w:val="a"/>
    <w:uiPriority w:val="39"/>
    <w:unhideWhenUsed/>
    <w:qFormat/>
    <w:pPr>
      <w:spacing w:beforeLines="0" w:before="0"/>
      <w:ind w:leftChars="200" w:left="20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a8">
    <w:name w:val="脚注_"/>
    <w:basedOn w:val="a0"/>
    <w:link w:val="a9"/>
    <w:qFormat/>
    <w:rPr>
      <w:rFonts w:ascii="Times New Roman" w:eastAsia="Times New Roman" w:hAnsi="Times New Roman" w:cs="Times New Roman"/>
      <w:sz w:val="20"/>
      <w:szCs w:val="20"/>
      <w:u w:val="none"/>
      <w:shd w:val="clear" w:color="auto" w:fill="auto"/>
    </w:rPr>
  </w:style>
  <w:style w:type="paragraph" w:customStyle="1" w:styleId="a9">
    <w:name w:val="脚注"/>
    <w:basedOn w:val="a"/>
    <w:link w:val="a8"/>
    <w:qFormat/>
    <w:rPr>
      <w:rFonts w:eastAsia="Times New Roman" w:cs="Times New Roman"/>
      <w:sz w:val="20"/>
      <w:szCs w:val="20"/>
    </w:rPr>
  </w:style>
  <w:style w:type="character" w:customStyle="1" w:styleId="aa">
    <w:name w:val="其他_"/>
    <w:basedOn w:val="a0"/>
    <w:link w:val="ab"/>
    <w:qFormat/>
    <w:rPr>
      <w:rFonts w:ascii="Times New Roman" w:eastAsia="Times New Roman" w:hAnsi="Times New Roman" w:cs="Times New Roman"/>
      <w:u w:val="none"/>
      <w:shd w:val="clear" w:color="auto" w:fill="auto"/>
    </w:rPr>
  </w:style>
  <w:style w:type="paragraph" w:customStyle="1" w:styleId="ab">
    <w:name w:val="其他"/>
    <w:basedOn w:val="a"/>
    <w:link w:val="aa"/>
    <w:qFormat/>
    <w:pPr>
      <w:spacing w:after="240"/>
    </w:pPr>
    <w:rPr>
      <w:rFonts w:eastAsia="Times New Roman" w:cs="Times New Roman"/>
    </w:rPr>
  </w:style>
  <w:style w:type="character" w:customStyle="1" w:styleId="20">
    <w:name w:val="页眉或页脚 (2)_"/>
    <w:basedOn w:val="a0"/>
    <w:link w:val="21"/>
    <w:qFormat/>
    <w:rPr>
      <w:rFonts w:ascii="Times New Roman" w:eastAsia="Times New Roman" w:hAnsi="Times New Roman" w:cs="Times New Roman"/>
      <w:sz w:val="20"/>
      <w:szCs w:val="20"/>
      <w:u w:val="none"/>
      <w:shd w:val="clear" w:color="auto" w:fill="auto"/>
    </w:rPr>
  </w:style>
  <w:style w:type="paragraph" w:customStyle="1" w:styleId="21">
    <w:name w:val="页眉或页脚 (2)"/>
    <w:basedOn w:val="a"/>
    <w:link w:val="20"/>
    <w:qFormat/>
    <w:rPr>
      <w:rFonts w:eastAsia="Times New Roman" w:cs="Times New Roman"/>
      <w:sz w:val="20"/>
      <w:szCs w:val="20"/>
    </w:rPr>
  </w:style>
  <w:style w:type="character" w:customStyle="1" w:styleId="ac">
    <w:name w:val="正文文本_"/>
    <w:basedOn w:val="a0"/>
    <w:link w:val="10"/>
    <w:qFormat/>
    <w:rPr>
      <w:rFonts w:ascii="Times New Roman" w:eastAsia="Times New Roman" w:hAnsi="Times New Roman" w:cs="Times New Roman"/>
      <w:u w:val="none"/>
      <w:shd w:val="clear" w:color="auto" w:fill="auto"/>
    </w:rPr>
  </w:style>
  <w:style w:type="paragraph" w:customStyle="1" w:styleId="10">
    <w:name w:val="正文文本1"/>
    <w:basedOn w:val="a"/>
    <w:link w:val="ac"/>
    <w:qFormat/>
    <w:pPr>
      <w:spacing w:after="240"/>
    </w:pPr>
    <w:rPr>
      <w:rFonts w:eastAsia="Times New Roman" w:cs="Times New Roman"/>
    </w:rPr>
  </w:style>
  <w:style w:type="character" w:customStyle="1" w:styleId="ad">
    <w:name w:val="目录_"/>
    <w:basedOn w:val="a0"/>
    <w:link w:val="ae"/>
    <w:qFormat/>
    <w:rPr>
      <w:rFonts w:ascii="Times New Roman" w:eastAsia="Times New Roman" w:hAnsi="Times New Roman" w:cs="Times New Roman"/>
      <w:u w:val="none"/>
      <w:shd w:val="clear" w:color="auto" w:fill="auto"/>
    </w:rPr>
  </w:style>
  <w:style w:type="paragraph" w:customStyle="1" w:styleId="ae">
    <w:name w:val="目录"/>
    <w:basedOn w:val="a"/>
    <w:link w:val="ad"/>
    <w:qFormat/>
    <w:pPr>
      <w:ind w:firstLine="220"/>
    </w:pPr>
    <w:rPr>
      <w:rFonts w:eastAsia="Times New Roman" w:cs="Times New Roman"/>
    </w:rPr>
  </w:style>
  <w:style w:type="character" w:customStyle="1" w:styleId="11">
    <w:name w:val="标题 #1_"/>
    <w:basedOn w:val="a0"/>
    <w:link w:val="12"/>
    <w:qFormat/>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qFormat/>
    <w:pPr>
      <w:spacing w:after="500"/>
      <w:outlineLvl w:val="0"/>
    </w:pPr>
    <w:rPr>
      <w:rFonts w:eastAsia="Times New Roman" w:cs="Times New Roman"/>
      <w:b/>
      <w:bCs/>
      <w:sz w:val="36"/>
      <w:szCs w:val="36"/>
    </w:rPr>
  </w:style>
  <w:style w:type="character" w:customStyle="1" w:styleId="22">
    <w:name w:val="标题 #2_"/>
    <w:basedOn w:val="a0"/>
    <w:link w:val="23"/>
    <w:qFormat/>
    <w:rPr>
      <w:rFonts w:ascii="Times New Roman" w:eastAsia="Times New Roman" w:hAnsi="Times New Roman" w:cs="Times New Roman"/>
      <w:b/>
      <w:bCs/>
      <w:sz w:val="32"/>
      <w:szCs w:val="32"/>
      <w:u w:val="none"/>
      <w:shd w:val="clear" w:color="auto" w:fill="auto"/>
    </w:rPr>
  </w:style>
  <w:style w:type="paragraph" w:customStyle="1" w:styleId="23">
    <w:name w:val="标题 #2"/>
    <w:basedOn w:val="a"/>
    <w:link w:val="22"/>
    <w:qFormat/>
    <w:pPr>
      <w:spacing w:after="220"/>
      <w:ind w:firstLine="380"/>
      <w:outlineLvl w:val="1"/>
    </w:pPr>
    <w:rPr>
      <w:rFonts w:eastAsia="Times New Roman" w:cs="Times New Roman"/>
      <w:b/>
      <w:bCs/>
      <w:sz w:val="32"/>
      <w:szCs w:val="32"/>
    </w:rPr>
  </w:style>
  <w:style w:type="character" w:customStyle="1" w:styleId="30">
    <w:name w:val="标题 #3_"/>
    <w:basedOn w:val="a0"/>
    <w:link w:val="31"/>
    <w:qFormat/>
    <w:rPr>
      <w:rFonts w:ascii="Times New Roman" w:eastAsia="Times New Roman" w:hAnsi="Times New Roman" w:cs="Times New Roman"/>
      <w:b/>
      <w:bCs/>
      <w:sz w:val="28"/>
      <w:szCs w:val="28"/>
      <w:u w:val="none"/>
      <w:shd w:val="clear" w:color="auto" w:fill="auto"/>
    </w:rPr>
  </w:style>
  <w:style w:type="paragraph" w:customStyle="1" w:styleId="31">
    <w:name w:val="标题 #3"/>
    <w:basedOn w:val="a"/>
    <w:link w:val="30"/>
    <w:qFormat/>
    <w:pPr>
      <w:spacing w:after="240"/>
      <w:ind w:left="1100"/>
      <w:outlineLvl w:val="2"/>
    </w:pPr>
    <w:rPr>
      <w:rFonts w:eastAsia="Times New Roman" w:cs="Times New Roman"/>
      <w:b/>
      <w:bCs/>
      <w:sz w:val="28"/>
      <w:szCs w:val="28"/>
    </w:rPr>
  </w:style>
  <w:style w:type="paragraph" w:styleId="af">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character" w:customStyle="1" w:styleId="Char1">
    <w:name w:val="页眉 Char"/>
    <w:basedOn w:val="a0"/>
    <w:link w:val="a5"/>
    <w:uiPriority w:val="99"/>
    <w:qFormat/>
    <w:rPr>
      <w:rFonts w:ascii="Times New Roman" w:eastAsia="宋体" w:hAnsi="Times New Roman"/>
      <w:color w:val="000000"/>
      <w:sz w:val="18"/>
      <w:szCs w:val="18"/>
    </w:rPr>
  </w:style>
  <w:style w:type="character" w:customStyle="1" w:styleId="Char0">
    <w:name w:val="页脚 Char"/>
    <w:basedOn w:val="a0"/>
    <w:link w:val="a4"/>
    <w:uiPriority w:val="99"/>
    <w:qFormat/>
    <w:rPr>
      <w:rFonts w:ascii="Times New Roman" w:eastAsia="宋体" w:hAnsi="Times New Roman"/>
      <w:color w:val="000000"/>
      <w:sz w:val="18"/>
      <w:szCs w:val="18"/>
    </w:rPr>
  </w:style>
  <w:style w:type="paragraph" w:styleId="af0">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批注框文本 Char"/>
    <w:basedOn w:val="a0"/>
    <w:link w:val="a3"/>
    <w:uiPriority w:val="99"/>
    <w:semiHidden/>
    <w:qFormat/>
    <w:rPr>
      <w:rFonts w:ascii="Times New Roman" w:eastAsia="宋体" w:hAnsi="Times New Roman"/>
      <w:color w:val="000000"/>
      <w:sz w:val="18"/>
      <w:szCs w:val="18"/>
    </w:rPr>
  </w:style>
  <w:style w:type="character" w:customStyle="1" w:styleId="24">
    <w:name w:val="未处理的提及2"/>
    <w:basedOn w:val="a0"/>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宋体" w:hAnsi="Times New Roman"/>
      <w:color w:val="000000"/>
      <w:sz w:val="24"/>
      <w:szCs w:val="24"/>
      <w:lang w:eastAsia="en-US" w:bidi="en-US"/>
    </w:rPr>
  </w:style>
  <w:style w:type="character" w:customStyle="1" w:styleId="32">
    <w:name w:val="未处理的提及3"/>
    <w:basedOn w:val="a0"/>
    <w:uiPriority w:val="99"/>
    <w:semiHidden/>
    <w:unhideWhenUsed/>
    <w:qFormat/>
    <w:rPr>
      <w:color w:val="605E5C"/>
      <w:shd w:val="clear" w:color="auto" w:fill="E1DFDD"/>
    </w:rPr>
  </w:style>
  <w:style w:type="paragraph" w:styleId="af1">
    <w:name w:val="Revision"/>
    <w:hidden/>
    <w:uiPriority w:val="99"/>
    <w:semiHidden/>
    <w:rsid w:val="00F77223"/>
    <w:rPr>
      <w:rFonts w:ascii="Times New Roman" w:eastAsia="宋体" w:hAnsi="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cori.org/sites/default/files/Standards-in-the-Conduct-of-Registry-Studies-for-Patient-Centered-Outcomes-Research1.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gulation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35831;&#21457;&#36865;&#30005;&#23376;&#37038;&#31665;&#33267;CDRHClinicalEvidence@fda.hhs.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tticlinicaltrials.org/projects/large-simple-trial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93E19-182E-47E8-8155-7C692218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Real-World Evidence to Support Regulatory Decision-Making for Medical Devices - Guidance for Industry and Food and Drug Administration Staff</dc:title>
  <dc:creator>CDRH CBER</dc:creator>
  <cp:lastModifiedBy>EDY</cp:lastModifiedBy>
  <cp:revision>12</cp:revision>
  <dcterms:created xsi:type="dcterms:W3CDTF">2022-03-10T08:18:00Z</dcterms:created>
  <dcterms:modified xsi:type="dcterms:W3CDTF">2022-06-02T08:40:00Z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27BAFD1A780043C799A2D02579C8EDD1</vt:lpwstr>
  </property>
</Properties>
</file>