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0FEF71" w14:textId="77777777" w:rsidR="00011048" w:rsidRPr="002C2F85" w:rsidRDefault="002C2F85" w:rsidP="002C2F85">
      <w:pPr>
        <w:pBdr>
          <w:bottom w:val="single" w:sz="4" w:space="1" w:color="auto"/>
        </w:pBdr>
        <w:adjustRightInd w:val="0"/>
        <w:snapToGrid w:val="0"/>
        <w:spacing w:beforeLines="50" w:before="120" w:line="300" w:lineRule="auto"/>
        <w:jc w:val="center"/>
        <w:rPr>
          <w:b/>
          <w:sz w:val="52"/>
          <w:szCs w:val="21"/>
          <w:lang w:eastAsia="zh-CN"/>
        </w:rPr>
      </w:pPr>
      <w:bookmarkStart w:id="0" w:name="_GoBack"/>
      <w:bookmarkEnd w:id="0"/>
      <w:r w:rsidRPr="00BC41B1">
        <w:rPr>
          <w:rFonts w:eastAsia="宋体" w:cs="宋体"/>
          <w:b/>
          <w:sz w:val="52"/>
          <w:lang w:eastAsia="zh-CN"/>
        </w:rPr>
        <w:t>针对生物素对体外诊断医疗器械的干扰开展的试验</w:t>
      </w:r>
    </w:p>
    <w:p w14:paraId="29619227" w14:textId="77777777" w:rsidR="002C2F85" w:rsidRPr="002C2F85" w:rsidRDefault="00FF10B5" w:rsidP="002C2F85">
      <w:pPr>
        <w:adjustRightInd w:val="0"/>
        <w:snapToGrid w:val="0"/>
        <w:spacing w:beforeLines="50" w:before="120" w:line="300" w:lineRule="auto"/>
        <w:jc w:val="center"/>
        <w:rPr>
          <w:b/>
          <w:sz w:val="52"/>
          <w:szCs w:val="21"/>
        </w:rPr>
      </w:pPr>
      <w:proofErr w:type="spellStart"/>
      <w:r w:rsidRPr="00BC41B1">
        <w:rPr>
          <w:rFonts w:eastAsia="宋体" w:cs="宋体"/>
          <w:b/>
          <w:sz w:val="52"/>
        </w:rPr>
        <w:t>行业指南</w:t>
      </w:r>
      <w:proofErr w:type="spellEnd"/>
    </w:p>
    <w:p w14:paraId="1F309C51" w14:textId="2F7CEA4E" w:rsidR="002C2F85" w:rsidRPr="002C2F85" w:rsidRDefault="00FF10B5" w:rsidP="002C2F85">
      <w:pPr>
        <w:pStyle w:val="a3"/>
        <w:adjustRightInd w:val="0"/>
        <w:snapToGrid w:val="0"/>
        <w:spacing w:beforeLines="1500" w:before="3600" w:afterLines="1500" w:after="3600" w:line="300" w:lineRule="auto"/>
        <w:jc w:val="both"/>
        <w:rPr>
          <w:sz w:val="21"/>
          <w:szCs w:val="21"/>
        </w:rPr>
      </w:pPr>
      <w:r w:rsidRPr="00BC41B1">
        <w:rPr>
          <w:rFonts w:eastAsia="宋体" w:cs="宋体"/>
          <w:sz w:val="21"/>
        </w:rPr>
        <w:t>如对本指南的内容有任何疑问，请致电</w:t>
      </w:r>
      <w:r w:rsidRPr="00BC41B1">
        <w:rPr>
          <w:rFonts w:eastAsia="宋体" w:cs="宋体"/>
          <w:sz w:val="21"/>
        </w:rPr>
        <w:t>240-402-8010</w:t>
      </w:r>
      <w:r w:rsidRPr="00BC41B1">
        <w:rPr>
          <w:rFonts w:eastAsia="宋体" w:cs="宋体"/>
          <w:sz w:val="21"/>
        </w:rPr>
        <w:t>或</w:t>
      </w:r>
      <w:r w:rsidRPr="00BC41B1">
        <w:rPr>
          <w:rFonts w:eastAsia="宋体" w:cs="宋体"/>
          <w:sz w:val="21"/>
        </w:rPr>
        <w:t>800-835-4709</w:t>
      </w:r>
      <w:r w:rsidRPr="00BC41B1">
        <w:rPr>
          <w:rFonts w:eastAsia="宋体" w:cs="宋体"/>
          <w:sz w:val="21"/>
        </w:rPr>
        <w:t>或发送电子邮件至</w:t>
      </w:r>
      <w:r w:rsidRPr="00BC41B1">
        <w:rPr>
          <w:rFonts w:eastAsia="宋体" w:cs="宋体"/>
          <w:color w:val="0000FF"/>
          <w:sz w:val="21"/>
          <w:u w:val="single"/>
        </w:rPr>
        <w:t>ocod@fda.hhs.gov</w:t>
      </w:r>
      <w:r w:rsidRPr="00BC41B1">
        <w:rPr>
          <w:rFonts w:eastAsia="宋体" w:cs="宋体"/>
          <w:sz w:val="21"/>
        </w:rPr>
        <w:t>联系生物制品评价与研究中心（</w:t>
      </w:r>
      <w:r w:rsidRPr="00BC41B1">
        <w:rPr>
          <w:rFonts w:eastAsia="宋体" w:cs="宋体"/>
          <w:sz w:val="21"/>
        </w:rPr>
        <w:t>CBER</w:t>
      </w:r>
      <w:r w:rsidRPr="00BC41B1">
        <w:rPr>
          <w:rFonts w:eastAsia="宋体" w:cs="宋体"/>
          <w:sz w:val="21"/>
        </w:rPr>
        <w:t>）交流、外联和发展办公室（</w:t>
      </w:r>
      <w:r w:rsidRPr="00BC41B1">
        <w:rPr>
          <w:rFonts w:eastAsia="宋体" w:cs="宋体"/>
          <w:sz w:val="21"/>
        </w:rPr>
        <w:t>OCOD</w:t>
      </w:r>
      <w:r w:rsidRPr="00BC41B1">
        <w:rPr>
          <w:rFonts w:eastAsia="宋体" w:cs="宋体"/>
          <w:sz w:val="21"/>
        </w:rPr>
        <w:t>）。如对本文件中由</w:t>
      </w:r>
      <w:r w:rsidR="00AA1C20">
        <w:rPr>
          <w:rFonts w:eastAsia="宋体" w:cs="宋体"/>
          <w:sz w:val="21"/>
        </w:rPr>
        <w:t>医疗器械和辐射健康中心</w:t>
      </w:r>
      <w:r w:rsidRPr="00BC41B1">
        <w:rPr>
          <w:rFonts w:eastAsia="宋体" w:cs="宋体"/>
          <w:sz w:val="21"/>
        </w:rPr>
        <w:t>（</w:t>
      </w:r>
      <w:r w:rsidRPr="00BC41B1">
        <w:rPr>
          <w:rFonts w:eastAsia="宋体" w:cs="宋体"/>
          <w:sz w:val="21"/>
        </w:rPr>
        <w:t>CDRH</w:t>
      </w:r>
      <w:r w:rsidRPr="00BC41B1">
        <w:rPr>
          <w:rFonts w:eastAsia="宋体" w:cs="宋体"/>
          <w:sz w:val="21"/>
        </w:rPr>
        <w:t>）监管的产品有任何疑问，请致电</w:t>
      </w:r>
      <w:r w:rsidRPr="00BC41B1">
        <w:rPr>
          <w:rFonts w:eastAsia="宋体" w:cs="宋体"/>
          <w:sz w:val="21"/>
        </w:rPr>
        <w:t>301-796-5900</w:t>
      </w:r>
      <w:r w:rsidRPr="00BC41B1">
        <w:rPr>
          <w:rFonts w:eastAsia="宋体" w:cs="宋体"/>
          <w:sz w:val="21"/>
        </w:rPr>
        <w:t>或发送电子邮件至</w:t>
      </w:r>
      <w:r w:rsidRPr="00BC41B1">
        <w:rPr>
          <w:rFonts w:eastAsia="宋体" w:cs="宋体"/>
          <w:color w:val="0000FF"/>
          <w:sz w:val="21"/>
          <w:u w:val="single"/>
        </w:rPr>
        <w:t>CDRH-OIR-Policy@fda.hhs.gov</w:t>
      </w:r>
      <w:r w:rsidRPr="00BC41B1">
        <w:rPr>
          <w:rFonts w:eastAsia="宋体" w:cs="宋体"/>
          <w:sz w:val="21"/>
        </w:rPr>
        <w:t>联系体外诊断办公室。</w:t>
      </w:r>
    </w:p>
    <w:p w14:paraId="26E9811B" w14:textId="77777777" w:rsidR="00011048" w:rsidRPr="002C2F85" w:rsidRDefault="00841914" w:rsidP="002C2F85">
      <w:pPr>
        <w:adjustRightInd w:val="0"/>
        <w:snapToGrid w:val="0"/>
        <w:spacing w:beforeLines="15" w:before="36" w:line="276" w:lineRule="auto"/>
        <w:jc w:val="right"/>
        <w:rPr>
          <w:b/>
          <w:sz w:val="21"/>
          <w:szCs w:val="21"/>
          <w:lang w:eastAsia="zh-CN"/>
        </w:rPr>
      </w:pPr>
      <w:r w:rsidRPr="00BC41B1">
        <w:rPr>
          <w:rFonts w:eastAsia="宋体" w:cs="宋体"/>
          <w:b/>
          <w:sz w:val="21"/>
          <w:lang w:eastAsia="zh-CN"/>
        </w:rPr>
        <w:t>美国卫生与公共服务部</w:t>
      </w:r>
    </w:p>
    <w:p w14:paraId="670AACB1" w14:textId="159ED883" w:rsidR="002C2F85" w:rsidRPr="00841914" w:rsidRDefault="00AA1C20" w:rsidP="002C2F85">
      <w:pPr>
        <w:adjustRightInd w:val="0"/>
        <w:snapToGrid w:val="0"/>
        <w:spacing w:beforeLines="15" w:before="36" w:line="276" w:lineRule="auto"/>
        <w:jc w:val="right"/>
        <w:rPr>
          <w:rFonts w:eastAsiaTheme="minorEastAsia"/>
          <w:b/>
          <w:sz w:val="21"/>
          <w:szCs w:val="21"/>
          <w:lang w:eastAsia="zh-CN"/>
        </w:rPr>
      </w:pPr>
      <w:r>
        <w:rPr>
          <w:rFonts w:eastAsia="宋体" w:cs="宋体"/>
          <w:b/>
          <w:sz w:val="21"/>
          <w:lang w:eastAsia="zh-CN"/>
        </w:rPr>
        <w:t>美国食品药品监督管理局</w:t>
      </w:r>
    </w:p>
    <w:p w14:paraId="1F8FF1DF" w14:textId="22D5D09D" w:rsidR="002C2F85" w:rsidRPr="00841914" w:rsidRDefault="00FF10B5" w:rsidP="002C2F85">
      <w:pPr>
        <w:adjustRightInd w:val="0"/>
        <w:snapToGrid w:val="0"/>
        <w:spacing w:beforeLines="15" w:before="36" w:line="276" w:lineRule="auto"/>
        <w:jc w:val="right"/>
        <w:rPr>
          <w:rFonts w:eastAsiaTheme="minorEastAsia"/>
          <w:b/>
          <w:sz w:val="21"/>
          <w:szCs w:val="21"/>
          <w:lang w:eastAsia="zh-CN"/>
        </w:rPr>
      </w:pPr>
      <w:r w:rsidRPr="00BC41B1">
        <w:rPr>
          <w:rFonts w:eastAsia="宋体" w:cs="宋体"/>
          <w:b/>
          <w:sz w:val="21"/>
          <w:lang w:eastAsia="zh-CN"/>
        </w:rPr>
        <w:t>生物制品评价</w:t>
      </w:r>
      <w:r w:rsidR="006F1681">
        <w:rPr>
          <w:rFonts w:eastAsia="宋体" w:cs="宋体" w:hint="eastAsia"/>
          <w:b/>
          <w:sz w:val="21"/>
          <w:lang w:eastAsia="zh-CN"/>
        </w:rPr>
        <w:t>与</w:t>
      </w:r>
      <w:r w:rsidRPr="00BC41B1">
        <w:rPr>
          <w:rFonts w:eastAsia="宋体" w:cs="宋体"/>
          <w:b/>
          <w:sz w:val="21"/>
          <w:lang w:eastAsia="zh-CN"/>
        </w:rPr>
        <w:t>研究中心</w:t>
      </w:r>
    </w:p>
    <w:p w14:paraId="703EBD3E" w14:textId="2FF064C7" w:rsidR="00011048" w:rsidRPr="002C2F85" w:rsidRDefault="00AA1C20" w:rsidP="002C2F85">
      <w:pPr>
        <w:adjustRightInd w:val="0"/>
        <w:snapToGrid w:val="0"/>
        <w:spacing w:beforeLines="15" w:before="36" w:line="276" w:lineRule="auto"/>
        <w:jc w:val="right"/>
        <w:rPr>
          <w:b/>
          <w:sz w:val="21"/>
          <w:szCs w:val="21"/>
          <w:lang w:eastAsia="zh-CN"/>
        </w:rPr>
      </w:pPr>
      <w:r>
        <w:rPr>
          <w:rFonts w:eastAsia="宋体" w:cs="宋体"/>
          <w:b/>
          <w:sz w:val="21"/>
          <w:lang w:eastAsia="zh-CN"/>
        </w:rPr>
        <w:t>医疗器械和辐射健康中心</w:t>
      </w:r>
    </w:p>
    <w:p w14:paraId="31EEED6F" w14:textId="77777777" w:rsidR="00011048" w:rsidRPr="002C2F85" w:rsidRDefault="00FF10B5" w:rsidP="002C2F85">
      <w:pPr>
        <w:adjustRightInd w:val="0"/>
        <w:snapToGrid w:val="0"/>
        <w:spacing w:beforeLines="15" w:before="36" w:line="276" w:lineRule="auto"/>
        <w:jc w:val="right"/>
        <w:rPr>
          <w:b/>
          <w:sz w:val="21"/>
          <w:szCs w:val="21"/>
          <w:lang w:eastAsia="zh-CN"/>
        </w:rPr>
      </w:pPr>
      <w:r w:rsidRPr="00BC41B1">
        <w:rPr>
          <w:rFonts w:eastAsia="宋体" w:cs="宋体"/>
          <w:b/>
          <w:sz w:val="21"/>
          <w:lang w:eastAsia="zh-CN"/>
        </w:rPr>
        <w:t>2020</w:t>
      </w:r>
      <w:r w:rsidRPr="00BC41B1">
        <w:rPr>
          <w:rFonts w:eastAsia="宋体" w:cs="宋体"/>
          <w:b/>
          <w:sz w:val="21"/>
          <w:lang w:eastAsia="zh-CN"/>
        </w:rPr>
        <w:t>年</w:t>
      </w:r>
      <w:r w:rsidRPr="00BC41B1">
        <w:rPr>
          <w:rFonts w:eastAsia="宋体" w:cs="宋体"/>
          <w:b/>
          <w:sz w:val="21"/>
          <w:lang w:eastAsia="zh-CN"/>
        </w:rPr>
        <w:t>10</w:t>
      </w:r>
      <w:r w:rsidRPr="00BC41B1">
        <w:rPr>
          <w:rFonts w:eastAsia="宋体" w:cs="宋体"/>
          <w:b/>
          <w:sz w:val="21"/>
          <w:lang w:eastAsia="zh-CN"/>
        </w:rPr>
        <w:t>月</w:t>
      </w:r>
    </w:p>
    <w:p w14:paraId="3617832E" w14:textId="77777777" w:rsidR="002C2F85" w:rsidRPr="002C2F85" w:rsidRDefault="002C2F85" w:rsidP="002C2F85">
      <w:pPr>
        <w:adjustRightInd w:val="0"/>
        <w:snapToGrid w:val="0"/>
        <w:spacing w:beforeLines="50" w:before="120" w:line="300" w:lineRule="auto"/>
        <w:jc w:val="both"/>
        <w:rPr>
          <w:b/>
          <w:sz w:val="21"/>
          <w:szCs w:val="21"/>
          <w:lang w:eastAsia="zh-CN"/>
        </w:rPr>
      </w:pPr>
      <w:r w:rsidRPr="00BC41B1">
        <w:rPr>
          <w:rFonts w:eastAsia="宋体" w:cs="宋体"/>
          <w:b/>
          <w:sz w:val="21"/>
          <w:lang w:eastAsia="zh-CN"/>
        </w:rPr>
        <w:br w:type="page"/>
      </w:r>
    </w:p>
    <w:p w14:paraId="3F105CF8" w14:textId="77777777" w:rsidR="00B86E99" w:rsidRPr="002C2F85" w:rsidRDefault="00B86E99" w:rsidP="00B86E99">
      <w:pPr>
        <w:pBdr>
          <w:bottom w:val="single" w:sz="4" w:space="1" w:color="auto"/>
        </w:pBdr>
        <w:adjustRightInd w:val="0"/>
        <w:snapToGrid w:val="0"/>
        <w:spacing w:beforeLines="50" w:before="120" w:line="300" w:lineRule="auto"/>
        <w:jc w:val="center"/>
        <w:rPr>
          <w:b/>
          <w:sz w:val="52"/>
          <w:szCs w:val="21"/>
          <w:lang w:eastAsia="zh-CN"/>
        </w:rPr>
      </w:pPr>
      <w:r w:rsidRPr="00BC41B1">
        <w:rPr>
          <w:rFonts w:eastAsia="宋体" w:cs="宋体"/>
          <w:b/>
          <w:sz w:val="52"/>
          <w:lang w:eastAsia="zh-CN"/>
        </w:rPr>
        <w:lastRenderedPageBreak/>
        <w:t>针对生物素对体外诊断医疗器械的干扰开展的试验</w:t>
      </w:r>
    </w:p>
    <w:p w14:paraId="71CB6717" w14:textId="77777777" w:rsidR="00B86E99" w:rsidRPr="002C2F85" w:rsidRDefault="00B86E99" w:rsidP="00B86E99">
      <w:pPr>
        <w:adjustRightInd w:val="0"/>
        <w:snapToGrid w:val="0"/>
        <w:spacing w:beforeLines="50" w:before="120" w:line="300" w:lineRule="auto"/>
        <w:jc w:val="center"/>
        <w:rPr>
          <w:b/>
          <w:sz w:val="52"/>
          <w:szCs w:val="21"/>
          <w:lang w:eastAsia="zh-CN"/>
        </w:rPr>
      </w:pPr>
      <w:r w:rsidRPr="00BC41B1">
        <w:rPr>
          <w:rFonts w:eastAsia="宋体" w:cs="宋体"/>
          <w:b/>
          <w:sz w:val="52"/>
          <w:lang w:eastAsia="zh-CN"/>
        </w:rPr>
        <w:t>行业指南</w:t>
      </w:r>
    </w:p>
    <w:p w14:paraId="233EC4C2" w14:textId="77777777" w:rsidR="00B86E99" w:rsidRDefault="00B86E99" w:rsidP="002C2F85">
      <w:pPr>
        <w:adjustRightInd w:val="0"/>
        <w:snapToGrid w:val="0"/>
        <w:spacing w:beforeLines="50" w:before="120" w:line="300" w:lineRule="auto"/>
        <w:jc w:val="both"/>
        <w:rPr>
          <w:rFonts w:eastAsiaTheme="minorEastAsia"/>
          <w:i/>
          <w:sz w:val="21"/>
          <w:szCs w:val="21"/>
          <w:lang w:eastAsia="zh-CN"/>
        </w:rPr>
      </w:pPr>
      <w:bookmarkStart w:id="1" w:name="Additional_copies_of_this_guidance_are_a"/>
      <w:bookmarkEnd w:id="1"/>
    </w:p>
    <w:p w14:paraId="3A0F136E" w14:textId="5D544F78" w:rsidR="002C2F85" w:rsidRPr="002C2F85" w:rsidRDefault="00FF10B5" w:rsidP="00B86E99">
      <w:pPr>
        <w:adjustRightInd w:val="0"/>
        <w:snapToGrid w:val="0"/>
        <w:spacing w:beforeLines="50" w:before="120" w:line="300" w:lineRule="auto"/>
        <w:jc w:val="center"/>
        <w:rPr>
          <w:i/>
          <w:sz w:val="21"/>
          <w:szCs w:val="21"/>
          <w:lang w:eastAsia="zh-CN"/>
        </w:rPr>
      </w:pPr>
      <w:r w:rsidRPr="00BC41B1">
        <w:rPr>
          <w:rFonts w:eastAsia="宋体" w:cs="宋体"/>
          <w:i/>
          <w:sz w:val="21"/>
          <w:lang w:eastAsia="zh-CN"/>
        </w:rPr>
        <w:t>本指南的附加副本可通过以下</w:t>
      </w:r>
      <w:r w:rsidR="00F644ED">
        <w:rPr>
          <w:rFonts w:eastAsia="宋体" w:cs="宋体" w:hint="eastAsia"/>
          <w:i/>
          <w:sz w:val="21"/>
          <w:lang w:eastAsia="zh-CN"/>
        </w:rPr>
        <w:t>联系信息</w:t>
      </w:r>
      <w:r w:rsidRPr="00BC41B1">
        <w:rPr>
          <w:rFonts w:eastAsia="宋体" w:cs="宋体"/>
          <w:i/>
          <w:sz w:val="21"/>
          <w:lang w:eastAsia="zh-CN"/>
        </w:rPr>
        <w:t>获取：</w:t>
      </w:r>
    </w:p>
    <w:p w14:paraId="6F692B57" w14:textId="02CA733B" w:rsidR="00841914" w:rsidRDefault="00FF10B5" w:rsidP="00B86E99">
      <w:pPr>
        <w:adjustRightInd w:val="0"/>
        <w:snapToGrid w:val="0"/>
        <w:spacing w:beforeLines="50" w:before="120" w:line="300" w:lineRule="auto"/>
        <w:jc w:val="center"/>
        <w:rPr>
          <w:rFonts w:eastAsiaTheme="minorEastAsia"/>
          <w:i/>
          <w:sz w:val="21"/>
          <w:szCs w:val="21"/>
          <w:lang w:eastAsia="zh-CN"/>
        </w:rPr>
      </w:pPr>
      <w:r w:rsidRPr="00BC41B1">
        <w:rPr>
          <w:rFonts w:eastAsia="宋体" w:cs="宋体"/>
          <w:i/>
          <w:sz w:val="21"/>
          <w:lang w:eastAsia="zh-CN"/>
        </w:rPr>
        <w:t>交流、</w:t>
      </w:r>
      <w:r w:rsidR="00787353">
        <w:rPr>
          <w:rFonts w:eastAsia="宋体" w:cs="宋体" w:hint="eastAsia"/>
          <w:i/>
          <w:sz w:val="21"/>
          <w:lang w:eastAsia="zh-CN"/>
        </w:rPr>
        <w:t>外联</w:t>
      </w:r>
      <w:r w:rsidRPr="00BC41B1">
        <w:rPr>
          <w:rFonts w:eastAsia="宋体" w:cs="宋体"/>
          <w:i/>
          <w:sz w:val="21"/>
          <w:lang w:eastAsia="zh-CN"/>
        </w:rPr>
        <w:t>和发展办公室</w:t>
      </w:r>
    </w:p>
    <w:p w14:paraId="30B09447" w14:textId="7FB0E88E" w:rsidR="00841914" w:rsidRDefault="00FF10B5" w:rsidP="00B86E99">
      <w:pPr>
        <w:adjustRightInd w:val="0"/>
        <w:snapToGrid w:val="0"/>
        <w:spacing w:beforeLines="50" w:before="120" w:line="300" w:lineRule="auto"/>
        <w:jc w:val="center"/>
        <w:rPr>
          <w:rFonts w:eastAsiaTheme="minorEastAsia"/>
          <w:i/>
          <w:sz w:val="21"/>
          <w:szCs w:val="21"/>
          <w:lang w:eastAsia="zh-CN"/>
        </w:rPr>
      </w:pPr>
      <w:r w:rsidRPr="00BC41B1">
        <w:rPr>
          <w:rFonts w:eastAsia="宋体" w:cs="宋体"/>
          <w:i/>
          <w:sz w:val="21"/>
          <w:lang w:eastAsia="zh-CN"/>
        </w:rPr>
        <w:t>生物制品评价</w:t>
      </w:r>
      <w:r w:rsidR="006F1681">
        <w:rPr>
          <w:rFonts w:eastAsia="宋体" w:cs="宋体" w:hint="eastAsia"/>
          <w:i/>
          <w:sz w:val="21"/>
          <w:lang w:eastAsia="zh-CN"/>
        </w:rPr>
        <w:t>与</w:t>
      </w:r>
      <w:r w:rsidRPr="00BC41B1">
        <w:rPr>
          <w:rFonts w:eastAsia="宋体" w:cs="宋体"/>
          <w:i/>
          <w:sz w:val="21"/>
          <w:lang w:eastAsia="zh-CN"/>
        </w:rPr>
        <w:t>研究中心</w:t>
      </w:r>
    </w:p>
    <w:p w14:paraId="01354263" w14:textId="2A2010E6" w:rsidR="00841914" w:rsidRDefault="00AA1C20" w:rsidP="00B86E99">
      <w:pPr>
        <w:adjustRightInd w:val="0"/>
        <w:snapToGrid w:val="0"/>
        <w:spacing w:beforeLines="50" w:before="120" w:line="300" w:lineRule="auto"/>
        <w:jc w:val="center"/>
        <w:rPr>
          <w:rFonts w:eastAsiaTheme="minorEastAsia"/>
          <w:i/>
          <w:sz w:val="21"/>
          <w:szCs w:val="21"/>
          <w:lang w:eastAsia="zh-CN"/>
        </w:rPr>
      </w:pPr>
      <w:r>
        <w:rPr>
          <w:rFonts w:eastAsia="宋体" w:cs="宋体"/>
          <w:i/>
          <w:sz w:val="21"/>
          <w:lang w:eastAsia="zh-CN"/>
        </w:rPr>
        <w:t>美国食品药品监督管理局</w:t>
      </w:r>
    </w:p>
    <w:p w14:paraId="7340743A" w14:textId="77777777" w:rsidR="00841914" w:rsidRPr="00BC41B1" w:rsidRDefault="00FF10B5" w:rsidP="00B86E99">
      <w:pPr>
        <w:adjustRightInd w:val="0"/>
        <w:snapToGrid w:val="0"/>
        <w:spacing w:beforeLines="50" w:before="120" w:line="300" w:lineRule="auto"/>
        <w:jc w:val="center"/>
        <w:rPr>
          <w:rFonts w:eastAsiaTheme="minorEastAsia"/>
          <w:i/>
          <w:sz w:val="21"/>
          <w:szCs w:val="21"/>
          <w:lang w:eastAsia="zh-CN"/>
        </w:rPr>
      </w:pPr>
      <w:bookmarkStart w:id="2" w:name="10903_New_Hampshire_Ave.,_WO71,_Room_312"/>
      <w:bookmarkEnd w:id="2"/>
      <w:r w:rsidRPr="00BC41B1">
        <w:rPr>
          <w:i/>
          <w:sz w:val="21"/>
          <w:szCs w:val="21"/>
        </w:rPr>
        <w:t xml:space="preserve">10903 New Hampshire Ave., WO71, Room 3128 </w:t>
      </w:r>
    </w:p>
    <w:p w14:paraId="0AB7D1FB" w14:textId="77777777" w:rsidR="00841914" w:rsidRPr="00BC41B1" w:rsidRDefault="00FF10B5" w:rsidP="00B86E99">
      <w:pPr>
        <w:adjustRightInd w:val="0"/>
        <w:snapToGrid w:val="0"/>
        <w:spacing w:beforeLines="50" w:before="120" w:line="300" w:lineRule="auto"/>
        <w:jc w:val="center"/>
        <w:rPr>
          <w:rFonts w:eastAsiaTheme="minorEastAsia"/>
          <w:i/>
          <w:sz w:val="21"/>
          <w:szCs w:val="21"/>
          <w:lang w:eastAsia="zh-CN"/>
        </w:rPr>
      </w:pPr>
      <w:r w:rsidRPr="00BC41B1">
        <w:rPr>
          <w:i/>
          <w:sz w:val="21"/>
          <w:szCs w:val="21"/>
        </w:rPr>
        <w:t>Silver Spring, MD 20993</w:t>
      </w:r>
    </w:p>
    <w:p w14:paraId="48FF4168" w14:textId="485F0BB9" w:rsidR="00841914" w:rsidRDefault="00FF10B5" w:rsidP="00B86E99">
      <w:pPr>
        <w:adjustRightInd w:val="0"/>
        <w:snapToGrid w:val="0"/>
        <w:spacing w:beforeLines="50" w:before="120" w:line="300" w:lineRule="auto"/>
        <w:jc w:val="center"/>
        <w:rPr>
          <w:rFonts w:eastAsiaTheme="minorEastAsia"/>
          <w:i/>
          <w:sz w:val="21"/>
          <w:szCs w:val="21"/>
          <w:lang w:eastAsia="zh-CN"/>
        </w:rPr>
      </w:pPr>
      <w:r w:rsidRPr="00BC41B1">
        <w:rPr>
          <w:rFonts w:eastAsia="宋体" w:cs="宋体"/>
          <w:i/>
          <w:sz w:val="21"/>
        </w:rPr>
        <w:t>电话：</w:t>
      </w:r>
      <w:r w:rsidRPr="00BC41B1">
        <w:rPr>
          <w:rFonts w:eastAsia="宋体" w:cs="宋体"/>
          <w:i/>
          <w:sz w:val="21"/>
        </w:rPr>
        <w:t>800-835-4709</w:t>
      </w:r>
      <w:r w:rsidRPr="00BC41B1">
        <w:rPr>
          <w:rFonts w:eastAsia="宋体" w:cs="宋体"/>
          <w:i/>
          <w:sz w:val="21"/>
        </w:rPr>
        <w:t>或</w:t>
      </w:r>
      <w:r w:rsidRPr="00BC41B1">
        <w:rPr>
          <w:rFonts w:eastAsia="宋体" w:cs="宋体"/>
          <w:i/>
          <w:sz w:val="21"/>
        </w:rPr>
        <w:t>240-402-8010</w:t>
      </w:r>
    </w:p>
    <w:p w14:paraId="037D079B" w14:textId="38F89992" w:rsidR="00841914" w:rsidRDefault="00FF10B5" w:rsidP="00B86E99">
      <w:pPr>
        <w:adjustRightInd w:val="0"/>
        <w:snapToGrid w:val="0"/>
        <w:spacing w:beforeLines="50" w:before="120" w:line="300" w:lineRule="auto"/>
        <w:jc w:val="center"/>
        <w:rPr>
          <w:rFonts w:eastAsiaTheme="minorEastAsia"/>
          <w:i/>
          <w:sz w:val="21"/>
          <w:szCs w:val="21"/>
          <w:lang w:eastAsia="zh-CN"/>
        </w:rPr>
      </w:pPr>
      <w:proofErr w:type="spellStart"/>
      <w:r w:rsidRPr="00BC41B1">
        <w:rPr>
          <w:rFonts w:eastAsia="宋体" w:cs="宋体"/>
          <w:sz w:val="21"/>
        </w:rPr>
        <w:t>电子邮箱</w:t>
      </w:r>
      <w:proofErr w:type="spellEnd"/>
      <w:r w:rsidR="00787353">
        <w:rPr>
          <w:rFonts w:eastAsia="宋体" w:cs="宋体" w:hint="eastAsia"/>
          <w:sz w:val="21"/>
          <w:lang w:eastAsia="zh-CN"/>
        </w:rPr>
        <w:t>：</w:t>
      </w:r>
      <w:r w:rsidR="005B199D">
        <w:fldChar w:fldCharType="begin"/>
      </w:r>
      <w:r w:rsidR="005B199D">
        <w:instrText xml:space="preserve"> HYPERLINK "mailto:ocod@fda.hhs.gov" </w:instrText>
      </w:r>
      <w:r w:rsidR="005B199D">
        <w:fldChar w:fldCharType="separate"/>
      </w:r>
      <w:r w:rsidR="00787353" w:rsidRPr="007A0346">
        <w:rPr>
          <w:rStyle w:val="a7"/>
          <w:rFonts w:eastAsia="宋体" w:cs="宋体"/>
          <w:i/>
          <w:sz w:val="21"/>
          <w:szCs w:val="21"/>
        </w:rPr>
        <w:t>ocod@fda.hhs.gov</w:t>
      </w:r>
      <w:r w:rsidR="005B199D">
        <w:rPr>
          <w:rStyle w:val="a7"/>
          <w:rFonts w:eastAsia="宋体" w:cs="宋体"/>
          <w:i/>
          <w:sz w:val="21"/>
          <w:szCs w:val="21"/>
        </w:rPr>
        <w:fldChar w:fldCharType="end"/>
      </w:r>
    </w:p>
    <w:p w14:paraId="6E996A19" w14:textId="77777777" w:rsidR="00841914" w:rsidRPr="00BC41B1" w:rsidRDefault="00FF10B5" w:rsidP="00B86E99">
      <w:pPr>
        <w:adjustRightInd w:val="0"/>
        <w:snapToGrid w:val="0"/>
        <w:spacing w:beforeLines="50" w:before="120" w:line="300" w:lineRule="auto"/>
        <w:jc w:val="center"/>
        <w:rPr>
          <w:rFonts w:eastAsiaTheme="minorEastAsia"/>
          <w:i/>
          <w:color w:val="0000FF"/>
          <w:sz w:val="21"/>
          <w:szCs w:val="21"/>
          <w:u w:val="single" w:color="0000FF"/>
          <w:lang w:eastAsia="zh-CN"/>
        </w:rPr>
      </w:pPr>
      <w:r w:rsidRPr="00BC41B1">
        <w:rPr>
          <w:i/>
          <w:color w:val="0000FF"/>
          <w:sz w:val="21"/>
          <w:szCs w:val="21"/>
          <w:u w:val="single" w:color="0000FF"/>
        </w:rPr>
        <w:t>https://www.fda.gov/vaccines-blood-biologics/guidance-compliance-regulatory-information-</w:t>
      </w:r>
      <w:r w:rsidRPr="00BC41B1">
        <w:rPr>
          <w:i/>
          <w:color w:val="0000FF"/>
          <w:sz w:val="21"/>
          <w:szCs w:val="21"/>
        </w:rPr>
        <w:t xml:space="preserve"> </w:t>
      </w:r>
      <w:r w:rsidRPr="00BC41B1">
        <w:rPr>
          <w:i/>
          <w:color w:val="0000FF"/>
          <w:sz w:val="21"/>
          <w:szCs w:val="21"/>
          <w:u w:val="single" w:color="0000FF"/>
        </w:rPr>
        <w:t>biologics/biologics-</w:t>
      </w:r>
      <w:proofErr w:type="spellStart"/>
      <w:r w:rsidRPr="00BC41B1">
        <w:rPr>
          <w:i/>
          <w:color w:val="0000FF"/>
          <w:sz w:val="21"/>
          <w:szCs w:val="21"/>
          <w:u w:val="single" w:color="0000FF"/>
        </w:rPr>
        <w:t>guidances</w:t>
      </w:r>
      <w:proofErr w:type="spellEnd"/>
    </w:p>
    <w:p w14:paraId="0E88220B" w14:textId="77777777" w:rsidR="00841914" w:rsidRDefault="00FF10B5" w:rsidP="00B86E99">
      <w:pPr>
        <w:adjustRightInd w:val="0"/>
        <w:snapToGrid w:val="0"/>
        <w:spacing w:beforeLines="50" w:before="120" w:line="300" w:lineRule="auto"/>
        <w:jc w:val="center"/>
        <w:rPr>
          <w:rFonts w:eastAsiaTheme="minorEastAsia"/>
          <w:i/>
          <w:sz w:val="21"/>
          <w:szCs w:val="21"/>
          <w:lang w:eastAsia="zh-CN"/>
        </w:rPr>
      </w:pPr>
      <w:r w:rsidRPr="00BC41B1">
        <w:rPr>
          <w:rFonts w:eastAsia="宋体" w:cs="宋体"/>
          <w:i/>
          <w:sz w:val="21"/>
          <w:lang w:eastAsia="zh-CN"/>
        </w:rPr>
        <w:t>或</w:t>
      </w:r>
    </w:p>
    <w:p w14:paraId="178EB546" w14:textId="77777777" w:rsidR="00841914" w:rsidRDefault="00FF10B5" w:rsidP="00B86E99">
      <w:pPr>
        <w:adjustRightInd w:val="0"/>
        <w:snapToGrid w:val="0"/>
        <w:spacing w:beforeLines="50" w:before="120" w:line="300" w:lineRule="auto"/>
        <w:jc w:val="center"/>
        <w:rPr>
          <w:rFonts w:eastAsiaTheme="minorEastAsia"/>
          <w:i/>
          <w:sz w:val="21"/>
          <w:szCs w:val="21"/>
          <w:lang w:eastAsia="zh-CN"/>
        </w:rPr>
      </w:pPr>
      <w:r w:rsidRPr="00BC41B1">
        <w:rPr>
          <w:rFonts w:eastAsia="宋体" w:cs="宋体"/>
          <w:i/>
          <w:sz w:val="21"/>
          <w:lang w:eastAsia="zh-CN"/>
        </w:rPr>
        <w:t>政策</w:t>
      </w:r>
    </w:p>
    <w:p w14:paraId="58CCF786" w14:textId="77777777" w:rsidR="00841914" w:rsidRDefault="00FF10B5" w:rsidP="00B86E99">
      <w:pPr>
        <w:adjustRightInd w:val="0"/>
        <w:snapToGrid w:val="0"/>
        <w:spacing w:beforeLines="50" w:before="120" w:line="300" w:lineRule="auto"/>
        <w:jc w:val="center"/>
        <w:rPr>
          <w:rFonts w:eastAsiaTheme="minorEastAsia"/>
          <w:i/>
          <w:sz w:val="21"/>
          <w:szCs w:val="21"/>
          <w:lang w:eastAsia="zh-CN"/>
        </w:rPr>
      </w:pPr>
      <w:r w:rsidRPr="00BC41B1">
        <w:rPr>
          <w:rFonts w:eastAsia="宋体" w:cs="宋体"/>
          <w:i/>
          <w:sz w:val="21"/>
          <w:lang w:eastAsia="zh-CN"/>
        </w:rPr>
        <w:t>指导和政策制定办公室</w:t>
      </w:r>
    </w:p>
    <w:p w14:paraId="4A40B941" w14:textId="2FEF2972" w:rsidR="00841914" w:rsidRDefault="00AA1C20" w:rsidP="00B86E99">
      <w:pPr>
        <w:adjustRightInd w:val="0"/>
        <w:snapToGrid w:val="0"/>
        <w:spacing w:beforeLines="50" w:before="120" w:line="300" w:lineRule="auto"/>
        <w:jc w:val="center"/>
        <w:rPr>
          <w:rFonts w:eastAsiaTheme="minorEastAsia"/>
          <w:i/>
          <w:sz w:val="21"/>
          <w:szCs w:val="21"/>
          <w:lang w:eastAsia="zh-CN"/>
        </w:rPr>
      </w:pPr>
      <w:r>
        <w:rPr>
          <w:rFonts w:eastAsia="宋体" w:cs="宋体"/>
          <w:i/>
          <w:sz w:val="21"/>
          <w:lang w:eastAsia="zh-CN"/>
        </w:rPr>
        <w:t>医疗器械和辐射健康中心</w:t>
      </w:r>
    </w:p>
    <w:p w14:paraId="300FC9D5" w14:textId="59D4696D" w:rsidR="00841914" w:rsidRDefault="00AA1C20" w:rsidP="00B86E99">
      <w:pPr>
        <w:adjustRightInd w:val="0"/>
        <w:snapToGrid w:val="0"/>
        <w:spacing w:beforeLines="50" w:before="120" w:line="300" w:lineRule="auto"/>
        <w:jc w:val="center"/>
        <w:rPr>
          <w:rFonts w:eastAsiaTheme="minorEastAsia"/>
          <w:i/>
          <w:sz w:val="21"/>
          <w:szCs w:val="21"/>
          <w:lang w:eastAsia="zh-CN"/>
        </w:rPr>
      </w:pPr>
      <w:r>
        <w:rPr>
          <w:rFonts w:eastAsia="宋体" w:cs="宋体"/>
          <w:i/>
          <w:sz w:val="21"/>
          <w:lang w:eastAsia="zh-CN"/>
        </w:rPr>
        <w:t>美国食品药品监督管理局</w:t>
      </w:r>
    </w:p>
    <w:p w14:paraId="68BEB456" w14:textId="77777777" w:rsidR="00841914" w:rsidRPr="00BC41B1" w:rsidRDefault="00FF10B5" w:rsidP="00B86E99">
      <w:pPr>
        <w:adjustRightInd w:val="0"/>
        <w:snapToGrid w:val="0"/>
        <w:spacing w:beforeLines="50" w:before="120" w:line="300" w:lineRule="auto"/>
        <w:jc w:val="center"/>
        <w:rPr>
          <w:rFonts w:eastAsiaTheme="minorEastAsia"/>
          <w:i/>
          <w:sz w:val="21"/>
          <w:szCs w:val="21"/>
          <w:lang w:eastAsia="zh-CN"/>
        </w:rPr>
      </w:pPr>
      <w:r w:rsidRPr="00BC41B1">
        <w:rPr>
          <w:i/>
          <w:sz w:val="21"/>
          <w:szCs w:val="21"/>
        </w:rPr>
        <w:t xml:space="preserve">10903 New Hampshire Ave., WO66, Room 5431 </w:t>
      </w:r>
    </w:p>
    <w:p w14:paraId="77193DC7" w14:textId="77777777" w:rsidR="00841914" w:rsidRPr="00BC41B1" w:rsidRDefault="00FF10B5" w:rsidP="00B86E99">
      <w:pPr>
        <w:adjustRightInd w:val="0"/>
        <w:snapToGrid w:val="0"/>
        <w:spacing w:beforeLines="50" w:before="120" w:line="300" w:lineRule="auto"/>
        <w:jc w:val="center"/>
        <w:rPr>
          <w:rFonts w:eastAsiaTheme="minorEastAsia"/>
          <w:i/>
          <w:sz w:val="21"/>
          <w:szCs w:val="21"/>
          <w:lang w:eastAsia="zh-CN"/>
        </w:rPr>
      </w:pPr>
      <w:r w:rsidRPr="00BC41B1">
        <w:rPr>
          <w:i/>
          <w:sz w:val="21"/>
          <w:szCs w:val="21"/>
        </w:rPr>
        <w:t>Silver Spring, MD 20993</w:t>
      </w:r>
    </w:p>
    <w:p w14:paraId="1E63E2C5" w14:textId="77777777" w:rsidR="00841914" w:rsidRPr="00BC41B1" w:rsidRDefault="00841914" w:rsidP="00B86E99">
      <w:pPr>
        <w:adjustRightInd w:val="0"/>
        <w:snapToGrid w:val="0"/>
        <w:spacing w:beforeLines="50" w:before="120" w:line="300" w:lineRule="auto"/>
        <w:jc w:val="center"/>
        <w:rPr>
          <w:rFonts w:eastAsiaTheme="minorEastAsia"/>
          <w:i/>
          <w:sz w:val="21"/>
          <w:szCs w:val="21"/>
          <w:lang w:eastAsia="zh-CN"/>
        </w:rPr>
      </w:pPr>
      <w:r w:rsidRPr="00BC41B1">
        <w:rPr>
          <w:rFonts w:asciiTheme="minorEastAsia" w:eastAsiaTheme="minorEastAsia" w:hAnsiTheme="minorEastAsia" w:hint="eastAsia"/>
          <w:i/>
          <w:sz w:val="21"/>
          <w:szCs w:val="21"/>
          <w:lang w:eastAsia="zh-CN"/>
        </w:rPr>
        <w:t>电话：</w:t>
      </w:r>
      <w:r w:rsidR="00FF10B5" w:rsidRPr="00BC41B1">
        <w:rPr>
          <w:i/>
          <w:sz w:val="21"/>
          <w:szCs w:val="21"/>
        </w:rPr>
        <w:t xml:space="preserve"> 301-796-5900</w:t>
      </w:r>
    </w:p>
    <w:p w14:paraId="78FF738F" w14:textId="77777777" w:rsidR="00011048" w:rsidRPr="00BC41B1" w:rsidRDefault="00FF10B5" w:rsidP="00B86E99">
      <w:pPr>
        <w:adjustRightInd w:val="0"/>
        <w:snapToGrid w:val="0"/>
        <w:spacing w:beforeLines="50" w:before="120" w:line="300" w:lineRule="auto"/>
        <w:jc w:val="center"/>
        <w:rPr>
          <w:i/>
          <w:sz w:val="21"/>
          <w:szCs w:val="21"/>
        </w:rPr>
      </w:pPr>
      <w:r w:rsidRPr="00BC41B1">
        <w:rPr>
          <w:i/>
          <w:color w:val="0000FF"/>
          <w:sz w:val="21"/>
          <w:szCs w:val="21"/>
          <w:u w:val="single" w:color="0000FF"/>
        </w:rPr>
        <w:t>https://www.fda.gov/medical-devices/device-advice-comprehensive-regulatory-</w:t>
      </w:r>
      <w:r w:rsidRPr="00BC41B1">
        <w:rPr>
          <w:i/>
          <w:color w:val="0000FF"/>
          <w:sz w:val="21"/>
          <w:szCs w:val="21"/>
        </w:rPr>
        <w:t xml:space="preserve"> </w:t>
      </w:r>
      <w:r w:rsidRPr="00BC41B1">
        <w:rPr>
          <w:i/>
          <w:color w:val="0000FF"/>
          <w:sz w:val="21"/>
          <w:szCs w:val="21"/>
          <w:u w:val="single" w:color="0000FF"/>
        </w:rPr>
        <w:t>assistance/guidance-documents-medical-devices-and-radiation-emitting-products</w:t>
      </w:r>
    </w:p>
    <w:p w14:paraId="7B01268A" w14:textId="77777777" w:rsidR="00B86E99" w:rsidRDefault="00B86E99" w:rsidP="002C2F85">
      <w:pPr>
        <w:adjustRightInd w:val="0"/>
        <w:snapToGrid w:val="0"/>
        <w:spacing w:beforeLines="50" w:before="120" w:line="300" w:lineRule="auto"/>
        <w:jc w:val="both"/>
        <w:rPr>
          <w:rFonts w:eastAsiaTheme="minorEastAsia"/>
          <w:b/>
          <w:sz w:val="21"/>
          <w:szCs w:val="21"/>
          <w:lang w:eastAsia="zh-CN"/>
        </w:rPr>
      </w:pPr>
    </w:p>
    <w:p w14:paraId="7630640E" w14:textId="77777777" w:rsidR="00B86E99" w:rsidRDefault="00B86E99" w:rsidP="002C2F85">
      <w:pPr>
        <w:adjustRightInd w:val="0"/>
        <w:snapToGrid w:val="0"/>
        <w:spacing w:beforeLines="50" w:before="120" w:line="300" w:lineRule="auto"/>
        <w:jc w:val="both"/>
        <w:rPr>
          <w:b/>
          <w:sz w:val="21"/>
          <w:szCs w:val="21"/>
        </w:rPr>
        <w:sectPr w:rsidR="00B86E99" w:rsidSect="002C2F85">
          <w:pgSz w:w="11907" w:h="16840" w:code="9"/>
          <w:pgMar w:top="1418" w:right="1418" w:bottom="1418" w:left="1418" w:header="720" w:footer="720" w:gutter="0"/>
          <w:cols w:space="720"/>
        </w:sectPr>
      </w:pPr>
    </w:p>
    <w:p w14:paraId="397B6AE4" w14:textId="77777777" w:rsidR="00011048" w:rsidRPr="002C2F85" w:rsidRDefault="00FF10B5" w:rsidP="00B86E99">
      <w:pPr>
        <w:adjustRightInd w:val="0"/>
        <w:snapToGrid w:val="0"/>
        <w:spacing w:beforeLines="50" w:before="120" w:line="300" w:lineRule="auto"/>
        <w:jc w:val="center"/>
        <w:rPr>
          <w:b/>
          <w:sz w:val="21"/>
          <w:szCs w:val="21"/>
        </w:rPr>
      </w:pPr>
      <w:proofErr w:type="spellStart"/>
      <w:r w:rsidRPr="00BC41B1">
        <w:rPr>
          <w:rFonts w:eastAsia="宋体" w:cs="宋体"/>
          <w:b/>
          <w:sz w:val="21"/>
        </w:rPr>
        <w:lastRenderedPageBreak/>
        <w:t>目录</w:t>
      </w:r>
      <w:proofErr w:type="spellEnd"/>
    </w:p>
    <w:p w14:paraId="4EC085C4" w14:textId="77777777" w:rsidR="00565F8E" w:rsidRPr="00565F8E" w:rsidRDefault="00A17EBA" w:rsidP="00565F8E">
      <w:pPr>
        <w:pStyle w:val="10"/>
        <w:tabs>
          <w:tab w:val="right" w:leader="dot" w:pos="9061"/>
        </w:tabs>
        <w:ind w:left="420" w:right="6" w:hangingChars="200" w:hanging="420"/>
        <w:rPr>
          <w:rFonts w:asciiTheme="minorHAnsi" w:eastAsiaTheme="minorEastAsia" w:hAnsiTheme="minorHAnsi" w:cstheme="minorBidi"/>
          <w:bCs w:val="0"/>
          <w:noProof/>
          <w:kern w:val="2"/>
          <w:sz w:val="18"/>
          <w:szCs w:val="22"/>
          <w:lang w:eastAsia="zh-CN" w:bidi="ar-SA"/>
        </w:rPr>
      </w:pPr>
      <w:r>
        <w:rPr>
          <w:rFonts w:eastAsiaTheme="minorEastAsia"/>
          <w:b w:val="0"/>
          <w:sz w:val="21"/>
          <w:szCs w:val="21"/>
          <w:lang w:eastAsia="zh-CN"/>
        </w:rPr>
        <w:fldChar w:fldCharType="begin"/>
      </w:r>
      <w:r>
        <w:rPr>
          <w:rFonts w:eastAsiaTheme="minorEastAsia"/>
          <w:b w:val="0"/>
          <w:sz w:val="21"/>
          <w:szCs w:val="21"/>
          <w:lang w:eastAsia="zh-CN"/>
        </w:rPr>
        <w:instrText xml:space="preserve"> </w:instrText>
      </w:r>
      <w:r>
        <w:rPr>
          <w:rFonts w:eastAsiaTheme="minorEastAsia" w:hint="eastAsia"/>
          <w:b w:val="0"/>
          <w:sz w:val="21"/>
          <w:szCs w:val="21"/>
          <w:lang w:eastAsia="zh-CN"/>
        </w:rPr>
        <w:instrText>TOC \o "1-3" \h \z \u</w:instrText>
      </w:r>
      <w:r>
        <w:rPr>
          <w:rFonts w:eastAsiaTheme="minorEastAsia"/>
          <w:b w:val="0"/>
          <w:sz w:val="21"/>
          <w:szCs w:val="21"/>
          <w:lang w:eastAsia="zh-CN"/>
        </w:rPr>
        <w:instrText xml:space="preserve"> </w:instrText>
      </w:r>
      <w:r>
        <w:rPr>
          <w:rFonts w:eastAsiaTheme="minorEastAsia"/>
          <w:b w:val="0"/>
          <w:sz w:val="21"/>
          <w:szCs w:val="21"/>
          <w:lang w:eastAsia="zh-CN"/>
        </w:rPr>
        <w:fldChar w:fldCharType="separate"/>
      </w:r>
      <w:hyperlink w:anchor="_Toc91867050" w:history="1">
        <w:r w:rsidR="00565F8E" w:rsidRPr="00565F8E">
          <w:rPr>
            <w:rStyle w:val="a7"/>
            <w:rFonts w:eastAsia="宋体" w:cs="宋体"/>
            <w:noProof/>
            <w:sz w:val="21"/>
            <w:lang w:eastAsia="zh-CN"/>
          </w:rPr>
          <w:t>I.</w:t>
        </w:r>
        <w:r w:rsidR="00565F8E" w:rsidRPr="00565F8E">
          <w:rPr>
            <w:rFonts w:asciiTheme="minorHAnsi" w:eastAsiaTheme="minorEastAsia" w:hAnsiTheme="minorHAnsi" w:cstheme="minorBidi"/>
            <w:bCs w:val="0"/>
            <w:noProof/>
            <w:kern w:val="2"/>
            <w:sz w:val="18"/>
            <w:szCs w:val="22"/>
            <w:lang w:eastAsia="zh-CN" w:bidi="ar-SA"/>
          </w:rPr>
          <w:tab/>
        </w:r>
        <w:r w:rsidR="00565F8E" w:rsidRPr="00565F8E">
          <w:rPr>
            <w:rStyle w:val="a7"/>
            <w:rFonts w:eastAsia="宋体" w:cs="宋体" w:hint="eastAsia"/>
            <w:noProof/>
            <w:sz w:val="21"/>
            <w:lang w:eastAsia="zh-CN"/>
          </w:rPr>
          <w:t>引言</w:t>
        </w:r>
        <w:r w:rsidR="00565F8E" w:rsidRPr="00565F8E">
          <w:rPr>
            <w:noProof/>
            <w:webHidden/>
            <w:sz w:val="21"/>
          </w:rPr>
          <w:tab/>
        </w:r>
        <w:r w:rsidR="00565F8E" w:rsidRPr="00565F8E">
          <w:rPr>
            <w:noProof/>
            <w:webHidden/>
            <w:sz w:val="21"/>
          </w:rPr>
          <w:fldChar w:fldCharType="begin"/>
        </w:r>
        <w:r w:rsidR="00565F8E" w:rsidRPr="00565F8E">
          <w:rPr>
            <w:noProof/>
            <w:webHidden/>
            <w:sz w:val="21"/>
          </w:rPr>
          <w:instrText xml:space="preserve"> PAGEREF _Toc91867050 \h </w:instrText>
        </w:r>
        <w:r w:rsidR="00565F8E" w:rsidRPr="00565F8E">
          <w:rPr>
            <w:noProof/>
            <w:webHidden/>
            <w:sz w:val="21"/>
          </w:rPr>
        </w:r>
        <w:r w:rsidR="00565F8E" w:rsidRPr="00565F8E">
          <w:rPr>
            <w:noProof/>
            <w:webHidden/>
            <w:sz w:val="21"/>
          </w:rPr>
          <w:fldChar w:fldCharType="separate"/>
        </w:r>
        <w:r w:rsidR="00AD543C">
          <w:rPr>
            <w:noProof/>
            <w:webHidden/>
            <w:sz w:val="21"/>
          </w:rPr>
          <w:t>1</w:t>
        </w:r>
        <w:r w:rsidR="00565F8E" w:rsidRPr="00565F8E">
          <w:rPr>
            <w:noProof/>
            <w:webHidden/>
            <w:sz w:val="21"/>
          </w:rPr>
          <w:fldChar w:fldCharType="end"/>
        </w:r>
      </w:hyperlink>
    </w:p>
    <w:p w14:paraId="4AD8A158" w14:textId="77777777" w:rsidR="00565F8E" w:rsidRPr="00565F8E" w:rsidRDefault="00324977" w:rsidP="00565F8E">
      <w:pPr>
        <w:pStyle w:val="10"/>
        <w:tabs>
          <w:tab w:val="right" w:leader="dot" w:pos="9061"/>
        </w:tabs>
        <w:ind w:left="482" w:right="6" w:hangingChars="200" w:hanging="482"/>
        <w:rPr>
          <w:rFonts w:asciiTheme="minorHAnsi" w:eastAsiaTheme="minorEastAsia" w:hAnsiTheme="minorHAnsi" w:cstheme="minorBidi"/>
          <w:bCs w:val="0"/>
          <w:noProof/>
          <w:kern w:val="2"/>
          <w:sz w:val="18"/>
          <w:szCs w:val="22"/>
          <w:lang w:eastAsia="zh-CN" w:bidi="ar-SA"/>
        </w:rPr>
      </w:pPr>
      <w:hyperlink w:anchor="_Toc91867051" w:history="1">
        <w:r w:rsidR="00565F8E" w:rsidRPr="00565F8E">
          <w:rPr>
            <w:rStyle w:val="a7"/>
            <w:rFonts w:eastAsia="宋体" w:cs="宋体"/>
            <w:noProof/>
            <w:sz w:val="21"/>
            <w:lang w:eastAsia="zh-CN"/>
          </w:rPr>
          <w:t>II.</w:t>
        </w:r>
        <w:r w:rsidR="00565F8E" w:rsidRPr="00565F8E">
          <w:rPr>
            <w:rFonts w:asciiTheme="minorHAnsi" w:eastAsiaTheme="minorEastAsia" w:hAnsiTheme="minorHAnsi" w:cstheme="minorBidi"/>
            <w:bCs w:val="0"/>
            <w:noProof/>
            <w:kern w:val="2"/>
            <w:sz w:val="18"/>
            <w:szCs w:val="22"/>
            <w:lang w:eastAsia="zh-CN" w:bidi="ar-SA"/>
          </w:rPr>
          <w:tab/>
        </w:r>
        <w:r w:rsidR="00565F8E" w:rsidRPr="00565F8E">
          <w:rPr>
            <w:rStyle w:val="a7"/>
            <w:rFonts w:eastAsia="宋体" w:cs="宋体" w:hint="eastAsia"/>
            <w:noProof/>
            <w:sz w:val="21"/>
            <w:lang w:eastAsia="zh-CN"/>
          </w:rPr>
          <w:t>背景</w:t>
        </w:r>
        <w:r w:rsidR="00565F8E" w:rsidRPr="00565F8E">
          <w:rPr>
            <w:noProof/>
            <w:webHidden/>
            <w:sz w:val="21"/>
          </w:rPr>
          <w:tab/>
        </w:r>
        <w:r w:rsidR="00565F8E" w:rsidRPr="00565F8E">
          <w:rPr>
            <w:noProof/>
            <w:webHidden/>
            <w:sz w:val="21"/>
          </w:rPr>
          <w:fldChar w:fldCharType="begin"/>
        </w:r>
        <w:r w:rsidR="00565F8E" w:rsidRPr="00565F8E">
          <w:rPr>
            <w:noProof/>
            <w:webHidden/>
            <w:sz w:val="21"/>
          </w:rPr>
          <w:instrText xml:space="preserve"> PAGEREF _Toc91867051 \h </w:instrText>
        </w:r>
        <w:r w:rsidR="00565F8E" w:rsidRPr="00565F8E">
          <w:rPr>
            <w:noProof/>
            <w:webHidden/>
            <w:sz w:val="21"/>
          </w:rPr>
        </w:r>
        <w:r w:rsidR="00565F8E" w:rsidRPr="00565F8E">
          <w:rPr>
            <w:noProof/>
            <w:webHidden/>
            <w:sz w:val="21"/>
          </w:rPr>
          <w:fldChar w:fldCharType="separate"/>
        </w:r>
        <w:r w:rsidR="00AD543C">
          <w:rPr>
            <w:noProof/>
            <w:webHidden/>
            <w:sz w:val="21"/>
          </w:rPr>
          <w:t>1</w:t>
        </w:r>
        <w:r w:rsidR="00565F8E" w:rsidRPr="00565F8E">
          <w:rPr>
            <w:noProof/>
            <w:webHidden/>
            <w:sz w:val="21"/>
          </w:rPr>
          <w:fldChar w:fldCharType="end"/>
        </w:r>
      </w:hyperlink>
    </w:p>
    <w:p w14:paraId="73B29172" w14:textId="33E95425" w:rsidR="00565F8E" w:rsidRPr="00565F8E" w:rsidRDefault="00324977" w:rsidP="00565F8E">
      <w:pPr>
        <w:pStyle w:val="10"/>
        <w:tabs>
          <w:tab w:val="right" w:leader="dot" w:pos="9061"/>
        </w:tabs>
        <w:ind w:left="482" w:right="6" w:hangingChars="200" w:hanging="482"/>
        <w:rPr>
          <w:rFonts w:asciiTheme="minorHAnsi" w:eastAsiaTheme="minorEastAsia" w:hAnsiTheme="minorHAnsi" w:cstheme="minorBidi"/>
          <w:bCs w:val="0"/>
          <w:noProof/>
          <w:kern w:val="2"/>
          <w:sz w:val="18"/>
          <w:szCs w:val="22"/>
          <w:lang w:eastAsia="zh-CN" w:bidi="ar-SA"/>
        </w:rPr>
      </w:pPr>
      <w:hyperlink w:anchor="_Toc91867052" w:history="1">
        <w:r w:rsidR="00565F8E" w:rsidRPr="00565F8E">
          <w:rPr>
            <w:rStyle w:val="a7"/>
            <w:rFonts w:eastAsia="宋体" w:cs="宋体"/>
            <w:noProof/>
            <w:sz w:val="21"/>
          </w:rPr>
          <w:t>III.</w:t>
        </w:r>
        <w:r w:rsidR="00565F8E" w:rsidRPr="00565F8E">
          <w:rPr>
            <w:rFonts w:asciiTheme="minorHAnsi" w:eastAsiaTheme="minorEastAsia" w:hAnsiTheme="minorHAnsi" w:cstheme="minorBidi"/>
            <w:bCs w:val="0"/>
            <w:noProof/>
            <w:kern w:val="2"/>
            <w:sz w:val="18"/>
            <w:szCs w:val="22"/>
            <w:lang w:eastAsia="zh-CN" w:bidi="ar-SA"/>
          </w:rPr>
          <w:tab/>
        </w:r>
        <w:r w:rsidR="00565F8E" w:rsidRPr="00565F8E">
          <w:rPr>
            <w:rStyle w:val="a7"/>
            <w:rFonts w:eastAsia="宋体" w:cs="宋体" w:hint="eastAsia"/>
            <w:noProof/>
            <w:sz w:val="21"/>
          </w:rPr>
          <w:t>建议</w:t>
        </w:r>
        <w:r w:rsidR="00565F8E" w:rsidRPr="00565F8E">
          <w:rPr>
            <w:noProof/>
            <w:webHidden/>
            <w:sz w:val="21"/>
          </w:rPr>
          <w:tab/>
        </w:r>
        <w:r w:rsidR="00565F8E" w:rsidRPr="00565F8E">
          <w:rPr>
            <w:noProof/>
            <w:webHidden/>
            <w:sz w:val="21"/>
          </w:rPr>
          <w:fldChar w:fldCharType="begin"/>
        </w:r>
        <w:r w:rsidR="00565F8E" w:rsidRPr="00565F8E">
          <w:rPr>
            <w:noProof/>
            <w:webHidden/>
            <w:sz w:val="21"/>
          </w:rPr>
          <w:instrText xml:space="preserve"> PAGEREF _Toc91867052 \h </w:instrText>
        </w:r>
        <w:r w:rsidR="00565F8E" w:rsidRPr="00565F8E">
          <w:rPr>
            <w:noProof/>
            <w:webHidden/>
            <w:sz w:val="21"/>
          </w:rPr>
        </w:r>
        <w:r w:rsidR="00565F8E" w:rsidRPr="00565F8E">
          <w:rPr>
            <w:noProof/>
            <w:webHidden/>
            <w:sz w:val="21"/>
          </w:rPr>
          <w:fldChar w:fldCharType="separate"/>
        </w:r>
        <w:r w:rsidR="00AD543C">
          <w:rPr>
            <w:noProof/>
            <w:webHidden/>
            <w:sz w:val="21"/>
          </w:rPr>
          <w:t>2</w:t>
        </w:r>
        <w:r w:rsidR="00565F8E" w:rsidRPr="00565F8E">
          <w:rPr>
            <w:noProof/>
            <w:webHidden/>
            <w:sz w:val="21"/>
          </w:rPr>
          <w:fldChar w:fldCharType="end"/>
        </w:r>
      </w:hyperlink>
    </w:p>
    <w:p w14:paraId="2482B282" w14:textId="77777777" w:rsidR="00565F8E" w:rsidRPr="00565F8E" w:rsidRDefault="00324977" w:rsidP="00565F8E">
      <w:pPr>
        <w:pStyle w:val="10"/>
        <w:tabs>
          <w:tab w:val="right" w:leader="dot" w:pos="9061"/>
        </w:tabs>
        <w:ind w:left="482" w:right="6" w:hangingChars="200" w:hanging="482"/>
        <w:rPr>
          <w:rFonts w:asciiTheme="minorHAnsi" w:eastAsiaTheme="minorEastAsia" w:hAnsiTheme="minorHAnsi" w:cstheme="minorBidi"/>
          <w:bCs w:val="0"/>
          <w:noProof/>
          <w:kern w:val="2"/>
          <w:sz w:val="18"/>
          <w:szCs w:val="22"/>
          <w:lang w:eastAsia="zh-CN" w:bidi="ar-SA"/>
        </w:rPr>
      </w:pPr>
      <w:hyperlink w:anchor="_Toc91867053" w:history="1">
        <w:r w:rsidR="00565F8E" w:rsidRPr="00565F8E">
          <w:rPr>
            <w:rStyle w:val="a7"/>
            <w:rFonts w:eastAsia="宋体" w:cs="宋体"/>
            <w:noProof/>
            <w:sz w:val="21"/>
          </w:rPr>
          <w:t>IV.</w:t>
        </w:r>
        <w:r w:rsidR="00565F8E" w:rsidRPr="00565F8E">
          <w:rPr>
            <w:rFonts w:asciiTheme="minorHAnsi" w:eastAsiaTheme="minorEastAsia" w:hAnsiTheme="minorHAnsi" w:cstheme="minorBidi"/>
            <w:bCs w:val="0"/>
            <w:noProof/>
            <w:kern w:val="2"/>
            <w:sz w:val="18"/>
            <w:szCs w:val="22"/>
            <w:lang w:eastAsia="zh-CN" w:bidi="ar-SA"/>
          </w:rPr>
          <w:tab/>
        </w:r>
        <w:r w:rsidR="00565F8E" w:rsidRPr="00565F8E">
          <w:rPr>
            <w:rStyle w:val="a7"/>
            <w:rFonts w:eastAsia="宋体" w:cs="宋体" w:hint="eastAsia"/>
            <w:noProof/>
            <w:sz w:val="21"/>
          </w:rPr>
          <w:t>参考文献</w:t>
        </w:r>
        <w:r w:rsidR="00565F8E" w:rsidRPr="00565F8E">
          <w:rPr>
            <w:noProof/>
            <w:webHidden/>
            <w:sz w:val="21"/>
          </w:rPr>
          <w:tab/>
        </w:r>
        <w:r w:rsidR="00565F8E" w:rsidRPr="00565F8E">
          <w:rPr>
            <w:noProof/>
            <w:webHidden/>
            <w:sz w:val="21"/>
          </w:rPr>
          <w:fldChar w:fldCharType="begin"/>
        </w:r>
        <w:r w:rsidR="00565F8E" w:rsidRPr="00565F8E">
          <w:rPr>
            <w:noProof/>
            <w:webHidden/>
            <w:sz w:val="21"/>
          </w:rPr>
          <w:instrText xml:space="preserve"> PAGEREF _Toc91867053 \h </w:instrText>
        </w:r>
        <w:r w:rsidR="00565F8E" w:rsidRPr="00565F8E">
          <w:rPr>
            <w:noProof/>
            <w:webHidden/>
            <w:sz w:val="21"/>
          </w:rPr>
        </w:r>
        <w:r w:rsidR="00565F8E" w:rsidRPr="00565F8E">
          <w:rPr>
            <w:noProof/>
            <w:webHidden/>
            <w:sz w:val="21"/>
          </w:rPr>
          <w:fldChar w:fldCharType="separate"/>
        </w:r>
        <w:r w:rsidR="00AD543C">
          <w:rPr>
            <w:noProof/>
            <w:webHidden/>
            <w:sz w:val="21"/>
          </w:rPr>
          <w:t>3</w:t>
        </w:r>
        <w:r w:rsidR="00565F8E" w:rsidRPr="00565F8E">
          <w:rPr>
            <w:noProof/>
            <w:webHidden/>
            <w:sz w:val="21"/>
          </w:rPr>
          <w:fldChar w:fldCharType="end"/>
        </w:r>
      </w:hyperlink>
    </w:p>
    <w:p w14:paraId="4506F4E0" w14:textId="77777777" w:rsidR="00B86E99" w:rsidRDefault="00A17EBA" w:rsidP="002C2F85">
      <w:pPr>
        <w:adjustRightInd w:val="0"/>
        <w:snapToGrid w:val="0"/>
        <w:spacing w:beforeLines="50" w:before="120" w:line="300" w:lineRule="auto"/>
        <w:jc w:val="both"/>
        <w:rPr>
          <w:rFonts w:eastAsiaTheme="minorEastAsia"/>
          <w:b/>
          <w:sz w:val="21"/>
          <w:szCs w:val="21"/>
          <w:lang w:eastAsia="zh-CN"/>
        </w:rPr>
      </w:pPr>
      <w:r>
        <w:rPr>
          <w:rFonts w:eastAsiaTheme="minorEastAsia"/>
          <w:b/>
          <w:sz w:val="21"/>
          <w:szCs w:val="21"/>
          <w:lang w:eastAsia="zh-CN"/>
        </w:rPr>
        <w:fldChar w:fldCharType="end"/>
      </w:r>
    </w:p>
    <w:p w14:paraId="36ED1270" w14:textId="77777777" w:rsidR="00B86E99" w:rsidRDefault="00B86E99" w:rsidP="002C2F85">
      <w:pPr>
        <w:adjustRightInd w:val="0"/>
        <w:snapToGrid w:val="0"/>
        <w:spacing w:beforeLines="50" w:before="120" w:line="300" w:lineRule="auto"/>
        <w:jc w:val="both"/>
        <w:rPr>
          <w:b/>
          <w:sz w:val="21"/>
          <w:szCs w:val="21"/>
        </w:rPr>
        <w:sectPr w:rsidR="00B86E99" w:rsidSect="00B86E99">
          <w:headerReference w:type="default" r:id="rId9"/>
          <w:footerReference w:type="default" r:id="rId10"/>
          <w:pgSz w:w="11907" w:h="16840" w:code="9"/>
          <w:pgMar w:top="1418" w:right="1418" w:bottom="1418" w:left="1418" w:header="720" w:footer="720" w:gutter="0"/>
          <w:pgNumType w:fmt="lowerRoman" w:start="1"/>
          <w:cols w:space="720"/>
        </w:sectPr>
      </w:pPr>
    </w:p>
    <w:p w14:paraId="3FE91D17" w14:textId="77777777" w:rsidR="00011048" w:rsidRPr="00B86E99" w:rsidRDefault="00FF10B5" w:rsidP="00B86E99">
      <w:pPr>
        <w:pBdr>
          <w:bottom w:val="single" w:sz="4" w:space="1" w:color="auto"/>
        </w:pBdr>
        <w:adjustRightInd w:val="0"/>
        <w:snapToGrid w:val="0"/>
        <w:spacing w:beforeLines="50" w:before="120" w:line="300" w:lineRule="auto"/>
        <w:jc w:val="center"/>
        <w:rPr>
          <w:b/>
          <w:sz w:val="28"/>
          <w:szCs w:val="28"/>
          <w:lang w:eastAsia="zh-CN"/>
        </w:rPr>
      </w:pPr>
      <w:r w:rsidRPr="00BC41B1">
        <w:rPr>
          <w:rFonts w:eastAsia="宋体" w:cs="宋体"/>
          <w:b/>
          <w:sz w:val="28"/>
          <w:lang w:eastAsia="zh-CN"/>
        </w:rPr>
        <w:lastRenderedPageBreak/>
        <w:t>针对生物素对体外诊断医疗器械的干扰开展的试验</w:t>
      </w:r>
    </w:p>
    <w:p w14:paraId="6D0DE35A" w14:textId="77777777" w:rsidR="002C2F85" w:rsidRPr="00B86E99" w:rsidRDefault="00FF10B5" w:rsidP="00B86E99">
      <w:pPr>
        <w:adjustRightInd w:val="0"/>
        <w:snapToGrid w:val="0"/>
        <w:spacing w:beforeLines="50" w:before="120" w:line="300" w:lineRule="auto"/>
        <w:jc w:val="center"/>
        <w:rPr>
          <w:b/>
          <w:sz w:val="28"/>
          <w:szCs w:val="28"/>
        </w:rPr>
      </w:pPr>
      <w:proofErr w:type="spellStart"/>
      <w:r w:rsidRPr="00BC41B1">
        <w:rPr>
          <w:rFonts w:eastAsia="宋体" w:cs="宋体"/>
          <w:b/>
          <w:sz w:val="28"/>
        </w:rPr>
        <w:t>行业指南</w:t>
      </w:r>
      <w:proofErr w:type="spellEnd"/>
    </w:p>
    <w:tbl>
      <w:tblPr>
        <w:tblStyle w:val="TableNormal1"/>
        <w:tblW w:w="5000" w:type="pct"/>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CellMar>
          <w:left w:w="113" w:type="dxa"/>
          <w:right w:w="113" w:type="dxa"/>
        </w:tblCellMar>
        <w:tblLook w:val="01E0" w:firstRow="1" w:lastRow="1" w:firstColumn="1" w:lastColumn="1" w:noHBand="0" w:noVBand="0"/>
      </w:tblPr>
      <w:tblGrid>
        <w:gridCol w:w="9297"/>
      </w:tblGrid>
      <w:tr w:rsidR="00B86E99" w:rsidRPr="00B86E99" w14:paraId="2061088B" w14:textId="77777777" w:rsidTr="00801C38">
        <w:trPr>
          <w:trHeight w:val="293"/>
        </w:trPr>
        <w:tc>
          <w:tcPr>
            <w:tcW w:w="5000" w:type="pct"/>
            <w:tcBorders>
              <w:top w:val="thinThickThinMediumGap" w:sz="18" w:space="0" w:color="auto"/>
              <w:left w:val="thinThickThinMediumGap" w:sz="18" w:space="0" w:color="auto"/>
              <w:bottom w:val="thinThickThinMediumGap" w:sz="18" w:space="0" w:color="auto"/>
              <w:right w:val="thinThickThinMediumGap" w:sz="18" w:space="0" w:color="auto"/>
            </w:tcBorders>
          </w:tcPr>
          <w:p w14:paraId="48D7F865" w14:textId="07E2B8CF" w:rsidR="00B86E99" w:rsidRPr="00787353" w:rsidRDefault="008D15C1" w:rsidP="00801C38">
            <w:pPr>
              <w:pStyle w:val="a3"/>
              <w:adjustRightInd w:val="0"/>
              <w:snapToGrid w:val="0"/>
              <w:spacing w:beforeLines="50" w:before="120" w:line="300" w:lineRule="auto"/>
              <w:jc w:val="both"/>
              <w:rPr>
                <w:b/>
                <w:i/>
                <w:sz w:val="21"/>
                <w:szCs w:val="21"/>
                <w:lang w:eastAsia="zh-CN"/>
              </w:rPr>
            </w:pPr>
            <w:r w:rsidRPr="008D15C1">
              <w:rPr>
                <w:rFonts w:eastAsia="宋体" w:cs="宋体" w:hint="eastAsia"/>
                <w:b/>
                <w:i/>
                <w:sz w:val="21"/>
                <w:lang w:eastAsia="zh-CN"/>
              </w:rPr>
              <w:t>本指南代表食品药品</w:t>
            </w:r>
            <w:r w:rsidR="00AA1C20">
              <w:rPr>
                <w:rFonts w:eastAsia="宋体" w:cs="宋体" w:hint="eastAsia"/>
                <w:b/>
                <w:i/>
                <w:sz w:val="21"/>
                <w:lang w:eastAsia="zh-CN"/>
              </w:rPr>
              <w:t>监督</w:t>
            </w:r>
            <w:r w:rsidRPr="008D15C1">
              <w:rPr>
                <w:rFonts w:eastAsia="宋体" w:cs="宋体" w:hint="eastAsia"/>
                <w:b/>
                <w:i/>
                <w:sz w:val="21"/>
                <w:lang w:eastAsia="zh-CN"/>
              </w:rPr>
              <w:t>管理局（</w:t>
            </w:r>
            <w:r w:rsidRPr="008D15C1">
              <w:rPr>
                <w:rFonts w:eastAsia="宋体" w:cs="宋体"/>
                <w:b/>
                <w:i/>
                <w:sz w:val="21"/>
                <w:lang w:eastAsia="zh-CN"/>
              </w:rPr>
              <w:t>FDA</w:t>
            </w:r>
            <w:r w:rsidR="00157BF0">
              <w:rPr>
                <w:rFonts w:eastAsia="宋体" w:cs="宋体"/>
                <w:b/>
                <w:i/>
                <w:sz w:val="21"/>
                <w:lang w:eastAsia="zh-CN"/>
              </w:rPr>
              <w:t>或本机构</w:t>
            </w:r>
            <w:r w:rsidRPr="008D15C1">
              <w:rPr>
                <w:rFonts w:eastAsia="宋体" w:cs="宋体" w:hint="eastAsia"/>
                <w:b/>
                <w:i/>
                <w:sz w:val="21"/>
                <w:lang w:eastAsia="zh-CN"/>
              </w:rPr>
              <w:t>）目前关于该主题的思考。其不会为任何人创造或赋予任何权利，也不会对</w:t>
            </w:r>
            <w:r w:rsidRPr="008D15C1">
              <w:rPr>
                <w:rFonts w:eastAsia="宋体" w:cs="宋体"/>
                <w:b/>
                <w:i/>
                <w:sz w:val="21"/>
                <w:lang w:eastAsia="zh-CN"/>
              </w:rPr>
              <w:t>FDA</w:t>
            </w:r>
            <w:r w:rsidRPr="008D15C1">
              <w:rPr>
                <w:rFonts w:eastAsia="宋体" w:cs="宋体" w:hint="eastAsia"/>
                <w:b/>
                <w:i/>
                <w:sz w:val="21"/>
                <w:lang w:eastAsia="zh-CN"/>
              </w:rPr>
              <w:t>或公众产生约束。如果替代方法满足适用的法律法规的要求，则可以使用该方法。如需讨论替代方法，请联系标题</w:t>
            </w:r>
            <w:proofErr w:type="gramStart"/>
            <w:r w:rsidRPr="008D15C1">
              <w:rPr>
                <w:rFonts w:eastAsia="宋体" w:cs="宋体" w:hint="eastAsia"/>
                <w:b/>
                <w:i/>
                <w:sz w:val="21"/>
                <w:lang w:eastAsia="zh-CN"/>
              </w:rPr>
              <w:t>页负责</w:t>
            </w:r>
            <w:proofErr w:type="gramEnd"/>
            <w:r w:rsidRPr="008D15C1">
              <w:rPr>
                <w:rFonts w:eastAsia="宋体" w:cs="宋体" w:hint="eastAsia"/>
                <w:b/>
                <w:i/>
                <w:sz w:val="21"/>
                <w:lang w:eastAsia="zh-CN"/>
              </w:rPr>
              <w:t>实施本指南文件的</w:t>
            </w:r>
            <w:r w:rsidRPr="008D15C1">
              <w:rPr>
                <w:rFonts w:eastAsia="宋体" w:cs="宋体"/>
                <w:b/>
                <w:i/>
                <w:sz w:val="21"/>
                <w:lang w:eastAsia="zh-CN"/>
              </w:rPr>
              <w:t>FDA</w:t>
            </w:r>
            <w:r w:rsidRPr="008D15C1">
              <w:rPr>
                <w:rFonts w:eastAsia="宋体" w:cs="宋体" w:hint="eastAsia"/>
                <w:b/>
                <w:i/>
                <w:sz w:val="21"/>
                <w:lang w:eastAsia="zh-CN"/>
              </w:rPr>
              <w:t>工作人员或办公室。</w:t>
            </w:r>
          </w:p>
        </w:tc>
      </w:tr>
    </w:tbl>
    <w:p w14:paraId="45918BC5" w14:textId="77777777" w:rsidR="002C2F85" w:rsidRPr="00B86E99" w:rsidRDefault="002C2F85" w:rsidP="00B86E99">
      <w:pPr>
        <w:pStyle w:val="a3"/>
        <w:adjustRightInd w:val="0"/>
        <w:snapToGrid w:val="0"/>
        <w:spacing w:beforeLines="50" w:before="120" w:line="300" w:lineRule="auto"/>
        <w:ind w:left="843" w:hangingChars="300" w:hanging="843"/>
        <w:jc w:val="both"/>
        <w:outlineLvl w:val="0"/>
        <w:rPr>
          <w:b/>
          <w:sz w:val="28"/>
          <w:szCs w:val="21"/>
          <w:lang w:eastAsia="zh-CN"/>
        </w:rPr>
      </w:pPr>
      <w:bookmarkStart w:id="3" w:name="_Toc91867050"/>
      <w:r w:rsidRPr="00BC41B1">
        <w:rPr>
          <w:rFonts w:eastAsia="宋体" w:cs="宋体"/>
          <w:b/>
          <w:sz w:val="28"/>
          <w:lang w:eastAsia="zh-CN"/>
        </w:rPr>
        <w:t>I.</w:t>
      </w:r>
      <w:r w:rsidRPr="00BC41B1">
        <w:rPr>
          <w:rFonts w:eastAsia="宋体" w:cs="宋体"/>
          <w:b/>
          <w:lang w:eastAsia="zh-CN"/>
        </w:rPr>
        <w:tab/>
      </w:r>
      <w:r w:rsidRPr="00BC41B1">
        <w:rPr>
          <w:rFonts w:eastAsia="宋体" w:cs="宋体"/>
          <w:b/>
          <w:sz w:val="28"/>
          <w:lang w:eastAsia="zh-CN"/>
        </w:rPr>
        <w:t>引言</w:t>
      </w:r>
      <w:bookmarkEnd w:id="3"/>
    </w:p>
    <w:p w14:paraId="7BABE525" w14:textId="66F52967" w:rsidR="002C2F85" w:rsidRPr="002C2F85" w:rsidRDefault="00AA1C20" w:rsidP="002C2F85">
      <w:pPr>
        <w:pStyle w:val="a3"/>
        <w:adjustRightInd w:val="0"/>
        <w:snapToGrid w:val="0"/>
        <w:spacing w:beforeLines="50" w:before="120" w:line="300" w:lineRule="auto"/>
        <w:jc w:val="both"/>
        <w:rPr>
          <w:sz w:val="21"/>
          <w:szCs w:val="21"/>
          <w:lang w:eastAsia="zh-CN"/>
        </w:rPr>
      </w:pPr>
      <w:r>
        <w:rPr>
          <w:rFonts w:eastAsia="宋体" w:cs="宋体"/>
          <w:sz w:val="21"/>
          <w:lang w:eastAsia="zh-CN"/>
        </w:rPr>
        <w:t>美国食品药品监督管理局</w:t>
      </w:r>
      <w:r w:rsidR="00FF10B5" w:rsidRPr="00BC41B1">
        <w:rPr>
          <w:rFonts w:eastAsia="宋体" w:cs="宋体"/>
          <w:sz w:val="21"/>
          <w:lang w:eastAsia="zh-CN"/>
        </w:rPr>
        <w:t>（以下简称为</w:t>
      </w:r>
      <w:r w:rsidR="00FF10B5" w:rsidRPr="00BC41B1">
        <w:rPr>
          <w:rFonts w:eastAsia="宋体" w:cs="宋体"/>
          <w:sz w:val="21"/>
          <w:lang w:eastAsia="zh-CN"/>
        </w:rPr>
        <w:t>“FDA”</w:t>
      </w:r>
      <w:r w:rsidR="00FF10B5" w:rsidRPr="00BC41B1">
        <w:rPr>
          <w:rFonts w:eastAsia="宋体" w:cs="宋体"/>
          <w:sz w:val="21"/>
          <w:lang w:eastAsia="zh-CN"/>
        </w:rPr>
        <w:t>或</w:t>
      </w:r>
      <w:r w:rsidR="00FF10B5" w:rsidRPr="00BC41B1">
        <w:rPr>
          <w:rFonts w:eastAsia="宋体" w:cs="宋体"/>
          <w:sz w:val="21"/>
          <w:lang w:eastAsia="zh-CN"/>
        </w:rPr>
        <w:t>“</w:t>
      </w:r>
      <w:r w:rsidR="00787353">
        <w:rPr>
          <w:rFonts w:eastAsia="宋体" w:cs="宋体"/>
          <w:sz w:val="21"/>
          <w:lang w:eastAsia="zh-CN"/>
        </w:rPr>
        <w:t>本机构</w:t>
      </w:r>
      <w:r w:rsidR="00FF10B5" w:rsidRPr="00BC41B1">
        <w:rPr>
          <w:rFonts w:eastAsia="宋体" w:cs="宋体"/>
          <w:sz w:val="21"/>
          <w:lang w:eastAsia="zh-CN"/>
        </w:rPr>
        <w:t>”</w:t>
      </w:r>
      <w:r w:rsidR="00FF10B5" w:rsidRPr="00BC41B1">
        <w:rPr>
          <w:rFonts w:eastAsia="宋体" w:cs="宋体"/>
          <w:sz w:val="21"/>
          <w:lang w:eastAsia="zh-CN"/>
        </w:rPr>
        <w:t>）就针对生物素对体外诊断医疗器械（</w:t>
      </w:r>
      <w:r w:rsidR="00FF10B5" w:rsidRPr="00BC41B1">
        <w:rPr>
          <w:rFonts w:eastAsia="宋体" w:cs="宋体"/>
          <w:sz w:val="21"/>
          <w:lang w:eastAsia="zh-CN"/>
        </w:rPr>
        <w:t>IVD</w:t>
      </w:r>
      <w:r w:rsidR="00FF10B5" w:rsidRPr="00BC41B1">
        <w:rPr>
          <w:rFonts w:eastAsia="宋体" w:cs="宋体"/>
          <w:sz w:val="21"/>
          <w:lang w:eastAsia="zh-CN"/>
        </w:rPr>
        <w:t>）性能的干扰开展的试验提出了建议。本指南旨在帮助器械开发人员和临床医生了解</w:t>
      </w:r>
      <w:r w:rsidR="00FF10B5" w:rsidRPr="00BC41B1">
        <w:rPr>
          <w:rFonts w:eastAsia="宋体" w:cs="宋体"/>
          <w:sz w:val="21"/>
          <w:lang w:eastAsia="zh-CN"/>
        </w:rPr>
        <w:t>FDA</w:t>
      </w:r>
      <w:r w:rsidR="00FF10B5" w:rsidRPr="00BC41B1">
        <w:rPr>
          <w:rFonts w:eastAsia="宋体" w:cs="宋体"/>
          <w:sz w:val="21"/>
          <w:lang w:eastAsia="zh-CN"/>
        </w:rPr>
        <w:t>就生物素干扰试验</w:t>
      </w:r>
      <w:r w:rsidR="00491759">
        <w:rPr>
          <w:rFonts w:eastAsia="宋体" w:cs="宋体" w:hint="eastAsia"/>
          <w:sz w:val="21"/>
          <w:lang w:eastAsia="zh-CN"/>
        </w:rPr>
        <w:t>程序</w:t>
      </w:r>
      <w:r w:rsidR="00FF10B5" w:rsidRPr="00BC41B1">
        <w:rPr>
          <w:rFonts w:eastAsia="宋体" w:cs="宋体"/>
          <w:sz w:val="21"/>
          <w:lang w:eastAsia="zh-CN"/>
        </w:rPr>
        <w:t>，以及</w:t>
      </w:r>
      <w:r w:rsidR="00491759">
        <w:rPr>
          <w:rFonts w:eastAsia="宋体" w:cs="宋体" w:hint="eastAsia"/>
          <w:sz w:val="21"/>
          <w:lang w:eastAsia="zh-CN"/>
        </w:rPr>
        <w:t>向</w:t>
      </w:r>
      <w:r w:rsidR="00FF10B5" w:rsidRPr="00BC41B1">
        <w:rPr>
          <w:rFonts w:eastAsia="宋体" w:cs="宋体"/>
          <w:sz w:val="21"/>
          <w:lang w:eastAsia="zh-CN"/>
        </w:rPr>
        <w:t>最终用户（包括临床实验室和临床医生）</w:t>
      </w:r>
      <w:r w:rsidR="00491759" w:rsidRPr="00491759">
        <w:rPr>
          <w:rFonts w:eastAsia="宋体" w:cs="宋体" w:hint="eastAsia"/>
          <w:sz w:val="21"/>
          <w:lang w:eastAsia="zh-CN"/>
        </w:rPr>
        <w:t>传达试验结果</w:t>
      </w:r>
      <w:r w:rsidR="00491759">
        <w:rPr>
          <w:rFonts w:eastAsia="宋体" w:cs="宋体" w:hint="eastAsia"/>
          <w:sz w:val="21"/>
          <w:lang w:eastAsia="zh-CN"/>
        </w:rPr>
        <w:t>的方式</w:t>
      </w:r>
      <w:r w:rsidR="00FF10B5" w:rsidRPr="00BC41B1">
        <w:rPr>
          <w:rFonts w:eastAsia="宋体" w:cs="宋体"/>
          <w:sz w:val="21"/>
          <w:lang w:eastAsia="zh-CN"/>
        </w:rPr>
        <w:t>提出的建议。上述建议适用于采用生物素技术的</w:t>
      </w:r>
      <w:r w:rsidR="00FF10B5" w:rsidRPr="00BC41B1">
        <w:rPr>
          <w:rFonts w:eastAsia="宋体" w:cs="宋体"/>
          <w:sz w:val="21"/>
          <w:lang w:eastAsia="zh-CN"/>
        </w:rPr>
        <w:t>IVD</w:t>
      </w:r>
      <w:r w:rsidR="00FF10B5" w:rsidRPr="00BC41B1">
        <w:rPr>
          <w:rFonts w:eastAsia="宋体" w:cs="宋体"/>
          <w:sz w:val="21"/>
          <w:lang w:eastAsia="zh-CN"/>
        </w:rPr>
        <w:t>，包括根据《公共健康服务法案》（</w:t>
      </w:r>
      <w:r w:rsidR="00FF10B5" w:rsidRPr="00BC41B1">
        <w:rPr>
          <w:rFonts w:eastAsia="宋体" w:cs="宋体"/>
          <w:sz w:val="21"/>
          <w:lang w:eastAsia="zh-CN"/>
        </w:rPr>
        <w:t>42 U.S.C.262</w:t>
      </w:r>
      <w:r w:rsidR="00FF10B5" w:rsidRPr="00BC41B1">
        <w:rPr>
          <w:rFonts w:eastAsia="宋体" w:cs="宋体"/>
          <w:sz w:val="21"/>
          <w:lang w:eastAsia="zh-CN"/>
        </w:rPr>
        <w:t>）第</w:t>
      </w:r>
      <w:r w:rsidR="00FF10B5" w:rsidRPr="00BC41B1">
        <w:rPr>
          <w:rFonts w:eastAsia="宋体" w:cs="宋体"/>
          <w:sz w:val="21"/>
          <w:lang w:eastAsia="zh-CN"/>
        </w:rPr>
        <w:t>351</w:t>
      </w:r>
      <w:r w:rsidR="00FF10B5" w:rsidRPr="00BC41B1">
        <w:rPr>
          <w:rFonts w:eastAsia="宋体" w:cs="宋体"/>
          <w:sz w:val="21"/>
          <w:lang w:eastAsia="zh-CN"/>
        </w:rPr>
        <w:t>节获得许可</w:t>
      </w:r>
      <w:r w:rsidR="0046625E">
        <w:rPr>
          <w:rFonts w:eastAsia="宋体" w:cs="宋体" w:hint="eastAsia"/>
          <w:sz w:val="21"/>
          <w:lang w:eastAsia="zh-CN"/>
        </w:rPr>
        <w:t>的</w:t>
      </w:r>
      <w:r w:rsidR="0046625E">
        <w:rPr>
          <w:rFonts w:eastAsia="宋体" w:cs="宋体" w:hint="eastAsia"/>
          <w:sz w:val="21"/>
          <w:lang w:eastAsia="zh-CN"/>
        </w:rPr>
        <w:t>I</w:t>
      </w:r>
      <w:r w:rsidR="0046625E">
        <w:rPr>
          <w:rFonts w:eastAsia="宋体" w:cs="宋体"/>
          <w:sz w:val="21"/>
          <w:lang w:eastAsia="zh-CN"/>
        </w:rPr>
        <w:t xml:space="preserve">VD, </w:t>
      </w:r>
      <w:r w:rsidR="0046625E">
        <w:rPr>
          <w:rFonts w:eastAsia="宋体" w:cs="宋体" w:hint="eastAsia"/>
          <w:sz w:val="21"/>
          <w:lang w:eastAsia="zh-CN"/>
        </w:rPr>
        <w:t>以及</w:t>
      </w:r>
      <w:r w:rsidR="00FF10B5" w:rsidRPr="00BC41B1">
        <w:rPr>
          <w:rFonts w:eastAsia="宋体" w:cs="宋体"/>
          <w:sz w:val="21"/>
          <w:lang w:eastAsia="zh-CN"/>
        </w:rPr>
        <w:t>用于供体筛查的</w:t>
      </w:r>
      <w:r w:rsidR="0046625E">
        <w:rPr>
          <w:rFonts w:eastAsia="宋体" w:cs="宋体"/>
          <w:sz w:val="21"/>
          <w:lang w:eastAsia="zh-CN"/>
        </w:rPr>
        <w:t>IVD</w:t>
      </w:r>
      <w:r w:rsidR="00FF10B5" w:rsidRPr="00BC41B1">
        <w:rPr>
          <w:rFonts w:eastAsia="宋体" w:cs="宋体"/>
          <w:sz w:val="21"/>
          <w:lang w:eastAsia="zh-CN"/>
        </w:rPr>
        <w:t>器械。本指南最终确定了</w:t>
      </w:r>
      <w:r w:rsidR="00FF10B5" w:rsidRPr="00BC41B1">
        <w:rPr>
          <w:rFonts w:eastAsia="宋体" w:cs="宋体"/>
          <w:sz w:val="21"/>
          <w:lang w:eastAsia="zh-CN"/>
        </w:rPr>
        <w:t>2019</w:t>
      </w:r>
      <w:r w:rsidR="00FF10B5" w:rsidRPr="00BC41B1">
        <w:rPr>
          <w:rFonts w:eastAsia="宋体" w:cs="宋体"/>
          <w:sz w:val="21"/>
          <w:lang w:eastAsia="zh-CN"/>
        </w:rPr>
        <w:t>年</w:t>
      </w:r>
      <w:r w:rsidR="00FF10B5" w:rsidRPr="00BC41B1">
        <w:rPr>
          <w:rFonts w:eastAsia="宋体" w:cs="宋体"/>
          <w:sz w:val="21"/>
          <w:lang w:eastAsia="zh-CN"/>
        </w:rPr>
        <w:t>6</w:t>
      </w:r>
      <w:r w:rsidR="00FF10B5" w:rsidRPr="00BC41B1">
        <w:rPr>
          <w:rFonts w:eastAsia="宋体" w:cs="宋体"/>
          <w:sz w:val="21"/>
          <w:lang w:eastAsia="zh-CN"/>
        </w:rPr>
        <w:t>月发布的标题相同的指南草案。</w:t>
      </w:r>
    </w:p>
    <w:p w14:paraId="0C82C1D1" w14:textId="002F22F7" w:rsidR="002C2F85" w:rsidRPr="002C2F85" w:rsidRDefault="008D15C1" w:rsidP="002C2F85">
      <w:pPr>
        <w:pStyle w:val="a3"/>
        <w:adjustRightInd w:val="0"/>
        <w:snapToGrid w:val="0"/>
        <w:spacing w:beforeLines="50" w:before="120" w:line="300" w:lineRule="auto"/>
        <w:jc w:val="both"/>
        <w:rPr>
          <w:sz w:val="21"/>
          <w:szCs w:val="21"/>
          <w:lang w:eastAsia="zh-CN"/>
        </w:rPr>
      </w:pPr>
      <w:r w:rsidRPr="008D15C1">
        <w:rPr>
          <w:rFonts w:eastAsia="宋体" w:cs="宋体"/>
          <w:sz w:val="21"/>
          <w:lang w:eastAsia="zh-CN"/>
        </w:rPr>
        <w:t>FDA</w:t>
      </w:r>
      <w:r w:rsidRPr="008D15C1">
        <w:rPr>
          <w:rFonts w:eastAsia="宋体" w:cs="宋体" w:hint="eastAsia"/>
          <w:sz w:val="21"/>
          <w:lang w:eastAsia="zh-CN"/>
        </w:rPr>
        <w:t>指导性文件，包括本指南在内，不具有法律强制责任。相反，指南表明了</w:t>
      </w:r>
      <w:r w:rsidR="00157BF0">
        <w:rPr>
          <w:rFonts w:eastAsia="宋体" w:cs="宋体" w:hint="eastAsia"/>
          <w:sz w:val="21"/>
          <w:lang w:eastAsia="zh-CN"/>
        </w:rPr>
        <w:t>本</w:t>
      </w:r>
      <w:r w:rsidRPr="008D15C1">
        <w:rPr>
          <w:rFonts w:eastAsia="宋体" w:cs="宋体" w:hint="eastAsia"/>
          <w:sz w:val="21"/>
          <w:lang w:eastAsia="zh-CN"/>
        </w:rPr>
        <w:t>机构目前关于该主题的思考，除非引用具体的法规或法律要求，否则只应视为建议。在本机构指南中使用词语“应”是指建议或推荐进行某一事项，并非强制要求。</w:t>
      </w:r>
    </w:p>
    <w:p w14:paraId="0F522EB1" w14:textId="77777777" w:rsidR="002C2F85" w:rsidRPr="00B86E99" w:rsidRDefault="002C2F85" w:rsidP="00B86E99">
      <w:pPr>
        <w:pStyle w:val="a3"/>
        <w:adjustRightInd w:val="0"/>
        <w:snapToGrid w:val="0"/>
        <w:spacing w:beforeLines="50" w:before="120" w:line="300" w:lineRule="auto"/>
        <w:ind w:left="843" w:hangingChars="300" w:hanging="843"/>
        <w:jc w:val="both"/>
        <w:outlineLvl w:val="0"/>
        <w:rPr>
          <w:b/>
          <w:sz w:val="28"/>
          <w:szCs w:val="21"/>
          <w:lang w:eastAsia="zh-CN"/>
        </w:rPr>
      </w:pPr>
      <w:bookmarkStart w:id="4" w:name="_Toc91867051"/>
      <w:r w:rsidRPr="00BC41B1">
        <w:rPr>
          <w:rFonts w:eastAsia="宋体" w:cs="宋体"/>
          <w:b/>
          <w:sz w:val="28"/>
          <w:lang w:eastAsia="zh-CN"/>
        </w:rPr>
        <w:t>II.</w:t>
      </w:r>
      <w:r w:rsidRPr="00BC41B1">
        <w:rPr>
          <w:rFonts w:eastAsia="宋体" w:cs="宋体"/>
          <w:b/>
          <w:lang w:eastAsia="zh-CN"/>
        </w:rPr>
        <w:tab/>
      </w:r>
      <w:r w:rsidRPr="00BC41B1">
        <w:rPr>
          <w:rFonts w:eastAsia="宋体" w:cs="宋体"/>
          <w:b/>
          <w:sz w:val="28"/>
          <w:lang w:eastAsia="zh-CN"/>
        </w:rPr>
        <w:t>背景</w:t>
      </w:r>
      <w:bookmarkEnd w:id="4"/>
    </w:p>
    <w:p w14:paraId="5ED605E1" w14:textId="4985B563" w:rsidR="00B86E99" w:rsidRPr="002C2F85" w:rsidRDefault="00FF10B5" w:rsidP="00B86E99">
      <w:pPr>
        <w:pStyle w:val="a3"/>
        <w:adjustRightInd w:val="0"/>
        <w:snapToGrid w:val="0"/>
        <w:spacing w:beforeLines="50" w:before="120" w:line="300" w:lineRule="auto"/>
        <w:jc w:val="both"/>
        <w:rPr>
          <w:sz w:val="21"/>
          <w:szCs w:val="21"/>
          <w:lang w:eastAsia="zh-CN"/>
        </w:rPr>
      </w:pPr>
      <w:r w:rsidRPr="00BC41B1">
        <w:rPr>
          <w:rFonts w:eastAsia="宋体" w:cs="宋体"/>
          <w:sz w:val="21"/>
          <w:lang w:eastAsia="zh-CN"/>
        </w:rPr>
        <w:t>FDA</w:t>
      </w:r>
      <w:r w:rsidRPr="00BC41B1">
        <w:rPr>
          <w:rFonts w:eastAsia="宋体" w:cs="宋体"/>
          <w:sz w:val="21"/>
          <w:lang w:eastAsia="zh-CN"/>
        </w:rPr>
        <w:t>已获悉生物素对</w:t>
      </w:r>
      <w:r w:rsidRPr="00BC41B1">
        <w:rPr>
          <w:rFonts w:eastAsia="宋体" w:cs="宋体"/>
          <w:sz w:val="21"/>
          <w:lang w:eastAsia="zh-CN"/>
        </w:rPr>
        <w:t>IVD</w:t>
      </w:r>
      <w:r w:rsidRPr="00BC41B1">
        <w:rPr>
          <w:rFonts w:eastAsia="宋体" w:cs="宋体"/>
          <w:sz w:val="21"/>
          <w:lang w:eastAsia="zh-CN"/>
        </w:rPr>
        <w:t>存在潜在干扰，这些</w:t>
      </w:r>
      <w:r w:rsidRPr="00BC41B1">
        <w:rPr>
          <w:rFonts w:eastAsia="宋体" w:cs="宋体"/>
          <w:sz w:val="21"/>
          <w:lang w:eastAsia="zh-CN"/>
        </w:rPr>
        <w:t>IVD</w:t>
      </w:r>
      <w:r w:rsidRPr="00BC41B1">
        <w:rPr>
          <w:rFonts w:eastAsia="宋体" w:cs="宋体"/>
          <w:sz w:val="21"/>
          <w:lang w:eastAsia="zh-CN"/>
        </w:rPr>
        <w:t>将生物素</w:t>
      </w:r>
      <w:r w:rsidRPr="00BC41B1">
        <w:rPr>
          <w:rFonts w:eastAsia="宋体" w:cs="宋体"/>
          <w:sz w:val="21"/>
          <w:lang w:eastAsia="zh-CN"/>
        </w:rPr>
        <w:t>/</w:t>
      </w:r>
      <w:r w:rsidRPr="00BC41B1">
        <w:rPr>
          <w:rFonts w:eastAsia="宋体" w:cs="宋体"/>
          <w:sz w:val="21"/>
          <w:lang w:eastAsia="zh-CN"/>
        </w:rPr>
        <w:t>抗生物素蛋白相互作用作为器械技术一部分。许多</w:t>
      </w:r>
      <w:r w:rsidRPr="00BC41B1">
        <w:rPr>
          <w:rFonts w:eastAsia="宋体" w:cs="宋体"/>
          <w:sz w:val="21"/>
          <w:lang w:eastAsia="zh-CN"/>
        </w:rPr>
        <w:t>IVD</w:t>
      </w:r>
      <w:r w:rsidRPr="00BC41B1">
        <w:rPr>
          <w:rFonts w:eastAsia="宋体" w:cs="宋体"/>
          <w:sz w:val="21"/>
          <w:lang w:eastAsia="zh-CN"/>
        </w:rPr>
        <w:t>采用生物素技术，因为生物素能够与可测量的特定蛋白质结合，用于检测特定健康状况。例如，生物素用于激素</w:t>
      </w:r>
      <w:r w:rsidR="00A97E48">
        <w:rPr>
          <w:rFonts w:eastAsia="宋体" w:cs="宋体" w:hint="eastAsia"/>
          <w:sz w:val="21"/>
          <w:lang w:eastAsia="zh-CN"/>
        </w:rPr>
        <w:t>检测</w:t>
      </w:r>
      <w:r w:rsidRPr="00BC41B1">
        <w:rPr>
          <w:rFonts w:eastAsia="宋体" w:cs="宋体"/>
          <w:sz w:val="21"/>
          <w:lang w:eastAsia="zh-CN"/>
        </w:rPr>
        <w:t>以及肌钙蛋白等心脏健康标志物的</w:t>
      </w:r>
      <w:r w:rsidR="00DC44FC">
        <w:rPr>
          <w:rFonts w:eastAsia="宋体" w:cs="宋体" w:hint="eastAsia"/>
          <w:sz w:val="21"/>
          <w:lang w:eastAsia="zh-CN"/>
        </w:rPr>
        <w:t>检测</w:t>
      </w:r>
      <w:r w:rsidRPr="00BC41B1">
        <w:rPr>
          <w:rFonts w:eastAsia="宋体" w:cs="宋体"/>
          <w:sz w:val="21"/>
          <w:lang w:eastAsia="zh-CN"/>
        </w:rPr>
        <w:t>。生物素（又称为</w:t>
      </w:r>
      <w:r w:rsidRPr="00BC41B1">
        <w:rPr>
          <w:rFonts w:eastAsia="宋体" w:cs="宋体"/>
          <w:sz w:val="21"/>
          <w:lang w:eastAsia="zh-CN"/>
        </w:rPr>
        <w:t>“</w:t>
      </w:r>
      <w:r w:rsidRPr="00BC41B1">
        <w:rPr>
          <w:rFonts w:eastAsia="宋体" w:cs="宋体"/>
          <w:sz w:val="21"/>
          <w:lang w:eastAsia="zh-CN"/>
        </w:rPr>
        <w:t>维生素</w:t>
      </w:r>
      <w:r w:rsidRPr="00BC41B1">
        <w:rPr>
          <w:rFonts w:eastAsia="宋体" w:cs="宋体"/>
          <w:sz w:val="21"/>
          <w:lang w:eastAsia="zh-CN"/>
        </w:rPr>
        <w:t>B7”</w:t>
      </w:r>
      <w:r w:rsidRPr="00BC41B1">
        <w:rPr>
          <w:rFonts w:eastAsia="宋体" w:cs="宋体"/>
          <w:sz w:val="21"/>
          <w:lang w:eastAsia="zh-CN"/>
        </w:rPr>
        <w:t>）是一种水溶性维生素，通常存在于复合维生素、产前维生素以及出售的用于头发、皮肤和指甲生长的膳食补充剂中（参考文献</w:t>
      </w:r>
      <w:r w:rsidRPr="00BC41B1">
        <w:rPr>
          <w:rFonts w:eastAsia="宋体" w:cs="宋体"/>
          <w:sz w:val="21"/>
          <w:lang w:eastAsia="zh-CN"/>
        </w:rPr>
        <w:t>1</w:t>
      </w:r>
      <w:r w:rsidRPr="00BC41B1">
        <w:rPr>
          <w:rFonts w:eastAsia="宋体" w:cs="宋体"/>
          <w:sz w:val="21"/>
          <w:lang w:eastAsia="zh-CN"/>
        </w:rPr>
        <w:t>）。如果患者每天摄入的生物素超过推荐的日摄入量，则</w:t>
      </w:r>
      <w:r w:rsidR="00AA1AAF">
        <w:rPr>
          <w:rFonts w:eastAsia="宋体" w:cs="宋体" w:hint="eastAsia"/>
          <w:sz w:val="21"/>
          <w:lang w:eastAsia="zh-CN"/>
        </w:rPr>
        <w:t>在特定测试方法下，</w:t>
      </w:r>
      <w:r w:rsidRPr="00BC41B1">
        <w:rPr>
          <w:rFonts w:eastAsia="宋体" w:cs="宋体"/>
          <w:sz w:val="21"/>
          <w:lang w:eastAsia="zh-CN"/>
        </w:rPr>
        <w:t>样本中的生物素水平可能会导致假</w:t>
      </w:r>
      <w:r w:rsidR="00A529BF">
        <w:rPr>
          <w:rFonts w:eastAsia="宋体" w:cs="宋体" w:hint="eastAsia"/>
          <w:sz w:val="21"/>
          <w:lang w:eastAsia="zh-CN"/>
        </w:rPr>
        <w:t>性升</w:t>
      </w:r>
      <w:r w:rsidRPr="00BC41B1">
        <w:rPr>
          <w:rFonts w:eastAsia="宋体" w:cs="宋体"/>
          <w:sz w:val="21"/>
          <w:lang w:eastAsia="zh-CN"/>
        </w:rPr>
        <w:t>高或假</w:t>
      </w:r>
      <w:r w:rsidR="00A529BF">
        <w:rPr>
          <w:rFonts w:eastAsia="宋体" w:cs="宋体" w:hint="eastAsia"/>
          <w:sz w:val="21"/>
          <w:lang w:eastAsia="zh-CN"/>
        </w:rPr>
        <w:t>性降</w:t>
      </w:r>
      <w:r w:rsidRPr="00BC41B1">
        <w:rPr>
          <w:rFonts w:eastAsia="宋体" w:cs="宋体"/>
          <w:sz w:val="21"/>
          <w:lang w:eastAsia="zh-CN"/>
        </w:rPr>
        <w:t>低</w:t>
      </w:r>
      <w:r w:rsidR="00AA1AAF">
        <w:rPr>
          <w:rFonts w:eastAsia="宋体" w:cs="宋体" w:hint="eastAsia"/>
          <w:sz w:val="21"/>
          <w:lang w:eastAsia="zh-CN"/>
        </w:rPr>
        <w:t>的检测</w:t>
      </w:r>
      <w:r w:rsidRPr="00BC41B1">
        <w:rPr>
          <w:rFonts w:eastAsia="宋体" w:cs="宋体"/>
          <w:sz w:val="21"/>
          <w:lang w:eastAsia="zh-CN"/>
        </w:rPr>
        <w:t>结果。</w:t>
      </w:r>
      <w:r w:rsidR="00C0317A">
        <w:rPr>
          <w:rFonts w:eastAsia="宋体" w:cs="宋体" w:hint="eastAsia"/>
          <w:sz w:val="21"/>
          <w:lang w:eastAsia="zh-CN"/>
        </w:rPr>
        <w:t>检测</w:t>
      </w:r>
      <w:r w:rsidRPr="00BC41B1">
        <w:rPr>
          <w:rFonts w:eastAsia="宋体" w:cs="宋体"/>
          <w:sz w:val="21"/>
          <w:lang w:eastAsia="zh-CN"/>
        </w:rPr>
        <w:t>结果不正确可能会导致患者管理不当或误诊（参考文献</w:t>
      </w:r>
      <w:r w:rsidRPr="00BC41B1">
        <w:rPr>
          <w:rFonts w:eastAsia="宋体" w:cs="宋体"/>
          <w:sz w:val="21"/>
          <w:lang w:eastAsia="zh-CN"/>
        </w:rPr>
        <w:t>1</w:t>
      </w:r>
      <w:r w:rsidRPr="00BC41B1">
        <w:rPr>
          <w:rFonts w:eastAsia="宋体" w:cs="宋体"/>
          <w:sz w:val="21"/>
          <w:lang w:eastAsia="zh-CN"/>
        </w:rPr>
        <w:t>）。</w:t>
      </w:r>
      <w:r w:rsidRPr="00BC41B1">
        <w:rPr>
          <w:rFonts w:eastAsia="宋体" w:cs="宋体"/>
          <w:sz w:val="21"/>
          <w:lang w:eastAsia="zh-CN"/>
        </w:rPr>
        <w:t>FDA</w:t>
      </w:r>
      <w:r w:rsidRPr="00BC41B1">
        <w:rPr>
          <w:rFonts w:eastAsia="宋体" w:cs="宋体"/>
          <w:sz w:val="21"/>
          <w:lang w:eastAsia="zh-CN"/>
        </w:rPr>
        <w:t>在</w:t>
      </w:r>
      <w:r w:rsidRPr="00BC41B1">
        <w:rPr>
          <w:rFonts w:eastAsia="宋体" w:cs="宋体"/>
          <w:sz w:val="21"/>
          <w:lang w:eastAsia="zh-CN"/>
        </w:rPr>
        <w:t>2017</w:t>
      </w:r>
      <w:r w:rsidRPr="00BC41B1">
        <w:rPr>
          <w:rFonts w:eastAsia="宋体" w:cs="宋体"/>
          <w:sz w:val="21"/>
          <w:lang w:eastAsia="zh-CN"/>
        </w:rPr>
        <w:t>年</w:t>
      </w:r>
      <w:r w:rsidRPr="00BC41B1">
        <w:rPr>
          <w:rFonts w:eastAsia="宋体" w:cs="宋体"/>
          <w:sz w:val="21"/>
          <w:lang w:eastAsia="zh-CN"/>
        </w:rPr>
        <w:t>11</w:t>
      </w:r>
      <w:r w:rsidRPr="00BC41B1">
        <w:rPr>
          <w:rFonts w:eastAsia="宋体" w:cs="宋体"/>
          <w:sz w:val="21"/>
          <w:lang w:eastAsia="zh-CN"/>
        </w:rPr>
        <w:t>月</w:t>
      </w:r>
      <w:r w:rsidRPr="00BC41B1">
        <w:rPr>
          <w:rFonts w:eastAsia="宋体" w:cs="宋体"/>
          <w:sz w:val="21"/>
          <w:lang w:eastAsia="zh-CN"/>
        </w:rPr>
        <w:t>28</w:t>
      </w:r>
      <w:r w:rsidRPr="00BC41B1">
        <w:rPr>
          <w:rFonts w:eastAsia="宋体" w:cs="宋体"/>
          <w:sz w:val="21"/>
          <w:lang w:eastAsia="zh-CN"/>
        </w:rPr>
        <w:t>日（参考文献</w:t>
      </w:r>
      <w:r w:rsidRPr="00BC41B1">
        <w:rPr>
          <w:rFonts w:eastAsia="宋体" w:cs="宋体"/>
          <w:sz w:val="21"/>
          <w:lang w:eastAsia="zh-CN"/>
        </w:rPr>
        <w:t>2</w:t>
      </w:r>
      <w:r w:rsidRPr="00BC41B1">
        <w:rPr>
          <w:rFonts w:eastAsia="宋体" w:cs="宋体"/>
          <w:sz w:val="21"/>
          <w:lang w:eastAsia="zh-CN"/>
        </w:rPr>
        <w:t>）和</w:t>
      </w:r>
      <w:r w:rsidRPr="00BC41B1">
        <w:rPr>
          <w:rFonts w:eastAsia="宋体" w:cs="宋体"/>
          <w:sz w:val="21"/>
          <w:lang w:eastAsia="zh-CN"/>
        </w:rPr>
        <w:t>2019</w:t>
      </w:r>
      <w:r w:rsidRPr="00BC41B1">
        <w:rPr>
          <w:rFonts w:eastAsia="宋体" w:cs="宋体"/>
          <w:sz w:val="21"/>
          <w:lang w:eastAsia="zh-CN"/>
        </w:rPr>
        <w:t>年</w:t>
      </w:r>
      <w:r w:rsidRPr="00BC41B1">
        <w:rPr>
          <w:rFonts w:eastAsia="宋体" w:cs="宋体"/>
          <w:sz w:val="21"/>
          <w:lang w:eastAsia="zh-CN"/>
        </w:rPr>
        <w:t>11</w:t>
      </w:r>
      <w:r w:rsidRPr="00BC41B1">
        <w:rPr>
          <w:rFonts w:eastAsia="宋体" w:cs="宋体"/>
          <w:sz w:val="21"/>
          <w:lang w:eastAsia="zh-CN"/>
        </w:rPr>
        <w:t>月</w:t>
      </w:r>
      <w:r w:rsidRPr="00BC41B1">
        <w:rPr>
          <w:rFonts w:eastAsia="宋体" w:cs="宋体"/>
          <w:sz w:val="21"/>
          <w:lang w:eastAsia="zh-CN"/>
        </w:rPr>
        <w:t>5</w:t>
      </w:r>
      <w:r w:rsidRPr="00BC41B1">
        <w:rPr>
          <w:rFonts w:eastAsia="宋体" w:cs="宋体"/>
          <w:sz w:val="21"/>
          <w:lang w:eastAsia="zh-CN"/>
        </w:rPr>
        <w:t>日（参考文献</w:t>
      </w:r>
      <w:r w:rsidRPr="00BC41B1">
        <w:rPr>
          <w:rFonts w:eastAsia="宋体" w:cs="宋体"/>
          <w:sz w:val="21"/>
          <w:lang w:eastAsia="zh-CN"/>
        </w:rPr>
        <w:t>3</w:t>
      </w:r>
      <w:r w:rsidRPr="00BC41B1">
        <w:rPr>
          <w:rFonts w:eastAsia="宋体" w:cs="宋体"/>
          <w:sz w:val="21"/>
          <w:lang w:eastAsia="zh-CN"/>
        </w:rPr>
        <w:t>）发布的《安全通讯》中表达了对生物素干扰的关注，目前市售器械的制造商一直在与</w:t>
      </w:r>
      <w:r w:rsidRPr="00BC41B1">
        <w:rPr>
          <w:rFonts w:eastAsia="宋体" w:cs="宋体"/>
          <w:sz w:val="21"/>
          <w:lang w:eastAsia="zh-CN"/>
        </w:rPr>
        <w:t>FDA</w:t>
      </w:r>
      <w:r w:rsidRPr="00BC41B1">
        <w:rPr>
          <w:rFonts w:eastAsia="宋体" w:cs="宋体"/>
          <w:sz w:val="21"/>
          <w:lang w:eastAsia="zh-CN"/>
        </w:rPr>
        <w:t>合作解决干扰问题（如有）。历来一直在推荐的正常每日生物素剂量（</w:t>
      </w:r>
      <w:r w:rsidRPr="00BC41B1">
        <w:rPr>
          <w:rFonts w:eastAsia="宋体" w:cs="宋体"/>
          <w:sz w:val="21"/>
          <w:lang w:eastAsia="zh-CN"/>
        </w:rPr>
        <w:t xml:space="preserve">30 </w:t>
      </w:r>
      <w:proofErr w:type="spellStart"/>
      <w:r w:rsidRPr="00BC41B1">
        <w:rPr>
          <w:rFonts w:eastAsia="宋体" w:cs="宋体"/>
          <w:sz w:val="21"/>
        </w:rPr>
        <w:t>μ</w:t>
      </w:r>
      <w:r w:rsidRPr="00BC41B1">
        <w:rPr>
          <w:rFonts w:eastAsia="宋体" w:cs="宋体"/>
          <w:sz w:val="21"/>
          <w:lang w:eastAsia="zh-CN"/>
        </w:rPr>
        <w:t>g</w:t>
      </w:r>
      <w:proofErr w:type="spellEnd"/>
      <w:r w:rsidRPr="00BC41B1">
        <w:rPr>
          <w:rFonts w:eastAsia="宋体" w:cs="宋体"/>
          <w:sz w:val="21"/>
          <w:lang w:eastAsia="zh-CN"/>
        </w:rPr>
        <w:t>/</w:t>
      </w:r>
      <w:r w:rsidRPr="00BC41B1">
        <w:rPr>
          <w:rFonts w:eastAsia="宋体" w:cs="宋体"/>
          <w:sz w:val="21"/>
          <w:lang w:eastAsia="zh-CN"/>
        </w:rPr>
        <w:t>天，导致血浆</w:t>
      </w:r>
      <w:r w:rsidRPr="00BC41B1">
        <w:rPr>
          <w:rFonts w:eastAsia="宋体" w:cs="宋体"/>
          <w:sz w:val="21"/>
          <w:lang w:eastAsia="zh-CN"/>
        </w:rPr>
        <w:t>/</w:t>
      </w:r>
      <w:r w:rsidRPr="00BC41B1">
        <w:rPr>
          <w:rFonts w:eastAsia="宋体" w:cs="宋体"/>
          <w:sz w:val="21"/>
          <w:lang w:eastAsia="zh-CN"/>
        </w:rPr>
        <w:t>血清生物素水平</w:t>
      </w:r>
      <w:r w:rsidRPr="00BC41B1">
        <w:rPr>
          <w:rFonts w:eastAsia="宋体" w:cs="宋体"/>
          <w:sz w:val="21"/>
          <w:lang w:eastAsia="zh-CN"/>
        </w:rPr>
        <w:t>&lt; 1 ng/mL</w:t>
      </w:r>
      <w:r w:rsidRPr="00BC41B1">
        <w:rPr>
          <w:rFonts w:eastAsia="宋体" w:cs="宋体"/>
          <w:sz w:val="21"/>
          <w:lang w:eastAsia="zh-CN"/>
        </w:rPr>
        <w:t>）下，对采用生物素</w:t>
      </w:r>
      <w:r w:rsidRPr="00BC41B1">
        <w:rPr>
          <w:rFonts w:eastAsia="宋体" w:cs="宋体"/>
          <w:sz w:val="21"/>
          <w:lang w:eastAsia="zh-CN"/>
        </w:rPr>
        <w:t>/</w:t>
      </w:r>
      <w:r w:rsidRPr="00BC41B1">
        <w:rPr>
          <w:rFonts w:eastAsia="宋体" w:cs="宋体"/>
          <w:sz w:val="21"/>
          <w:lang w:eastAsia="zh-CN"/>
        </w:rPr>
        <w:t>抗生物素蛋白技术的器械进行生物素干扰评估。但是，近期的几份报告（参考文献</w:t>
      </w:r>
      <w:r w:rsidRPr="00BC41B1">
        <w:rPr>
          <w:rFonts w:eastAsia="宋体" w:cs="宋体"/>
          <w:sz w:val="21"/>
          <w:lang w:eastAsia="zh-CN"/>
        </w:rPr>
        <w:t>4-6</w:t>
      </w:r>
      <w:r w:rsidRPr="00BC41B1">
        <w:rPr>
          <w:rFonts w:eastAsia="宋体" w:cs="宋体"/>
          <w:sz w:val="21"/>
          <w:lang w:eastAsia="zh-CN"/>
        </w:rPr>
        <w:t>）描述了消费者使用膳食补充剂导致血浆</w:t>
      </w:r>
      <w:r w:rsidRPr="00BC41B1">
        <w:rPr>
          <w:rFonts w:eastAsia="宋体" w:cs="宋体"/>
          <w:sz w:val="21"/>
          <w:lang w:eastAsia="zh-CN"/>
        </w:rPr>
        <w:t>/</w:t>
      </w:r>
      <w:r w:rsidRPr="00BC41B1">
        <w:rPr>
          <w:rFonts w:eastAsia="宋体" w:cs="宋体"/>
          <w:sz w:val="21"/>
          <w:lang w:eastAsia="zh-CN"/>
        </w:rPr>
        <w:t>血清生物素水平</w:t>
      </w:r>
      <w:r w:rsidRPr="00BC41B1">
        <w:rPr>
          <w:rFonts w:eastAsia="宋体" w:cs="宋体"/>
          <w:sz w:val="21"/>
          <w:lang w:eastAsia="zh-CN"/>
        </w:rPr>
        <w:t>&gt; 1 ng/mL</w:t>
      </w:r>
      <w:r w:rsidRPr="00BC41B1">
        <w:rPr>
          <w:rFonts w:eastAsia="宋体" w:cs="宋体"/>
          <w:sz w:val="21"/>
          <w:lang w:eastAsia="zh-CN"/>
        </w:rPr>
        <w:t>，从而导致生物素对一些</w:t>
      </w:r>
      <w:r w:rsidRPr="00BC41B1">
        <w:rPr>
          <w:rFonts w:eastAsia="宋体" w:cs="宋体"/>
          <w:sz w:val="21"/>
          <w:lang w:eastAsia="zh-CN"/>
        </w:rPr>
        <w:t>IVD</w:t>
      </w:r>
      <w:r w:rsidRPr="00BC41B1">
        <w:rPr>
          <w:rFonts w:eastAsia="宋体" w:cs="宋体"/>
          <w:sz w:val="21"/>
          <w:lang w:eastAsia="zh-CN"/>
        </w:rPr>
        <w:t>的性能产生意外干扰。此外，还观察到极高的生物素剂量（高达</w:t>
      </w:r>
      <w:r w:rsidRPr="00BC41B1">
        <w:rPr>
          <w:rFonts w:eastAsia="宋体" w:cs="宋体"/>
          <w:sz w:val="21"/>
          <w:lang w:eastAsia="zh-CN"/>
        </w:rPr>
        <w:t>300 mg/</w:t>
      </w:r>
      <w:r w:rsidRPr="00BC41B1">
        <w:rPr>
          <w:rFonts w:eastAsia="宋体" w:cs="宋体"/>
          <w:sz w:val="21"/>
          <w:lang w:eastAsia="zh-CN"/>
        </w:rPr>
        <w:t>天，导致血浆</w:t>
      </w:r>
      <w:r w:rsidRPr="00BC41B1">
        <w:rPr>
          <w:rFonts w:eastAsia="宋体" w:cs="宋体"/>
          <w:sz w:val="21"/>
          <w:lang w:eastAsia="zh-CN"/>
        </w:rPr>
        <w:t>/</w:t>
      </w:r>
      <w:r w:rsidRPr="00BC41B1">
        <w:rPr>
          <w:rFonts w:eastAsia="宋体" w:cs="宋体"/>
          <w:sz w:val="21"/>
          <w:lang w:eastAsia="zh-CN"/>
        </w:rPr>
        <w:t>血清生物素水平</w:t>
      </w:r>
      <w:r w:rsidRPr="00BC41B1">
        <w:rPr>
          <w:rFonts w:eastAsia="宋体" w:cs="宋体"/>
          <w:sz w:val="21"/>
          <w:lang w:eastAsia="zh-CN"/>
        </w:rPr>
        <w:t>&gt; 1000 ng/mL</w:t>
      </w:r>
      <w:r w:rsidRPr="00BC41B1">
        <w:rPr>
          <w:rFonts w:eastAsia="宋体" w:cs="宋体"/>
          <w:sz w:val="21"/>
          <w:lang w:eastAsia="zh-CN"/>
        </w:rPr>
        <w:t>）。</w:t>
      </w:r>
    </w:p>
    <w:p w14:paraId="53AC70D0" w14:textId="77777777" w:rsidR="002C2F85" w:rsidRPr="002C2F85" w:rsidRDefault="002C2F85" w:rsidP="002C2F85">
      <w:pPr>
        <w:adjustRightInd w:val="0"/>
        <w:snapToGrid w:val="0"/>
        <w:spacing w:beforeLines="50" w:before="120" w:line="300" w:lineRule="auto"/>
        <w:jc w:val="both"/>
        <w:rPr>
          <w:b/>
          <w:sz w:val="21"/>
          <w:szCs w:val="21"/>
          <w:lang w:eastAsia="zh-CN"/>
        </w:rPr>
      </w:pPr>
      <w:r w:rsidRPr="00BC41B1">
        <w:rPr>
          <w:rFonts w:eastAsia="宋体" w:cs="宋体"/>
          <w:b/>
          <w:sz w:val="21"/>
          <w:lang w:eastAsia="zh-CN"/>
        </w:rPr>
        <w:br w:type="page"/>
      </w:r>
    </w:p>
    <w:p w14:paraId="1970C0DE" w14:textId="3213DDB3" w:rsidR="002C2F85" w:rsidRPr="002C2F85" w:rsidRDefault="00FF10B5" w:rsidP="002C2F85">
      <w:pPr>
        <w:pStyle w:val="a3"/>
        <w:adjustRightInd w:val="0"/>
        <w:snapToGrid w:val="0"/>
        <w:spacing w:beforeLines="50" w:before="120" w:line="300" w:lineRule="auto"/>
        <w:jc w:val="both"/>
        <w:rPr>
          <w:sz w:val="21"/>
          <w:szCs w:val="21"/>
          <w:lang w:eastAsia="zh-CN"/>
        </w:rPr>
      </w:pPr>
      <w:r w:rsidRPr="00BC41B1">
        <w:rPr>
          <w:rFonts w:eastAsia="宋体" w:cs="宋体"/>
          <w:sz w:val="21"/>
          <w:lang w:eastAsia="zh-CN"/>
        </w:rPr>
        <w:lastRenderedPageBreak/>
        <w:t>本指南描述了</w:t>
      </w:r>
      <w:r w:rsidRPr="00BC41B1">
        <w:rPr>
          <w:rFonts w:eastAsia="宋体" w:cs="宋体"/>
          <w:sz w:val="21"/>
          <w:lang w:eastAsia="zh-CN"/>
        </w:rPr>
        <w:t>FDA</w:t>
      </w:r>
      <w:r w:rsidRPr="00BC41B1">
        <w:rPr>
          <w:rFonts w:eastAsia="宋体" w:cs="宋体"/>
          <w:sz w:val="21"/>
          <w:lang w:eastAsia="zh-CN"/>
        </w:rPr>
        <w:t>就针对生物素对采用生物素</w:t>
      </w:r>
      <w:r w:rsidRPr="00BC41B1">
        <w:rPr>
          <w:rFonts w:eastAsia="宋体" w:cs="宋体"/>
          <w:sz w:val="21"/>
          <w:lang w:eastAsia="zh-CN"/>
        </w:rPr>
        <w:t>/</w:t>
      </w:r>
      <w:r w:rsidRPr="00BC41B1">
        <w:rPr>
          <w:rFonts w:eastAsia="宋体" w:cs="宋体"/>
          <w:sz w:val="21"/>
          <w:lang w:eastAsia="zh-CN"/>
        </w:rPr>
        <w:t>抗生物素蛋白技术的器械的干扰开展的试验提出的建议，并通过标签等方式将此类试验的结果传达给最终用户。本指南中的建议与</w:t>
      </w:r>
      <w:r w:rsidRPr="00BC41B1">
        <w:rPr>
          <w:rFonts w:eastAsia="宋体" w:cs="宋体"/>
          <w:sz w:val="21"/>
          <w:lang w:eastAsia="zh-CN"/>
        </w:rPr>
        <w:t>FDA</w:t>
      </w:r>
      <w:r w:rsidRPr="00BC41B1">
        <w:rPr>
          <w:rFonts w:eastAsia="宋体" w:cs="宋体"/>
          <w:sz w:val="21"/>
          <w:lang w:eastAsia="zh-CN"/>
        </w:rPr>
        <w:t>近期向就相关事项咨询过</w:t>
      </w:r>
      <w:r w:rsidRPr="00BC41B1">
        <w:rPr>
          <w:rFonts w:eastAsia="宋体" w:cs="宋体"/>
          <w:sz w:val="21"/>
          <w:lang w:eastAsia="zh-CN"/>
        </w:rPr>
        <w:t>FDA</w:t>
      </w:r>
      <w:r w:rsidRPr="00BC41B1">
        <w:rPr>
          <w:rFonts w:eastAsia="宋体" w:cs="宋体"/>
          <w:sz w:val="21"/>
          <w:lang w:eastAsia="zh-CN"/>
        </w:rPr>
        <w:t>的个别制造商和申办方提供的建议一致。这些建议反映了</w:t>
      </w:r>
      <w:r w:rsidRPr="00BC41B1">
        <w:rPr>
          <w:rFonts w:eastAsia="宋体" w:cs="宋体"/>
          <w:sz w:val="21"/>
          <w:lang w:eastAsia="zh-CN"/>
        </w:rPr>
        <w:t>FDA</w:t>
      </w:r>
      <w:r w:rsidRPr="00BC41B1">
        <w:rPr>
          <w:rFonts w:eastAsia="宋体" w:cs="宋体"/>
          <w:sz w:val="21"/>
          <w:lang w:eastAsia="zh-CN"/>
        </w:rPr>
        <w:t>的观点，即仅使用标签可能不足以在所有情况下缓解生物素干扰导致错误结果的风险。当生物素干扰导致潜在错误结果的风险会显著影响患者或公众健康时，可考虑采取其他缓解策略。</w:t>
      </w:r>
    </w:p>
    <w:p w14:paraId="15A3CE4E" w14:textId="77777777" w:rsidR="002C2F85" w:rsidRPr="00B86E99" w:rsidRDefault="002C2F85" w:rsidP="00B86E99">
      <w:pPr>
        <w:pStyle w:val="a3"/>
        <w:adjustRightInd w:val="0"/>
        <w:snapToGrid w:val="0"/>
        <w:spacing w:beforeLines="50" w:before="120" w:line="300" w:lineRule="auto"/>
        <w:ind w:left="843" w:hangingChars="300" w:hanging="843"/>
        <w:jc w:val="both"/>
        <w:outlineLvl w:val="0"/>
        <w:rPr>
          <w:b/>
          <w:sz w:val="28"/>
          <w:szCs w:val="21"/>
        </w:rPr>
      </w:pPr>
      <w:bookmarkStart w:id="5" w:name="_Toc91867052"/>
      <w:r w:rsidRPr="00BC41B1">
        <w:rPr>
          <w:rFonts w:eastAsia="宋体" w:cs="宋体"/>
          <w:b/>
          <w:sz w:val="28"/>
        </w:rPr>
        <w:t>III.</w:t>
      </w:r>
      <w:r w:rsidRPr="00BC41B1">
        <w:rPr>
          <w:rFonts w:eastAsia="宋体" w:cs="宋体"/>
          <w:b/>
        </w:rPr>
        <w:tab/>
      </w:r>
      <w:proofErr w:type="spellStart"/>
      <w:r w:rsidRPr="00BC41B1">
        <w:rPr>
          <w:rFonts w:eastAsia="宋体" w:cs="宋体"/>
          <w:b/>
          <w:sz w:val="28"/>
        </w:rPr>
        <w:t>建议</w:t>
      </w:r>
      <w:bookmarkEnd w:id="5"/>
      <w:proofErr w:type="spellEnd"/>
    </w:p>
    <w:p w14:paraId="482E4F04" w14:textId="77777777" w:rsidR="002C2F85" w:rsidRPr="00622A85" w:rsidRDefault="00FF10B5" w:rsidP="00BC41B1">
      <w:pPr>
        <w:pStyle w:val="a4"/>
        <w:numPr>
          <w:ilvl w:val="0"/>
          <w:numId w:val="4"/>
        </w:numPr>
        <w:adjustRightInd w:val="0"/>
        <w:snapToGrid w:val="0"/>
        <w:spacing w:beforeLines="50" w:before="120" w:line="300" w:lineRule="auto"/>
        <w:ind w:leftChars="200" w:left="860" w:hangingChars="200"/>
        <w:jc w:val="both"/>
        <w:rPr>
          <w:sz w:val="21"/>
          <w:szCs w:val="21"/>
          <w:lang w:eastAsia="zh-CN"/>
        </w:rPr>
      </w:pPr>
      <w:r w:rsidRPr="00BC41B1">
        <w:rPr>
          <w:rFonts w:eastAsia="宋体" w:cs="宋体"/>
          <w:sz w:val="21"/>
          <w:lang w:eastAsia="zh-CN"/>
        </w:rPr>
        <w:t>如果证明临床相关分析物和患者样本中的生物素浓度存在生物素干扰，申办方应联系相应的</w:t>
      </w:r>
      <w:r w:rsidRPr="00BC41B1">
        <w:rPr>
          <w:rFonts w:eastAsia="宋体" w:cs="宋体"/>
          <w:sz w:val="21"/>
          <w:lang w:eastAsia="zh-CN"/>
        </w:rPr>
        <w:t>CBER</w:t>
      </w:r>
      <w:r w:rsidRPr="00BC41B1">
        <w:rPr>
          <w:rFonts w:eastAsia="宋体" w:cs="宋体"/>
          <w:sz w:val="21"/>
          <w:lang w:eastAsia="zh-CN"/>
        </w:rPr>
        <w:t>或</w:t>
      </w:r>
      <w:r w:rsidRPr="00BC41B1">
        <w:rPr>
          <w:rFonts w:eastAsia="宋体" w:cs="宋体"/>
          <w:sz w:val="21"/>
          <w:lang w:eastAsia="zh-CN"/>
        </w:rPr>
        <w:t>CDRH</w:t>
      </w:r>
      <w:r w:rsidRPr="00BC41B1">
        <w:rPr>
          <w:rFonts w:eastAsia="宋体" w:cs="宋体"/>
          <w:sz w:val="21"/>
          <w:lang w:eastAsia="zh-CN"/>
        </w:rPr>
        <w:t>审查部门。</w:t>
      </w:r>
    </w:p>
    <w:p w14:paraId="7492607A" w14:textId="0C183D47" w:rsidR="00990E4E" w:rsidRPr="00622A85" w:rsidRDefault="00FF10B5" w:rsidP="00BC41B1">
      <w:pPr>
        <w:pStyle w:val="a4"/>
        <w:numPr>
          <w:ilvl w:val="0"/>
          <w:numId w:val="4"/>
        </w:numPr>
        <w:adjustRightInd w:val="0"/>
        <w:snapToGrid w:val="0"/>
        <w:spacing w:beforeLines="50" w:before="120" w:line="300" w:lineRule="auto"/>
        <w:ind w:leftChars="200" w:left="860" w:hangingChars="200"/>
        <w:jc w:val="both"/>
        <w:rPr>
          <w:sz w:val="21"/>
          <w:szCs w:val="21"/>
          <w:lang w:eastAsia="zh-CN"/>
        </w:rPr>
      </w:pPr>
      <w:r w:rsidRPr="00BC41B1">
        <w:rPr>
          <w:rFonts w:eastAsia="宋体" w:cs="宋体"/>
          <w:sz w:val="21"/>
          <w:lang w:eastAsia="zh-CN"/>
        </w:rPr>
        <w:t>对于设计用于生物素干扰试验的研究，建议采用与美国临床实验室标准协会（</w:t>
      </w:r>
      <w:r w:rsidRPr="00BC41B1">
        <w:rPr>
          <w:rFonts w:eastAsia="宋体" w:cs="宋体"/>
          <w:sz w:val="21"/>
          <w:lang w:eastAsia="zh-CN"/>
        </w:rPr>
        <w:t>CLSI</w:t>
      </w:r>
      <w:r w:rsidRPr="00BC41B1">
        <w:rPr>
          <w:rFonts w:eastAsia="宋体" w:cs="宋体"/>
          <w:sz w:val="21"/>
          <w:lang w:eastAsia="zh-CN"/>
        </w:rPr>
        <w:t>）发布的最新版本</w:t>
      </w:r>
      <w:r w:rsidRPr="00BC41B1">
        <w:rPr>
          <w:rFonts w:eastAsia="宋体" w:cs="宋体"/>
          <w:sz w:val="21"/>
          <w:lang w:eastAsia="zh-CN"/>
        </w:rPr>
        <w:t>EP07</w:t>
      </w:r>
      <w:r w:rsidRPr="00BC41B1">
        <w:rPr>
          <w:rFonts w:eastAsia="宋体" w:cs="宋体"/>
          <w:sz w:val="21"/>
          <w:lang w:eastAsia="zh-CN"/>
        </w:rPr>
        <w:t>文件《临床化学的干扰试验：批准指南》（参考文献</w:t>
      </w:r>
      <w:r w:rsidRPr="00BC41B1">
        <w:rPr>
          <w:rFonts w:eastAsia="宋体" w:cs="宋体"/>
          <w:sz w:val="21"/>
          <w:lang w:eastAsia="zh-CN"/>
        </w:rPr>
        <w:t>7</w:t>
      </w:r>
      <w:r w:rsidRPr="00BC41B1">
        <w:rPr>
          <w:rFonts w:eastAsia="宋体" w:cs="宋体"/>
          <w:sz w:val="21"/>
          <w:lang w:eastAsia="zh-CN"/>
        </w:rPr>
        <w:t>）中类似的设计。</w:t>
      </w:r>
    </w:p>
    <w:p w14:paraId="7BC860C2" w14:textId="77777777" w:rsidR="00AA1C20" w:rsidRPr="00AA1C20" w:rsidRDefault="00FF10B5" w:rsidP="00AA1C20">
      <w:pPr>
        <w:pStyle w:val="a4"/>
        <w:numPr>
          <w:ilvl w:val="0"/>
          <w:numId w:val="4"/>
        </w:numPr>
        <w:adjustRightInd w:val="0"/>
        <w:snapToGrid w:val="0"/>
        <w:spacing w:beforeLines="50" w:before="120" w:line="300" w:lineRule="auto"/>
        <w:ind w:leftChars="200" w:left="860" w:hangingChars="200"/>
        <w:jc w:val="both"/>
        <w:rPr>
          <w:sz w:val="21"/>
          <w:szCs w:val="21"/>
          <w:lang w:eastAsia="zh-CN"/>
        </w:rPr>
      </w:pPr>
      <w:r w:rsidRPr="00AA1C20">
        <w:rPr>
          <w:rFonts w:eastAsia="宋体" w:cs="宋体" w:hint="eastAsia"/>
          <w:sz w:val="21"/>
          <w:lang w:eastAsia="zh-CN"/>
        </w:rPr>
        <w:t>应对可反映当前生物素</w:t>
      </w:r>
      <w:r w:rsidR="00C146DC" w:rsidRPr="00AA1C20">
        <w:rPr>
          <w:rFonts w:eastAsia="宋体" w:cs="宋体" w:hint="eastAsia"/>
          <w:sz w:val="21"/>
          <w:lang w:eastAsia="zh-CN"/>
        </w:rPr>
        <w:t>消费</w:t>
      </w:r>
      <w:r w:rsidRPr="00AA1C20">
        <w:rPr>
          <w:rFonts w:eastAsia="宋体" w:cs="宋体" w:hint="eastAsia"/>
          <w:sz w:val="21"/>
          <w:lang w:eastAsia="zh-CN"/>
        </w:rPr>
        <w:t>趋势的生物素浓度</w:t>
      </w:r>
      <w:r w:rsidR="00990E4E" w:rsidRPr="00AA1C20">
        <w:rPr>
          <w:rFonts w:eastAsia="宋体" w:cs="宋体" w:hint="eastAsia"/>
          <w:sz w:val="21"/>
          <w:lang w:eastAsia="zh-CN"/>
        </w:rPr>
        <w:t>对检测结果的干扰</w:t>
      </w:r>
      <w:r w:rsidRPr="00AA1C20">
        <w:rPr>
          <w:rFonts w:eastAsia="宋体" w:cs="宋体" w:hint="eastAsia"/>
          <w:sz w:val="21"/>
          <w:lang w:eastAsia="zh-CN"/>
        </w:rPr>
        <w:t>进行评估。生物素</w:t>
      </w:r>
      <w:r w:rsidR="00990E4E" w:rsidRPr="00AA1C20">
        <w:rPr>
          <w:rFonts w:eastAsia="宋体" w:cs="宋体" w:hint="eastAsia"/>
          <w:sz w:val="21"/>
          <w:lang w:eastAsia="zh-CN"/>
        </w:rPr>
        <w:t>浓度</w:t>
      </w:r>
      <w:r w:rsidRPr="00AA1C20">
        <w:rPr>
          <w:rFonts w:eastAsia="宋体" w:cs="宋体" w:hint="eastAsia"/>
          <w:sz w:val="21"/>
          <w:lang w:eastAsia="zh-CN"/>
        </w:rPr>
        <w:t>的评估值应高达</w:t>
      </w:r>
      <w:r w:rsidRPr="00AA1C20">
        <w:rPr>
          <w:rFonts w:eastAsia="宋体" w:cs="宋体"/>
          <w:sz w:val="21"/>
          <w:lang w:eastAsia="zh-CN"/>
        </w:rPr>
        <w:t>3500 ng/mL</w:t>
      </w:r>
      <w:r w:rsidRPr="00AA1C20">
        <w:rPr>
          <w:rFonts w:eastAsia="宋体" w:cs="宋体" w:hint="eastAsia"/>
          <w:sz w:val="21"/>
          <w:lang w:eastAsia="zh-CN"/>
        </w:rPr>
        <w:t>，</w:t>
      </w:r>
      <w:r w:rsidR="00990E4E" w:rsidRPr="00AA1C20">
        <w:rPr>
          <w:rFonts w:eastAsia="宋体" w:cs="宋体" w:hint="eastAsia"/>
          <w:sz w:val="21"/>
          <w:lang w:eastAsia="zh-CN"/>
        </w:rPr>
        <w:t>达到</w:t>
      </w:r>
      <w:r w:rsidRPr="00AA1C20">
        <w:rPr>
          <w:rFonts w:eastAsia="宋体" w:cs="宋体" w:hint="eastAsia"/>
          <w:sz w:val="21"/>
          <w:lang w:eastAsia="zh-CN"/>
        </w:rPr>
        <w:t>最大预期临床浓度的</w:t>
      </w:r>
      <w:r w:rsidRPr="00AA1C20">
        <w:rPr>
          <w:rFonts w:eastAsia="宋体" w:cs="宋体"/>
          <w:sz w:val="21"/>
          <w:lang w:eastAsia="zh-CN"/>
        </w:rPr>
        <w:t>3</w:t>
      </w:r>
      <w:r w:rsidRPr="00AA1C20">
        <w:rPr>
          <w:rFonts w:eastAsia="宋体" w:cs="宋体" w:hint="eastAsia"/>
          <w:sz w:val="21"/>
          <w:lang w:eastAsia="zh-CN"/>
        </w:rPr>
        <w:t>倍。</w:t>
      </w:r>
    </w:p>
    <w:p w14:paraId="680B860B" w14:textId="5134F1A1" w:rsidR="002C2F85" w:rsidRPr="00AA1C20" w:rsidRDefault="00FF10B5" w:rsidP="00AA1C20">
      <w:pPr>
        <w:pStyle w:val="a4"/>
        <w:adjustRightInd w:val="0"/>
        <w:snapToGrid w:val="0"/>
        <w:spacing w:beforeLines="50" w:before="120" w:line="300" w:lineRule="auto"/>
        <w:ind w:left="860" w:firstLine="0"/>
        <w:jc w:val="both"/>
        <w:rPr>
          <w:sz w:val="21"/>
          <w:szCs w:val="21"/>
          <w:lang w:eastAsia="zh-CN"/>
        </w:rPr>
      </w:pPr>
      <w:r w:rsidRPr="00AA1C20">
        <w:rPr>
          <w:rFonts w:eastAsia="宋体" w:cs="宋体" w:hint="eastAsia"/>
          <w:sz w:val="21"/>
          <w:lang w:eastAsia="zh-CN"/>
        </w:rPr>
        <w:t>在该水平上对生物素的评估与</w:t>
      </w:r>
      <w:r w:rsidRPr="00AA1C20">
        <w:rPr>
          <w:rFonts w:eastAsia="宋体" w:cs="宋体"/>
          <w:sz w:val="21"/>
          <w:lang w:eastAsia="zh-CN"/>
        </w:rPr>
        <w:t>CLSI</w:t>
      </w:r>
      <w:r w:rsidRPr="00AA1C20">
        <w:rPr>
          <w:rFonts w:eastAsia="宋体" w:cs="宋体" w:hint="eastAsia"/>
          <w:sz w:val="21"/>
          <w:lang w:eastAsia="zh-CN"/>
        </w:rPr>
        <w:t>标准中的建议一致，适合用于最大限度降低错误试验结果对患者构成的风险。</w:t>
      </w:r>
    </w:p>
    <w:p w14:paraId="1D2246F0" w14:textId="77777777" w:rsidR="002C2F85" w:rsidRPr="00622A85" w:rsidRDefault="00FF10B5" w:rsidP="00BC41B1">
      <w:pPr>
        <w:pStyle w:val="a4"/>
        <w:numPr>
          <w:ilvl w:val="0"/>
          <w:numId w:val="4"/>
        </w:numPr>
        <w:adjustRightInd w:val="0"/>
        <w:snapToGrid w:val="0"/>
        <w:spacing w:beforeLines="50" w:before="120" w:line="300" w:lineRule="auto"/>
        <w:ind w:leftChars="200" w:left="860" w:hangingChars="200"/>
        <w:jc w:val="both"/>
        <w:rPr>
          <w:sz w:val="21"/>
          <w:szCs w:val="21"/>
          <w:lang w:eastAsia="zh-CN"/>
        </w:rPr>
      </w:pPr>
      <w:r w:rsidRPr="00BC41B1">
        <w:rPr>
          <w:rFonts w:eastAsia="宋体" w:cs="宋体"/>
          <w:sz w:val="21"/>
          <w:lang w:eastAsia="zh-CN"/>
        </w:rPr>
        <w:t>样本应包括器械医疗决策点附近的分析物水平。</w:t>
      </w:r>
    </w:p>
    <w:p w14:paraId="47083117" w14:textId="77777777" w:rsidR="002C2F85" w:rsidRPr="00622A85" w:rsidRDefault="00FF10B5" w:rsidP="00BC41B1">
      <w:pPr>
        <w:pStyle w:val="a4"/>
        <w:numPr>
          <w:ilvl w:val="0"/>
          <w:numId w:val="4"/>
        </w:numPr>
        <w:adjustRightInd w:val="0"/>
        <w:snapToGrid w:val="0"/>
        <w:spacing w:beforeLines="50" w:before="120" w:line="300" w:lineRule="auto"/>
        <w:ind w:leftChars="200" w:left="860" w:hangingChars="200"/>
        <w:jc w:val="both"/>
        <w:rPr>
          <w:sz w:val="21"/>
          <w:szCs w:val="21"/>
          <w:lang w:eastAsia="zh-CN"/>
        </w:rPr>
      </w:pPr>
      <w:r w:rsidRPr="00BC41B1">
        <w:rPr>
          <w:rFonts w:eastAsia="宋体" w:cs="宋体"/>
          <w:sz w:val="21"/>
          <w:lang w:eastAsia="zh-CN"/>
        </w:rPr>
        <w:t>对于浓度低于</w:t>
      </w:r>
      <w:r w:rsidRPr="00BC41B1">
        <w:rPr>
          <w:rFonts w:eastAsia="宋体" w:cs="宋体"/>
          <w:sz w:val="21"/>
          <w:lang w:eastAsia="zh-CN"/>
        </w:rPr>
        <w:t>3500 ng/mL</w:t>
      </w:r>
      <w:r w:rsidRPr="00BC41B1">
        <w:rPr>
          <w:rFonts w:eastAsia="宋体" w:cs="宋体"/>
          <w:sz w:val="21"/>
          <w:lang w:eastAsia="zh-CN"/>
        </w:rPr>
        <w:t>时易受生物素干扰的测定，应确定未检测到干扰时的生物素浓度。</w:t>
      </w:r>
    </w:p>
    <w:p w14:paraId="20501946" w14:textId="77777777" w:rsidR="00B86E99" w:rsidRPr="002C2F85" w:rsidRDefault="00FF10B5" w:rsidP="00BC41B1">
      <w:pPr>
        <w:pStyle w:val="a3"/>
        <w:numPr>
          <w:ilvl w:val="0"/>
          <w:numId w:val="4"/>
        </w:numPr>
        <w:adjustRightInd w:val="0"/>
        <w:snapToGrid w:val="0"/>
        <w:spacing w:beforeLines="50" w:before="120" w:line="300" w:lineRule="auto"/>
        <w:ind w:leftChars="200" w:left="860" w:hangingChars="200"/>
        <w:jc w:val="both"/>
        <w:rPr>
          <w:sz w:val="21"/>
          <w:szCs w:val="21"/>
          <w:lang w:eastAsia="zh-CN"/>
        </w:rPr>
      </w:pPr>
      <w:r w:rsidRPr="00BC41B1">
        <w:rPr>
          <w:rFonts w:eastAsia="宋体" w:cs="宋体"/>
          <w:sz w:val="21"/>
          <w:lang w:eastAsia="zh-CN"/>
        </w:rPr>
        <w:t>应通过器械标签</w:t>
      </w:r>
      <w:r w:rsidRPr="00BC41B1">
        <w:rPr>
          <w:rFonts w:eastAsia="宋体" w:cs="宋体"/>
          <w:sz w:val="21"/>
          <w:vertAlign w:val="superscript"/>
          <w:lang w:eastAsia="zh-CN"/>
        </w:rPr>
        <w:t>1</w:t>
      </w:r>
      <w:r w:rsidRPr="00BC41B1">
        <w:rPr>
          <w:rFonts w:eastAsia="宋体" w:cs="宋体"/>
          <w:sz w:val="21"/>
          <w:lang w:eastAsia="zh-CN"/>
        </w:rPr>
        <w:t>等方式将有关生物素干扰的信息传达给最终用户（如临床实验室和临床医生）。标签中包含的相关信息可能是定性和定量测定中检测的每个浓度的百分比差异或偏倚，以及观察到的生物素干扰（如有）结果（例如，假性升高、假性降低）。</w:t>
      </w:r>
    </w:p>
    <w:p w14:paraId="3BE644B5" w14:textId="77777777" w:rsidR="00622A85" w:rsidRPr="00447D9B" w:rsidRDefault="00622A85" w:rsidP="00565F8E">
      <w:pPr>
        <w:pStyle w:val="a3"/>
        <w:adjustRightInd w:val="0"/>
        <w:snapToGrid w:val="0"/>
        <w:spacing w:beforeLines="2050" w:before="4920" w:line="300" w:lineRule="auto"/>
        <w:jc w:val="both"/>
        <w:rPr>
          <w:rFonts w:eastAsiaTheme="minorEastAsia"/>
          <w:sz w:val="21"/>
          <w:szCs w:val="21"/>
          <w:lang w:eastAsia="zh-CN"/>
        </w:rPr>
      </w:pPr>
      <w:r w:rsidRPr="00BC41B1">
        <w:rPr>
          <w:rFonts w:eastAsia="宋体" w:cs="宋体"/>
          <w:sz w:val="21"/>
          <w:lang w:eastAsia="zh-CN"/>
        </w:rPr>
        <w:t>____________________</w:t>
      </w:r>
    </w:p>
    <w:p w14:paraId="0BE6A907" w14:textId="43B52E3D" w:rsidR="002C2F85" w:rsidRPr="002C2F85" w:rsidRDefault="00FF10B5" w:rsidP="00565F8E">
      <w:pPr>
        <w:adjustRightInd w:val="0"/>
        <w:snapToGrid w:val="0"/>
        <w:spacing w:beforeLines="15" w:before="36" w:line="276" w:lineRule="auto"/>
        <w:jc w:val="both"/>
        <w:rPr>
          <w:b/>
          <w:sz w:val="21"/>
          <w:szCs w:val="21"/>
          <w:lang w:eastAsia="zh-CN"/>
        </w:rPr>
      </w:pPr>
      <w:r w:rsidRPr="00BC41B1">
        <w:rPr>
          <w:rFonts w:eastAsia="宋体" w:cs="宋体"/>
          <w:sz w:val="18"/>
          <w:vertAlign w:val="superscript"/>
          <w:lang w:eastAsia="zh-CN"/>
        </w:rPr>
        <w:t>1</w:t>
      </w:r>
      <w:r w:rsidRPr="00BC41B1">
        <w:rPr>
          <w:rFonts w:eastAsia="宋体" w:cs="宋体"/>
          <w:sz w:val="18"/>
          <w:lang w:eastAsia="zh-CN"/>
        </w:rPr>
        <w:t xml:space="preserve"> </w:t>
      </w:r>
      <w:r w:rsidRPr="00BC41B1">
        <w:rPr>
          <w:rFonts w:eastAsia="宋体" w:cs="宋体"/>
          <w:sz w:val="18"/>
          <w:lang w:eastAsia="zh-CN"/>
        </w:rPr>
        <w:t>根据</w:t>
      </w:r>
      <w:r w:rsidRPr="00BC41B1">
        <w:rPr>
          <w:rFonts w:eastAsia="宋体" w:cs="宋体"/>
          <w:sz w:val="18"/>
          <w:lang w:eastAsia="zh-CN"/>
        </w:rPr>
        <w:t>21 CFR 809.10(b)(10)</w:t>
      </w:r>
      <w:r w:rsidRPr="00BC41B1">
        <w:rPr>
          <w:rFonts w:eastAsia="宋体" w:cs="宋体"/>
          <w:sz w:val="18"/>
          <w:lang w:eastAsia="zh-CN"/>
        </w:rPr>
        <w:t>，体外诊断产品附带的标签应说明已知的外在因素或影响结果的干扰物质。有关</w:t>
      </w:r>
      <w:r w:rsidRPr="00BC41B1">
        <w:rPr>
          <w:rFonts w:eastAsia="宋体" w:cs="宋体"/>
          <w:sz w:val="18"/>
          <w:lang w:eastAsia="zh-CN"/>
        </w:rPr>
        <w:t>IVD</w:t>
      </w:r>
      <w:r w:rsidRPr="00BC41B1">
        <w:rPr>
          <w:rFonts w:eastAsia="宋体" w:cs="宋体"/>
          <w:sz w:val="18"/>
          <w:lang w:eastAsia="zh-CN"/>
        </w:rPr>
        <w:t>标签要求的更多信息，</w:t>
      </w:r>
      <w:proofErr w:type="gramStart"/>
      <w:r w:rsidRPr="00BC41B1">
        <w:rPr>
          <w:rFonts w:eastAsia="宋体" w:cs="宋体"/>
          <w:sz w:val="18"/>
          <w:lang w:eastAsia="zh-CN"/>
        </w:rPr>
        <w:t>请访问</w:t>
      </w:r>
      <w:proofErr w:type="gramEnd"/>
      <w:r w:rsidRPr="00BC41B1">
        <w:rPr>
          <w:rFonts w:eastAsia="宋体" w:cs="宋体"/>
          <w:color w:val="0000FF"/>
          <w:sz w:val="18"/>
          <w:u w:val="single"/>
          <w:lang w:eastAsia="zh-CN"/>
        </w:rPr>
        <w:t>https://www.fda.gov/medical-devices/device-labeling/vitro-diagnostic-device-labeling-requirements</w:t>
      </w:r>
      <w:r w:rsidRPr="00BC41B1">
        <w:rPr>
          <w:rFonts w:eastAsia="宋体" w:cs="宋体"/>
          <w:sz w:val="18"/>
          <w:lang w:eastAsia="zh-CN"/>
        </w:rPr>
        <w:t>。</w:t>
      </w:r>
      <w:r w:rsidR="002C2F85" w:rsidRPr="00BC41B1">
        <w:rPr>
          <w:rFonts w:eastAsia="宋体" w:cs="宋体"/>
          <w:b/>
          <w:sz w:val="21"/>
          <w:lang w:eastAsia="zh-CN"/>
        </w:rPr>
        <w:br w:type="page"/>
      </w:r>
    </w:p>
    <w:p w14:paraId="2AEF19C8" w14:textId="77777777" w:rsidR="002C2F85" w:rsidRPr="00B86E99" w:rsidRDefault="002C2F85" w:rsidP="00B86E99">
      <w:pPr>
        <w:pStyle w:val="a3"/>
        <w:adjustRightInd w:val="0"/>
        <w:snapToGrid w:val="0"/>
        <w:spacing w:beforeLines="50" w:before="120" w:line="300" w:lineRule="auto"/>
        <w:ind w:left="843" w:hangingChars="300" w:hanging="843"/>
        <w:jc w:val="both"/>
        <w:outlineLvl w:val="0"/>
        <w:rPr>
          <w:b/>
          <w:sz w:val="28"/>
          <w:szCs w:val="21"/>
        </w:rPr>
      </w:pPr>
      <w:bookmarkStart w:id="6" w:name="_Toc91867053"/>
      <w:r w:rsidRPr="00BC41B1">
        <w:rPr>
          <w:rFonts w:eastAsia="宋体" w:cs="宋体"/>
          <w:b/>
          <w:sz w:val="28"/>
        </w:rPr>
        <w:lastRenderedPageBreak/>
        <w:t>IV.</w:t>
      </w:r>
      <w:r w:rsidRPr="00BC41B1">
        <w:rPr>
          <w:rFonts w:eastAsia="宋体" w:cs="宋体"/>
          <w:b/>
        </w:rPr>
        <w:tab/>
      </w:r>
      <w:proofErr w:type="spellStart"/>
      <w:r w:rsidRPr="00BC41B1">
        <w:rPr>
          <w:rFonts w:eastAsia="宋体" w:cs="宋体"/>
          <w:b/>
          <w:sz w:val="28"/>
        </w:rPr>
        <w:t>参考文献</w:t>
      </w:r>
      <w:bookmarkEnd w:id="6"/>
      <w:proofErr w:type="spellEnd"/>
    </w:p>
    <w:p w14:paraId="31BCD5E3" w14:textId="77777777" w:rsidR="002C2F85" w:rsidRPr="002C2F85" w:rsidRDefault="002C2F85" w:rsidP="001B7257">
      <w:pPr>
        <w:wordWrap w:val="0"/>
        <w:adjustRightInd w:val="0"/>
        <w:snapToGrid w:val="0"/>
        <w:spacing w:beforeLines="50" w:before="120" w:line="300" w:lineRule="auto"/>
        <w:ind w:left="420" w:hangingChars="200" w:hanging="420"/>
        <w:jc w:val="both"/>
        <w:rPr>
          <w:sz w:val="21"/>
          <w:szCs w:val="21"/>
        </w:rPr>
      </w:pPr>
      <w:r w:rsidRPr="00BC41B1">
        <w:rPr>
          <w:rFonts w:eastAsia="宋体" w:cs="宋体"/>
          <w:sz w:val="21"/>
        </w:rPr>
        <w:t>1.</w:t>
      </w:r>
      <w:r w:rsidRPr="00BC41B1">
        <w:rPr>
          <w:rFonts w:eastAsia="宋体" w:cs="宋体"/>
          <w:sz w:val="21"/>
        </w:rPr>
        <w:tab/>
        <w:t>Biotin: Fact Sheet for Consumers, accessed March 20, 2019.</w:t>
      </w:r>
      <w:r w:rsidRPr="00BC41B1">
        <w:rPr>
          <w:rFonts w:eastAsia="宋体" w:cs="宋体"/>
          <w:color w:val="0000FF"/>
          <w:sz w:val="21"/>
          <w:u w:val="single"/>
        </w:rPr>
        <w:t xml:space="preserve"> https://ods.od.nih.gov/factsheets/Biotin-Consumer/</w:t>
      </w:r>
    </w:p>
    <w:p w14:paraId="34664333" w14:textId="77777777" w:rsidR="002C2F85" w:rsidRPr="002C2F85" w:rsidRDefault="002C2F85" w:rsidP="001B7257">
      <w:pPr>
        <w:wordWrap w:val="0"/>
        <w:adjustRightInd w:val="0"/>
        <w:snapToGrid w:val="0"/>
        <w:spacing w:beforeLines="50" w:before="120" w:line="300" w:lineRule="auto"/>
        <w:ind w:left="420" w:hangingChars="200" w:hanging="420"/>
        <w:jc w:val="both"/>
        <w:rPr>
          <w:sz w:val="21"/>
          <w:szCs w:val="21"/>
        </w:rPr>
      </w:pPr>
      <w:r w:rsidRPr="00BC41B1">
        <w:rPr>
          <w:rFonts w:eastAsia="宋体" w:cs="宋体"/>
          <w:sz w:val="21"/>
        </w:rPr>
        <w:t>2.</w:t>
      </w:r>
      <w:r w:rsidRPr="00BC41B1">
        <w:rPr>
          <w:rFonts w:eastAsia="宋体" w:cs="宋体"/>
          <w:sz w:val="21"/>
        </w:rPr>
        <w:tab/>
        <w:t xml:space="preserve">FDA Safety </w:t>
      </w:r>
      <w:proofErr w:type="spellStart"/>
      <w:r w:rsidRPr="00BC41B1">
        <w:rPr>
          <w:rFonts w:eastAsia="宋体" w:cs="宋体"/>
          <w:sz w:val="21"/>
        </w:rPr>
        <w:t>Communication.The</w:t>
      </w:r>
      <w:proofErr w:type="spellEnd"/>
      <w:r w:rsidRPr="00BC41B1">
        <w:rPr>
          <w:rFonts w:eastAsia="宋体" w:cs="宋体"/>
          <w:sz w:val="21"/>
        </w:rPr>
        <w:t xml:space="preserve"> FDA Warns that Biotin May Interfere with Lab </w:t>
      </w:r>
      <w:proofErr w:type="spellStart"/>
      <w:r w:rsidRPr="00BC41B1">
        <w:rPr>
          <w:rFonts w:eastAsia="宋体" w:cs="宋体"/>
          <w:sz w:val="21"/>
        </w:rPr>
        <w:t>Tests.November</w:t>
      </w:r>
      <w:proofErr w:type="spellEnd"/>
      <w:r w:rsidRPr="00BC41B1">
        <w:rPr>
          <w:rFonts w:eastAsia="宋体" w:cs="宋体"/>
          <w:sz w:val="21"/>
        </w:rPr>
        <w:t xml:space="preserve"> 2017.</w:t>
      </w:r>
      <w:r w:rsidRPr="00BC41B1">
        <w:rPr>
          <w:rFonts w:eastAsia="宋体" w:cs="宋体"/>
          <w:color w:val="0000FF"/>
          <w:sz w:val="21"/>
        </w:rPr>
        <w:t xml:space="preserve"> </w:t>
      </w:r>
      <w:r w:rsidRPr="00BC41B1">
        <w:rPr>
          <w:rFonts w:eastAsia="宋体" w:cs="宋体"/>
          <w:color w:val="0000FF"/>
          <w:sz w:val="21"/>
          <w:u w:val="single"/>
        </w:rPr>
        <w:t>https://www.fda.gov/medical-devices/safety-communications/fda- warns-biotin-may-interfere-lab-tests-</w:t>
      </w:r>
      <w:proofErr w:type="spellStart"/>
      <w:r w:rsidRPr="00BC41B1">
        <w:rPr>
          <w:rFonts w:eastAsia="宋体" w:cs="宋体"/>
          <w:color w:val="0000FF"/>
          <w:sz w:val="21"/>
          <w:u w:val="single"/>
        </w:rPr>
        <w:t>fda</w:t>
      </w:r>
      <w:proofErr w:type="spellEnd"/>
      <w:r w:rsidRPr="00BC41B1">
        <w:rPr>
          <w:rFonts w:eastAsia="宋体" w:cs="宋体"/>
          <w:color w:val="0000FF"/>
          <w:sz w:val="21"/>
          <w:u w:val="single"/>
        </w:rPr>
        <w:t>-safety-communication</w:t>
      </w:r>
      <w:r w:rsidRPr="00BC41B1">
        <w:rPr>
          <w:rFonts w:eastAsia="宋体" w:cs="宋体"/>
          <w:sz w:val="21"/>
        </w:rPr>
        <w:t>.</w:t>
      </w:r>
    </w:p>
    <w:p w14:paraId="522CDE48" w14:textId="77777777" w:rsidR="002C2F85" w:rsidRPr="002C2F85" w:rsidRDefault="002C2F85" w:rsidP="001B7257">
      <w:pPr>
        <w:wordWrap w:val="0"/>
        <w:adjustRightInd w:val="0"/>
        <w:snapToGrid w:val="0"/>
        <w:spacing w:beforeLines="50" w:before="120" w:line="300" w:lineRule="auto"/>
        <w:ind w:left="420" w:hangingChars="200" w:hanging="420"/>
        <w:jc w:val="both"/>
        <w:rPr>
          <w:sz w:val="21"/>
          <w:szCs w:val="21"/>
        </w:rPr>
      </w:pPr>
      <w:r w:rsidRPr="00BC41B1">
        <w:rPr>
          <w:rFonts w:eastAsia="宋体" w:cs="宋体"/>
          <w:sz w:val="21"/>
        </w:rPr>
        <w:t>3.</w:t>
      </w:r>
      <w:r w:rsidRPr="00BC41B1">
        <w:rPr>
          <w:rFonts w:eastAsia="宋体" w:cs="宋体"/>
          <w:sz w:val="21"/>
        </w:rPr>
        <w:tab/>
        <w:t xml:space="preserve">UPDATE: The FDA Warns that Biotin May Interfere with Lab Tests: FDA Safety </w:t>
      </w:r>
      <w:proofErr w:type="spellStart"/>
      <w:r w:rsidRPr="00BC41B1">
        <w:rPr>
          <w:rFonts w:eastAsia="宋体" w:cs="宋体"/>
          <w:sz w:val="21"/>
        </w:rPr>
        <w:t>Communication.November</w:t>
      </w:r>
      <w:proofErr w:type="spellEnd"/>
      <w:r w:rsidRPr="00BC41B1">
        <w:rPr>
          <w:rFonts w:eastAsia="宋体" w:cs="宋体"/>
          <w:sz w:val="21"/>
        </w:rPr>
        <w:t xml:space="preserve"> 2019.</w:t>
      </w:r>
      <w:r w:rsidRPr="00BC41B1">
        <w:rPr>
          <w:rFonts w:eastAsia="宋体" w:cs="宋体"/>
          <w:color w:val="0000FF"/>
          <w:sz w:val="21"/>
        </w:rPr>
        <w:t xml:space="preserve"> </w:t>
      </w:r>
      <w:r w:rsidRPr="00BC41B1">
        <w:rPr>
          <w:rFonts w:eastAsia="宋体" w:cs="宋体"/>
          <w:color w:val="0000FF"/>
          <w:sz w:val="21"/>
          <w:u w:val="single"/>
        </w:rPr>
        <w:t>https://www.fda.gov/medical-devices/safety- communications/update-fda-warns-biotin-may-interfere-lab-tests-fda-safety- communication</w:t>
      </w:r>
      <w:r w:rsidRPr="00BC41B1">
        <w:rPr>
          <w:rFonts w:eastAsia="宋体" w:cs="宋体"/>
          <w:sz w:val="21"/>
        </w:rPr>
        <w:t>.</w:t>
      </w:r>
    </w:p>
    <w:p w14:paraId="1E58596F" w14:textId="635369EE" w:rsidR="002C2F85" w:rsidRPr="002C2F85" w:rsidRDefault="002C2F85" w:rsidP="001B7257">
      <w:pPr>
        <w:wordWrap w:val="0"/>
        <w:adjustRightInd w:val="0"/>
        <w:snapToGrid w:val="0"/>
        <w:spacing w:beforeLines="50" w:before="120" w:line="300" w:lineRule="auto"/>
        <w:ind w:left="420" w:hangingChars="200" w:hanging="420"/>
        <w:jc w:val="both"/>
        <w:rPr>
          <w:sz w:val="21"/>
          <w:szCs w:val="21"/>
        </w:rPr>
      </w:pPr>
      <w:r w:rsidRPr="002A5B14">
        <w:rPr>
          <w:rFonts w:eastAsia="宋体" w:cs="宋体"/>
          <w:sz w:val="21"/>
        </w:rPr>
        <w:t>4.</w:t>
      </w:r>
      <w:r w:rsidRPr="002A5B14">
        <w:rPr>
          <w:rFonts w:eastAsia="宋体" w:cs="宋体"/>
          <w:sz w:val="21"/>
        </w:rPr>
        <w:tab/>
        <w:t xml:space="preserve">Piketty, M.L., et al. </w:t>
      </w:r>
      <w:r w:rsidRPr="00BC41B1">
        <w:rPr>
          <w:rFonts w:eastAsia="宋体" w:cs="宋体"/>
          <w:sz w:val="21"/>
        </w:rPr>
        <w:t>(2017) High-dose biotin therapy leading to false biochemical endocrine profiles: validation of a simple method to overcome biotin interference.</w:t>
      </w:r>
      <w:r w:rsidR="00125BA4">
        <w:rPr>
          <w:rFonts w:eastAsia="宋体" w:cs="宋体"/>
          <w:sz w:val="21"/>
        </w:rPr>
        <w:t xml:space="preserve"> </w:t>
      </w:r>
      <w:r w:rsidRPr="00BC41B1">
        <w:rPr>
          <w:rFonts w:eastAsia="宋体" w:cs="宋体"/>
          <w:sz w:val="21"/>
        </w:rPr>
        <w:t>Clin.</w:t>
      </w:r>
      <w:r w:rsidR="00125BA4">
        <w:rPr>
          <w:rFonts w:eastAsia="宋体" w:cs="宋体"/>
          <w:sz w:val="21"/>
        </w:rPr>
        <w:t xml:space="preserve"> </w:t>
      </w:r>
      <w:r w:rsidRPr="00BC41B1">
        <w:rPr>
          <w:rFonts w:eastAsia="宋体" w:cs="宋体"/>
          <w:sz w:val="21"/>
        </w:rPr>
        <w:t>Chem.</w:t>
      </w:r>
      <w:r w:rsidR="00125BA4">
        <w:rPr>
          <w:rFonts w:eastAsia="宋体" w:cs="宋体"/>
          <w:sz w:val="21"/>
        </w:rPr>
        <w:t xml:space="preserve"> </w:t>
      </w:r>
      <w:r w:rsidRPr="00BC41B1">
        <w:rPr>
          <w:rFonts w:eastAsia="宋体" w:cs="宋体"/>
          <w:sz w:val="21"/>
        </w:rPr>
        <w:t>Lab Med.55(6):817–825.</w:t>
      </w:r>
    </w:p>
    <w:p w14:paraId="3E6BB2AB" w14:textId="078B7FF2" w:rsidR="002C2F85" w:rsidRPr="002C2F85" w:rsidRDefault="002C2F85" w:rsidP="001B7257">
      <w:pPr>
        <w:wordWrap w:val="0"/>
        <w:adjustRightInd w:val="0"/>
        <w:snapToGrid w:val="0"/>
        <w:spacing w:beforeLines="50" w:before="120" w:line="300" w:lineRule="auto"/>
        <w:ind w:left="420" w:hangingChars="200" w:hanging="420"/>
        <w:jc w:val="both"/>
        <w:rPr>
          <w:sz w:val="21"/>
          <w:szCs w:val="21"/>
        </w:rPr>
      </w:pPr>
      <w:r w:rsidRPr="00BC41B1">
        <w:rPr>
          <w:rFonts w:eastAsia="宋体" w:cs="宋体"/>
          <w:sz w:val="21"/>
        </w:rPr>
        <w:t>5.</w:t>
      </w:r>
      <w:r w:rsidRPr="00BC41B1">
        <w:rPr>
          <w:rFonts w:eastAsia="宋体" w:cs="宋体"/>
          <w:sz w:val="21"/>
        </w:rPr>
        <w:tab/>
        <w:t>Chun, Kelly Y. (2017) Biotin Interference in Diagnostic Tests.</w:t>
      </w:r>
      <w:r w:rsidR="00125BA4">
        <w:rPr>
          <w:rFonts w:eastAsia="宋体" w:cs="宋体"/>
          <w:sz w:val="21"/>
        </w:rPr>
        <w:t xml:space="preserve"> </w:t>
      </w:r>
      <w:r w:rsidRPr="00BC41B1">
        <w:rPr>
          <w:rFonts w:eastAsia="宋体" w:cs="宋体"/>
          <w:sz w:val="21"/>
        </w:rPr>
        <w:t>Clinical Chemistry 63:619-620.</w:t>
      </w:r>
    </w:p>
    <w:p w14:paraId="44B21E91" w14:textId="5CD74540" w:rsidR="002C2F85" w:rsidRPr="002C2F85" w:rsidRDefault="002C2F85" w:rsidP="001B7257">
      <w:pPr>
        <w:wordWrap w:val="0"/>
        <w:adjustRightInd w:val="0"/>
        <w:snapToGrid w:val="0"/>
        <w:spacing w:beforeLines="50" w:before="120" w:line="300" w:lineRule="auto"/>
        <w:ind w:left="420" w:hangingChars="200" w:hanging="420"/>
        <w:jc w:val="both"/>
        <w:rPr>
          <w:sz w:val="21"/>
          <w:szCs w:val="21"/>
        </w:rPr>
      </w:pPr>
      <w:r w:rsidRPr="00BC41B1">
        <w:rPr>
          <w:rFonts w:eastAsia="宋体" w:cs="宋体"/>
          <w:sz w:val="21"/>
        </w:rPr>
        <w:t>6.</w:t>
      </w:r>
      <w:r w:rsidRPr="00BC41B1">
        <w:rPr>
          <w:rFonts w:eastAsia="宋体" w:cs="宋体"/>
          <w:sz w:val="21"/>
        </w:rPr>
        <w:tab/>
      </w:r>
      <w:proofErr w:type="spellStart"/>
      <w:r w:rsidRPr="00BC41B1">
        <w:rPr>
          <w:rFonts w:eastAsia="宋体" w:cs="宋体"/>
          <w:sz w:val="21"/>
        </w:rPr>
        <w:t>Barbesino</w:t>
      </w:r>
      <w:proofErr w:type="spellEnd"/>
      <w:r w:rsidRPr="00BC41B1">
        <w:rPr>
          <w:rFonts w:eastAsia="宋体" w:cs="宋体"/>
          <w:sz w:val="21"/>
        </w:rPr>
        <w:t>, G</w:t>
      </w:r>
      <w:proofErr w:type="gramStart"/>
      <w:r w:rsidRPr="00BC41B1">
        <w:rPr>
          <w:rFonts w:eastAsia="宋体" w:cs="宋体"/>
          <w:sz w:val="21"/>
        </w:rPr>
        <w:t>.(</w:t>
      </w:r>
      <w:proofErr w:type="gramEnd"/>
      <w:r w:rsidRPr="00BC41B1">
        <w:rPr>
          <w:rFonts w:eastAsia="宋体" w:cs="宋体"/>
          <w:sz w:val="21"/>
        </w:rPr>
        <w:t>2016) The Unintended Consequences of Biotin Supplementation: Spurious Immunoassay Results Lead to Misdiagnoses.</w:t>
      </w:r>
      <w:r w:rsidR="00125BA4">
        <w:rPr>
          <w:rFonts w:eastAsia="宋体" w:cs="宋体"/>
          <w:sz w:val="21"/>
        </w:rPr>
        <w:t xml:space="preserve"> </w:t>
      </w:r>
      <w:r w:rsidRPr="00BC41B1">
        <w:rPr>
          <w:rFonts w:eastAsia="宋体" w:cs="宋体"/>
          <w:sz w:val="21"/>
        </w:rPr>
        <w:t>Clinical Laboratory News, Bench Matters, December 1–3.</w:t>
      </w:r>
    </w:p>
    <w:p w14:paraId="004B6F5B" w14:textId="2AABD907" w:rsidR="00011048" w:rsidRPr="002C2F85" w:rsidRDefault="002C2F85" w:rsidP="001B7257">
      <w:pPr>
        <w:wordWrap w:val="0"/>
        <w:adjustRightInd w:val="0"/>
        <w:snapToGrid w:val="0"/>
        <w:spacing w:beforeLines="50" w:before="120" w:line="300" w:lineRule="auto"/>
        <w:ind w:left="420" w:hangingChars="200" w:hanging="420"/>
        <w:jc w:val="both"/>
        <w:rPr>
          <w:sz w:val="21"/>
          <w:szCs w:val="21"/>
        </w:rPr>
      </w:pPr>
      <w:r w:rsidRPr="00BC41B1">
        <w:rPr>
          <w:rFonts w:eastAsia="宋体" w:cs="宋体"/>
          <w:sz w:val="21"/>
        </w:rPr>
        <w:t>7.</w:t>
      </w:r>
      <w:r w:rsidRPr="00BC41B1">
        <w:rPr>
          <w:rFonts w:eastAsia="宋体" w:cs="宋体"/>
          <w:sz w:val="21"/>
        </w:rPr>
        <w:tab/>
        <w:t>Clinical Laboratory Standards Institute.</w:t>
      </w:r>
      <w:r w:rsidR="00125BA4">
        <w:rPr>
          <w:rFonts w:eastAsia="宋体" w:cs="宋体"/>
          <w:sz w:val="21"/>
        </w:rPr>
        <w:t xml:space="preserve"> </w:t>
      </w:r>
      <w:r w:rsidRPr="00BC41B1">
        <w:rPr>
          <w:rFonts w:eastAsia="宋体" w:cs="宋体"/>
          <w:sz w:val="21"/>
        </w:rPr>
        <w:t>(2018) Interference Testing in Clinical Chemistry, 3rd Edition: April.</w:t>
      </w:r>
      <w:r w:rsidR="00125BA4">
        <w:rPr>
          <w:rFonts w:eastAsia="宋体" w:cs="宋体"/>
          <w:sz w:val="21"/>
        </w:rPr>
        <w:t xml:space="preserve"> </w:t>
      </w:r>
      <w:r w:rsidRPr="00BC41B1">
        <w:rPr>
          <w:rFonts w:eastAsia="宋体" w:cs="宋体"/>
          <w:color w:val="0000FF"/>
          <w:sz w:val="21"/>
          <w:u w:val="single"/>
        </w:rPr>
        <w:t>https://clsi.org/standards/products/method- evaluation/documents/ep07/</w:t>
      </w:r>
    </w:p>
    <w:sectPr w:rsidR="00011048" w:rsidRPr="002C2F85" w:rsidSect="00B86E99">
      <w:footerReference w:type="default" r:id="rId11"/>
      <w:pgSz w:w="11907" w:h="16840" w:code="9"/>
      <w:pgMar w:top="1418" w:right="1418" w:bottom="1418"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398030" w14:textId="77777777" w:rsidR="00324977" w:rsidRDefault="00324977">
      <w:r>
        <w:separator/>
      </w:r>
    </w:p>
  </w:endnote>
  <w:endnote w:type="continuationSeparator" w:id="0">
    <w:p w14:paraId="5D564C93" w14:textId="77777777" w:rsidR="00324977" w:rsidRDefault="0032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4B935" w14:textId="77777777" w:rsidR="00B86E99" w:rsidRDefault="00B86E99" w:rsidP="00B86E99">
    <w:pPr>
      <w:pStyle w:val="a6"/>
      <w:jc w:val="center"/>
    </w:pPr>
    <w:r>
      <w:fldChar w:fldCharType="begin"/>
    </w:r>
    <w:r>
      <w:instrText>PAGE   \* MERGEFORMAT</w:instrText>
    </w:r>
    <w:r>
      <w:fldChar w:fldCharType="separate"/>
    </w:r>
    <w:r w:rsidR="0065142C" w:rsidRPr="0065142C">
      <w:rPr>
        <w:noProof/>
        <w:lang w:val="zh-CN" w:eastAsia="zh-CN"/>
      </w:rP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03F02" w14:textId="77777777" w:rsidR="00B86E99" w:rsidRPr="00BC41B1" w:rsidRDefault="00B86E99" w:rsidP="00B86E99">
    <w:pPr>
      <w:pStyle w:val="a6"/>
      <w:jc w:val="center"/>
    </w:pPr>
    <w:r w:rsidRPr="00BC41B1">
      <w:fldChar w:fldCharType="begin"/>
    </w:r>
    <w:r w:rsidRPr="00BC41B1">
      <w:instrText>PAGE   \* MERGEFORMAT</w:instrText>
    </w:r>
    <w:r w:rsidRPr="00BC41B1">
      <w:fldChar w:fldCharType="separate"/>
    </w:r>
    <w:r w:rsidR="0065142C" w:rsidRPr="0065142C">
      <w:rPr>
        <w:noProof/>
        <w:lang w:val="zh-CN" w:eastAsia="zh-CN"/>
      </w:rPr>
      <w:t>1</w:t>
    </w:r>
    <w:r w:rsidRPr="00BC41B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C7D0D" w14:textId="77777777" w:rsidR="00324977" w:rsidRDefault="00324977">
      <w:r>
        <w:separator/>
      </w:r>
    </w:p>
  </w:footnote>
  <w:footnote w:type="continuationSeparator" w:id="0">
    <w:p w14:paraId="71FA2BA3" w14:textId="77777777" w:rsidR="00324977" w:rsidRDefault="00324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5A1F3" w14:textId="18BBAB9C" w:rsidR="00B86E99" w:rsidRPr="00B86E99" w:rsidRDefault="008D15C1" w:rsidP="00B86E99">
    <w:pPr>
      <w:jc w:val="center"/>
      <w:rPr>
        <w:sz w:val="21"/>
        <w:szCs w:val="21"/>
        <w:lang w:eastAsia="zh-CN"/>
      </w:rPr>
    </w:pPr>
    <w:proofErr w:type="spellStart"/>
    <w:r w:rsidRPr="008D15C1">
      <w:rPr>
        <w:rFonts w:eastAsia="宋体" w:cs="宋体" w:hint="eastAsia"/>
        <w:b/>
        <w:sz w:val="21"/>
      </w:rPr>
      <w:t>所含建议不具约束力</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F3B44"/>
    <w:multiLevelType w:val="hybridMultilevel"/>
    <w:tmpl w:val="CBB6B028"/>
    <w:lvl w:ilvl="0" w:tplc="5C3E45EA">
      <w:start w:val="1"/>
      <w:numFmt w:val="decimal"/>
      <w:lvlText w:val="%1."/>
      <w:lvlJc w:val="left"/>
      <w:pPr>
        <w:ind w:left="940" w:hanging="720"/>
        <w:jc w:val="left"/>
      </w:pPr>
      <w:rPr>
        <w:rFonts w:ascii="Times New Roman" w:eastAsia="Times New Roman" w:hAnsi="Times New Roman" w:cs="Times New Roman" w:hint="default"/>
        <w:spacing w:val="-3"/>
        <w:w w:val="99"/>
        <w:sz w:val="24"/>
        <w:szCs w:val="24"/>
        <w:lang w:val="en-US" w:eastAsia="en-US" w:bidi="en-US"/>
      </w:rPr>
    </w:lvl>
    <w:lvl w:ilvl="1" w:tplc="AC12DD5A">
      <w:numFmt w:val="bullet"/>
      <w:lvlText w:val="•"/>
      <w:lvlJc w:val="left"/>
      <w:pPr>
        <w:ind w:left="1826" w:hanging="720"/>
      </w:pPr>
      <w:rPr>
        <w:rFonts w:hint="default"/>
        <w:lang w:val="en-US" w:eastAsia="en-US" w:bidi="en-US"/>
      </w:rPr>
    </w:lvl>
    <w:lvl w:ilvl="2" w:tplc="6EECBD30">
      <w:numFmt w:val="bullet"/>
      <w:lvlText w:val="•"/>
      <w:lvlJc w:val="left"/>
      <w:pPr>
        <w:ind w:left="2712" w:hanging="720"/>
      </w:pPr>
      <w:rPr>
        <w:rFonts w:hint="default"/>
        <w:lang w:val="en-US" w:eastAsia="en-US" w:bidi="en-US"/>
      </w:rPr>
    </w:lvl>
    <w:lvl w:ilvl="3" w:tplc="4F1C6712">
      <w:numFmt w:val="bullet"/>
      <w:lvlText w:val="•"/>
      <w:lvlJc w:val="left"/>
      <w:pPr>
        <w:ind w:left="3598" w:hanging="720"/>
      </w:pPr>
      <w:rPr>
        <w:rFonts w:hint="default"/>
        <w:lang w:val="en-US" w:eastAsia="en-US" w:bidi="en-US"/>
      </w:rPr>
    </w:lvl>
    <w:lvl w:ilvl="4" w:tplc="8FF411EE">
      <w:numFmt w:val="bullet"/>
      <w:lvlText w:val="•"/>
      <w:lvlJc w:val="left"/>
      <w:pPr>
        <w:ind w:left="4484" w:hanging="720"/>
      </w:pPr>
      <w:rPr>
        <w:rFonts w:hint="default"/>
        <w:lang w:val="en-US" w:eastAsia="en-US" w:bidi="en-US"/>
      </w:rPr>
    </w:lvl>
    <w:lvl w:ilvl="5" w:tplc="12F23A38">
      <w:numFmt w:val="bullet"/>
      <w:lvlText w:val="•"/>
      <w:lvlJc w:val="left"/>
      <w:pPr>
        <w:ind w:left="5370" w:hanging="720"/>
      </w:pPr>
      <w:rPr>
        <w:rFonts w:hint="default"/>
        <w:lang w:val="en-US" w:eastAsia="en-US" w:bidi="en-US"/>
      </w:rPr>
    </w:lvl>
    <w:lvl w:ilvl="6" w:tplc="FD94D96A">
      <w:numFmt w:val="bullet"/>
      <w:lvlText w:val="•"/>
      <w:lvlJc w:val="left"/>
      <w:pPr>
        <w:ind w:left="6256" w:hanging="720"/>
      </w:pPr>
      <w:rPr>
        <w:rFonts w:hint="default"/>
        <w:lang w:val="en-US" w:eastAsia="en-US" w:bidi="en-US"/>
      </w:rPr>
    </w:lvl>
    <w:lvl w:ilvl="7" w:tplc="697C36C8">
      <w:numFmt w:val="bullet"/>
      <w:lvlText w:val="•"/>
      <w:lvlJc w:val="left"/>
      <w:pPr>
        <w:ind w:left="7142" w:hanging="720"/>
      </w:pPr>
      <w:rPr>
        <w:rFonts w:hint="default"/>
        <w:lang w:val="en-US" w:eastAsia="en-US" w:bidi="en-US"/>
      </w:rPr>
    </w:lvl>
    <w:lvl w:ilvl="8" w:tplc="113A1BC4">
      <w:numFmt w:val="bullet"/>
      <w:lvlText w:val="•"/>
      <w:lvlJc w:val="left"/>
      <w:pPr>
        <w:ind w:left="8028" w:hanging="720"/>
      </w:pPr>
      <w:rPr>
        <w:rFonts w:hint="default"/>
        <w:lang w:val="en-US" w:eastAsia="en-US" w:bidi="en-US"/>
      </w:rPr>
    </w:lvl>
  </w:abstractNum>
  <w:abstractNum w:abstractNumId="1">
    <w:nsid w:val="19517565"/>
    <w:multiLevelType w:val="hybridMultilevel"/>
    <w:tmpl w:val="FC701F96"/>
    <w:lvl w:ilvl="0" w:tplc="16E0E72A">
      <w:numFmt w:val="bullet"/>
      <w:lvlText w:val="•"/>
      <w:lvlJc w:val="left"/>
      <w:pPr>
        <w:ind w:left="420" w:hanging="420"/>
      </w:pPr>
      <w:rPr>
        <w:rFonts w:hint="default"/>
        <w:lang w:val="en-US" w:eastAsia="en-US" w:bidi="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99841DE"/>
    <w:multiLevelType w:val="hybridMultilevel"/>
    <w:tmpl w:val="36CA4010"/>
    <w:lvl w:ilvl="0" w:tplc="155CBBCE">
      <w:start w:val="1"/>
      <w:numFmt w:val="upperRoman"/>
      <w:lvlText w:val="%1."/>
      <w:lvlJc w:val="left"/>
      <w:pPr>
        <w:ind w:left="940" w:hanging="720"/>
        <w:jc w:val="left"/>
      </w:pPr>
      <w:rPr>
        <w:rFonts w:ascii="Times New Roman" w:eastAsia="Times New Roman" w:hAnsi="Times New Roman" w:cs="Times New Roman" w:hint="default"/>
        <w:b/>
        <w:bCs/>
        <w:w w:val="99"/>
        <w:sz w:val="24"/>
        <w:szCs w:val="24"/>
        <w:lang w:val="en-US" w:eastAsia="en-US" w:bidi="en-US"/>
      </w:rPr>
    </w:lvl>
    <w:lvl w:ilvl="1" w:tplc="6DD86B4E">
      <w:numFmt w:val="bullet"/>
      <w:lvlText w:val=""/>
      <w:lvlJc w:val="left"/>
      <w:pPr>
        <w:ind w:left="940" w:hanging="360"/>
      </w:pPr>
      <w:rPr>
        <w:rFonts w:ascii="Symbol" w:eastAsia="Symbol" w:hAnsi="Symbol" w:cs="Symbol" w:hint="default"/>
        <w:w w:val="100"/>
        <w:sz w:val="24"/>
        <w:szCs w:val="24"/>
        <w:lang w:val="en-US" w:eastAsia="en-US" w:bidi="en-US"/>
      </w:rPr>
    </w:lvl>
    <w:lvl w:ilvl="2" w:tplc="12A81826">
      <w:numFmt w:val="bullet"/>
      <w:lvlText w:val="•"/>
      <w:lvlJc w:val="left"/>
      <w:pPr>
        <w:ind w:left="2712" w:hanging="360"/>
      </w:pPr>
      <w:rPr>
        <w:rFonts w:hint="default"/>
        <w:lang w:val="en-US" w:eastAsia="en-US" w:bidi="en-US"/>
      </w:rPr>
    </w:lvl>
    <w:lvl w:ilvl="3" w:tplc="EF1A74E0">
      <w:numFmt w:val="bullet"/>
      <w:lvlText w:val="•"/>
      <w:lvlJc w:val="left"/>
      <w:pPr>
        <w:ind w:left="3598" w:hanging="360"/>
      </w:pPr>
      <w:rPr>
        <w:rFonts w:hint="default"/>
        <w:lang w:val="en-US" w:eastAsia="en-US" w:bidi="en-US"/>
      </w:rPr>
    </w:lvl>
    <w:lvl w:ilvl="4" w:tplc="3C24B694">
      <w:numFmt w:val="bullet"/>
      <w:lvlText w:val="•"/>
      <w:lvlJc w:val="left"/>
      <w:pPr>
        <w:ind w:left="4484" w:hanging="360"/>
      </w:pPr>
      <w:rPr>
        <w:rFonts w:hint="default"/>
        <w:lang w:val="en-US" w:eastAsia="en-US" w:bidi="en-US"/>
      </w:rPr>
    </w:lvl>
    <w:lvl w:ilvl="5" w:tplc="EF308658">
      <w:numFmt w:val="bullet"/>
      <w:lvlText w:val="•"/>
      <w:lvlJc w:val="left"/>
      <w:pPr>
        <w:ind w:left="5370" w:hanging="360"/>
      </w:pPr>
      <w:rPr>
        <w:rFonts w:hint="default"/>
        <w:lang w:val="en-US" w:eastAsia="en-US" w:bidi="en-US"/>
      </w:rPr>
    </w:lvl>
    <w:lvl w:ilvl="6" w:tplc="783044D2">
      <w:numFmt w:val="bullet"/>
      <w:lvlText w:val="•"/>
      <w:lvlJc w:val="left"/>
      <w:pPr>
        <w:ind w:left="6256" w:hanging="360"/>
      </w:pPr>
      <w:rPr>
        <w:rFonts w:hint="default"/>
        <w:lang w:val="en-US" w:eastAsia="en-US" w:bidi="en-US"/>
      </w:rPr>
    </w:lvl>
    <w:lvl w:ilvl="7" w:tplc="82F0D116">
      <w:numFmt w:val="bullet"/>
      <w:lvlText w:val="•"/>
      <w:lvlJc w:val="left"/>
      <w:pPr>
        <w:ind w:left="7142" w:hanging="360"/>
      </w:pPr>
      <w:rPr>
        <w:rFonts w:hint="default"/>
        <w:lang w:val="en-US" w:eastAsia="en-US" w:bidi="en-US"/>
      </w:rPr>
    </w:lvl>
    <w:lvl w:ilvl="8" w:tplc="E11EBE44">
      <w:numFmt w:val="bullet"/>
      <w:lvlText w:val="•"/>
      <w:lvlJc w:val="left"/>
      <w:pPr>
        <w:ind w:left="8028" w:hanging="360"/>
      </w:pPr>
      <w:rPr>
        <w:rFonts w:hint="default"/>
        <w:lang w:val="en-US" w:eastAsia="en-US" w:bidi="en-US"/>
      </w:rPr>
    </w:lvl>
  </w:abstractNum>
  <w:abstractNum w:abstractNumId="3">
    <w:nsid w:val="6FC47341"/>
    <w:multiLevelType w:val="hybridMultilevel"/>
    <w:tmpl w:val="8548BF16"/>
    <w:lvl w:ilvl="0" w:tplc="5E5459AE">
      <w:start w:val="1"/>
      <w:numFmt w:val="upperRoman"/>
      <w:lvlText w:val="%1."/>
      <w:lvlJc w:val="left"/>
      <w:pPr>
        <w:ind w:left="940" w:hanging="720"/>
        <w:jc w:val="left"/>
      </w:pPr>
      <w:rPr>
        <w:rFonts w:ascii="Times New Roman" w:eastAsia="Times New Roman" w:hAnsi="Times New Roman" w:cs="Times New Roman" w:hint="default"/>
        <w:b/>
        <w:bCs/>
        <w:w w:val="99"/>
        <w:sz w:val="24"/>
        <w:szCs w:val="24"/>
        <w:lang w:val="en-US" w:eastAsia="en-US" w:bidi="en-US"/>
      </w:rPr>
    </w:lvl>
    <w:lvl w:ilvl="1" w:tplc="BED8D800">
      <w:numFmt w:val="bullet"/>
      <w:lvlText w:val="•"/>
      <w:lvlJc w:val="left"/>
      <w:pPr>
        <w:ind w:left="1826" w:hanging="720"/>
      </w:pPr>
      <w:rPr>
        <w:rFonts w:hint="default"/>
        <w:lang w:val="en-US" w:eastAsia="en-US" w:bidi="en-US"/>
      </w:rPr>
    </w:lvl>
    <w:lvl w:ilvl="2" w:tplc="FF864FFA">
      <w:numFmt w:val="bullet"/>
      <w:lvlText w:val="•"/>
      <w:lvlJc w:val="left"/>
      <w:pPr>
        <w:ind w:left="2712" w:hanging="720"/>
      </w:pPr>
      <w:rPr>
        <w:rFonts w:hint="default"/>
        <w:lang w:val="en-US" w:eastAsia="en-US" w:bidi="en-US"/>
      </w:rPr>
    </w:lvl>
    <w:lvl w:ilvl="3" w:tplc="960E225C">
      <w:numFmt w:val="bullet"/>
      <w:lvlText w:val="•"/>
      <w:lvlJc w:val="left"/>
      <w:pPr>
        <w:ind w:left="3598" w:hanging="720"/>
      </w:pPr>
      <w:rPr>
        <w:rFonts w:hint="default"/>
        <w:lang w:val="en-US" w:eastAsia="en-US" w:bidi="en-US"/>
      </w:rPr>
    </w:lvl>
    <w:lvl w:ilvl="4" w:tplc="81D2C740">
      <w:numFmt w:val="bullet"/>
      <w:lvlText w:val="•"/>
      <w:lvlJc w:val="left"/>
      <w:pPr>
        <w:ind w:left="4484" w:hanging="720"/>
      </w:pPr>
      <w:rPr>
        <w:rFonts w:hint="default"/>
        <w:lang w:val="en-US" w:eastAsia="en-US" w:bidi="en-US"/>
      </w:rPr>
    </w:lvl>
    <w:lvl w:ilvl="5" w:tplc="91BEA38A">
      <w:numFmt w:val="bullet"/>
      <w:lvlText w:val="•"/>
      <w:lvlJc w:val="left"/>
      <w:pPr>
        <w:ind w:left="5370" w:hanging="720"/>
      </w:pPr>
      <w:rPr>
        <w:rFonts w:hint="default"/>
        <w:lang w:val="en-US" w:eastAsia="en-US" w:bidi="en-US"/>
      </w:rPr>
    </w:lvl>
    <w:lvl w:ilvl="6" w:tplc="7A72C59E">
      <w:numFmt w:val="bullet"/>
      <w:lvlText w:val="•"/>
      <w:lvlJc w:val="left"/>
      <w:pPr>
        <w:ind w:left="6256" w:hanging="720"/>
      </w:pPr>
      <w:rPr>
        <w:rFonts w:hint="default"/>
        <w:lang w:val="en-US" w:eastAsia="en-US" w:bidi="en-US"/>
      </w:rPr>
    </w:lvl>
    <w:lvl w:ilvl="7" w:tplc="E80245FC">
      <w:numFmt w:val="bullet"/>
      <w:lvlText w:val="•"/>
      <w:lvlJc w:val="left"/>
      <w:pPr>
        <w:ind w:left="7142" w:hanging="720"/>
      </w:pPr>
      <w:rPr>
        <w:rFonts w:hint="default"/>
        <w:lang w:val="en-US" w:eastAsia="en-US" w:bidi="en-US"/>
      </w:rPr>
    </w:lvl>
    <w:lvl w:ilvl="8" w:tplc="6AAA6A74">
      <w:numFmt w:val="bullet"/>
      <w:lvlText w:val="•"/>
      <w:lvlJc w:val="left"/>
      <w:pPr>
        <w:ind w:left="8028" w:hanging="720"/>
      </w:pPr>
      <w:rPr>
        <w:rFonts w:hint="default"/>
        <w:lang w:val="en-US" w:eastAsia="en-US" w:bidi="en-US"/>
      </w:rPr>
    </w:lvl>
  </w:abstractNum>
  <w:abstractNum w:abstractNumId="4">
    <w:nsid w:val="76B379DA"/>
    <w:multiLevelType w:val="hybridMultilevel"/>
    <w:tmpl w:val="32F2FE74"/>
    <w:lvl w:ilvl="0" w:tplc="D390F540">
      <w:numFmt w:val="bullet"/>
      <w:lvlText w:val=""/>
      <w:lvlJc w:val="left"/>
      <w:pPr>
        <w:ind w:left="720" w:hanging="720"/>
      </w:pPr>
      <w:rPr>
        <w:rFonts w:ascii="Times New Roman" w:eastAsia="Symbol"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 Grace [liud33]">
    <w15:presenceInfo w15:providerId="AD" w15:userId="S::liud33@medtronic.com::0e9bfd5c-4253-41db-9f22-a3c5dfef1c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011048"/>
    <w:rsid w:val="00005FD8"/>
    <w:rsid w:val="00011048"/>
    <w:rsid w:val="00066462"/>
    <w:rsid w:val="00096E15"/>
    <w:rsid w:val="00103BB3"/>
    <w:rsid w:val="00125BA4"/>
    <w:rsid w:val="00157BF0"/>
    <w:rsid w:val="001604B2"/>
    <w:rsid w:val="001B7257"/>
    <w:rsid w:val="002A5B14"/>
    <w:rsid w:val="002B116D"/>
    <w:rsid w:val="002C2F85"/>
    <w:rsid w:val="00324977"/>
    <w:rsid w:val="003950E4"/>
    <w:rsid w:val="0046625E"/>
    <w:rsid w:val="004867CD"/>
    <w:rsid w:val="00491759"/>
    <w:rsid w:val="00565F8E"/>
    <w:rsid w:val="005B199D"/>
    <w:rsid w:val="00622A85"/>
    <w:rsid w:val="0065142C"/>
    <w:rsid w:val="006B0E1A"/>
    <w:rsid w:val="006F1681"/>
    <w:rsid w:val="00712DC6"/>
    <w:rsid w:val="00787353"/>
    <w:rsid w:val="00797AF9"/>
    <w:rsid w:val="00841914"/>
    <w:rsid w:val="008D15C1"/>
    <w:rsid w:val="00944A04"/>
    <w:rsid w:val="00990E4E"/>
    <w:rsid w:val="00A17EBA"/>
    <w:rsid w:val="00A2428F"/>
    <w:rsid w:val="00A45BE8"/>
    <w:rsid w:val="00A529BF"/>
    <w:rsid w:val="00A578CE"/>
    <w:rsid w:val="00A97E48"/>
    <w:rsid w:val="00AA1AAF"/>
    <w:rsid w:val="00AA1C20"/>
    <w:rsid w:val="00AD543C"/>
    <w:rsid w:val="00B044A8"/>
    <w:rsid w:val="00B86E99"/>
    <w:rsid w:val="00B9149A"/>
    <w:rsid w:val="00BC41B1"/>
    <w:rsid w:val="00C0317A"/>
    <w:rsid w:val="00C146DC"/>
    <w:rsid w:val="00DA469F"/>
    <w:rsid w:val="00DC44FC"/>
    <w:rsid w:val="00E568D5"/>
    <w:rsid w:val="00E93DA1"/>
    <w:rsid w:val="00EC509B"/>
    <w:rsid w:val="00F644ED"/>
    <w:rsid w:val="00FF10B5"/>
    <w:rsid w:val="00FF2D2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0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bidi="en-US"/>
    </w:rPr>
  </w:style>
  <w:style w:type="paragraph" w:styleId="1">
    <w:name w:val="heading 1"/>
    <w:basedOn w:val="a"/>
    <w:uiPriority w:val="1"/>
    <w:qFormat/>
    <w:pPr>
      <w:ind w:left="94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120"/>
      <w:ind w:left="940" w:right="7" w:hanging="940"/>
    </w:pPr>
    <w:rPr>
      <w:b/>
      <w:bCs/>
      <w:sz w:val="24"/>
      <w:szCs w:val="24"/>
    </w:rPr>
  </w:style>
  <w:style w:type="paragraph" w:styleId="a3">
    <w:name w:val="Body Text"/>
    <w:basedOn w:val="a"/>
    <w:uiPriority w:val="1"/>
    <w:qFormat/>
    <w:rPr>
      <w:sz w:val="24"/>
      <w:szCs w:val="24"/>
    </w:rPr>
  </w:style>
  <w:style w:type="paragraph" w:styleId="a4">
    <w:name w:val="List Paragraph"/>
    <w:basedOn w:val="a"/>
    <w:uiPriority w:val="1"/>
    <w:qFormat/>
    <w:pPr>
      <w:ind w:left="940" w:hanging="720"/>
    </w:pPr>
  </w:style>
  <w:style w:type="paragraph" w:customStyle="1" w:styleId="TableParagraph">
    <w:name w:val="Table Paragraph"/>
    <w:basedOn w:val="a"/>
    <w:uiPriority w:val="1"/>
    <w:qFormat/>
  </w:style>
  <w:style w:type="paragraph" w:styleId="a5">
    <w:name w:val="header"/>
    <w:basedOn w:val="a"/>
    <w:link w:val="Char"/>
    <w:uiPriority w:val="99"/>
    <w:unhideWhenUsed/>
    <w:rsid w:val="002C2F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C2F85"/>
    <w:rPr>
      <w:rFonts w:ascii="Times New Roman" w:eastAsia="Times New Roman" w:hAnsi="Times New Roman" w:cs="Times New Roman"/>
      <w:sz w:val="18"/>
      <w:szCs w:val="18"/>
      <w:lang w:bidi="en-US"/>
    </w:rPr>
  </w:style>
  <w:style w:type="paragraph" w:styleId="a6">
    <w:name w:val="footer"/>
    <w:basedOn w:val="a"/>
    <w:link w:val="Char0"/>
    <w:uiPriority w:val="99"/>
    <w:unhideWhenUsed/>
    <w:rsid w:val="002C2F85"/>
    <w:pPr>
      <w:tabs>
        <w:tab w:val="center" w:pos="4153"/>
        <w:tab w:val="right" w:pos="8306"/>
      </w:tabs>
      <w:snapToGrid w:val="0"/>
    </w:pPr>
    <w:rPr>
      <w:sz w:val="18"/>
      <w:szCs w:val="18"/>
    </w:rPr>
  </w:style>
  <w:style w:type="character" w:customStyle="1" w:styleId="Char0">
    <w:name w:val="页脚 Char"/>
    <w:basedOn w:val="a0"/>
    <w:link w:val="a6"/>
    <w:uiPriority w:val="99"/>
    <w:rsid w:val="002C2F85"/>
    <w:rPr>
      <w:rFonts w:ascii="Times New Roman" w:eastAsia="Times New Roman" w:hAnsi="Times New Roman" w:cs="Times New Roman"/>
      <w:sz w:val="18"/>
      <w:szCs w:val="18"/>
      <w:lang w:bidi="en-US"/>
    </w:rPr>
  </w:style>
  <w:style w:type="paragraph" w:customStyle="1" w:styleId="Default">
    <w:name w:val="Default"/>
    <w:rsid w:val="002C2F85"/>
    <w:pPr>
      <w:adjustRightInd w:val="0"/>
    </w:pPr>
    <w:rPr>
      <w:rFonts w:ascii="Times New Roman" w:hAnsi="Times New Roman" w:cs="Times New Roman"/>
      <w:color w:val="000000"/>
      <w:sz w:val="24"/>
      <w:szCs w:val="24"/>
    </w:rPr>
  </w:style>
  <w:style w:type="character" w:styleId="a7">
    <w:name w:val="Hyperlink"/>
    <w:basedOn w:val="a0"/>
    <w:uiPriority w:val="99"/>
    <w:unhideWhenUsed/>
    <w:rsid w:val="00B86E99"/>
    <w:rPr>
      <w:color w:val="0000FF" w:themeColor="hyperlink"/>
      <w:u w:val="single"/>
    </w:rPr>
  </w:style>
  <w:style w:type="paragraph" w:styleId="a8">
    <w:name w:val="Balloon Text"/>
    <w:basedOn w:val="a"/>
    <w:link w:val="Char1"/>
    <w:uiPriority w:val="99"/>
    <w:semiHidden/>
    <w:unhideWhenUsed/>
    <w:rsid w:val="00B86E99"/>
    <w:rPr>
      <w:sz w:val="18"/>
      <w:szCs w:val="18"/>
    </w:rPr>
  </w:style>
  <w:style w:type="character" w:customStyle="1" w:styleId="Char1">
    <w:name w:val="批注框文本 Char"/>
    <w:basedOn w:val="a0"/>
    <w:link w:val="a8"/>
    <w:uiPriority w:val="99"/>
    <w:semiHidden/>
    <w:rsid w:val="00B86E99"/>
    <w:rPr>
      <w:rFonts w:ascii="Times New Roman" w:eastAsia="Times New Roman" w:hAnsi="Times New Roman" w:cs="Times New Roman"/>
      <w:sz w:val="18"/>
      <w:szCs w:val="18"/>
      <w:lang w:bidi="en-US"/>
    </w:rPr>
  </w:style>
  <w:style w:type="character" w:customStyle="1" w:styleId="11">
    <w:name w:val="未处理的提及1"/>
    <w:basedOn w:val="a0"/>
    <w:uiPriority w:val="99"/>
    <w:semiHidden/>
    <w:unhideWhenUsed/>
    <w:rsid w:val="00787353"/>
    <w:rPr>
      <w:color w:val="605E5C"/>
      <w:shd w:val="clear" w:color="auto" w:fill="E1DFDD"/>
    </w:rPr>
  </w:style>
  <w:style w:type="paragraph" w:styleId="a9">
    <w:name w:val="Revision"/>
    <w:hidden/>
    <w:uiPriority w:val="99"/>
    <w:semiHidden/>
    <w:rsid w:val="00F644ED"/>
    <w:pPr>
      <w:widowControl/>
      <w:autoSpaceDE/>
      <w:autoSpaceDN/>
    </w:pPr>
    <w:rPr>
      <w:rFonts w:ascii="Times New Roman" w:eastAsia="Times New Roman" w:hAnsi="Times New Roman"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CAB6E-37A1-4742-B70A-19EAF295A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Testing for Biotin Interference in In Vitro Diagnostic Devices; Guidance for Industry</vt:lpstr>
    </vt:vector>
  </TitlesOfParts>
  <Company/>
  <LinksUpToDate>false</LinksUpToDate>
  <CharactersWithSpaces>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for Biotin Interference in In Vitro Diagnostic Devices; Guidance for Industry</dc:title>
  <dc:subject>Testing for Biotin Interference in In Vitro Diagnostic Devices; Guidance for Industry</dc:subject>
  <dc:creator>FDA/CBER</dc:creator>
  <cp:keywords>Testing for Biotin Interference in In Vitro Diagnostic Devices, Final Guidance, CBER, Biologics, October 2020</cp:keywords>
  <cp:lastModifiedBy>EDZ</cp:lastModifiedBy>
  <cp:revision>29</cp:revision>
  <dcterms:created xsi:type="dcterms:W3CDTF">2021-11-10T09:01:00Z</dcterms:created>
  <dcterms:modified xsi:type="dcterms:W3CDTF">2022-06-08T09:54:00Z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2020-10-15T00:00:00Z</vt:filetime>
  </property>
  <property fmtid="{D5CDD505-2E9C-101B-9397-08002B2CF9AE}" pid="3" name="Creator">
    <vt:lpwstr>Acrobat PDFMaker 11 for Word</vt:lpwstr>
  </property>
  <property fmtid="{D5CDD505-2E9C-101B-9397-08002B2CF9AE}" pid="4" name="LastSaved">
    <vt:filetime>2021-11-09T00:00:00Z</vt:filetime>
  </property>
</Properties>
</file>