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A9F3" w14:textId="77777777" w:rsidR="00EA42FA" w:rsidRPr="00C563AB" w:rsidRDefault="00E312EA" w:rsidP="007C0ED2">
      <w:pPr>
        <w:pBdr>
          <w:bottom w:val="single" w:sz="4" w:space="1" w:color="auto"/>
        </w:pBdr>
        <w:adjustRightInd w:val="0"/>
        <w:snapToGrid w:val="0"/>
        <w:spacing w:beforeLines="50" w:before="120" w:line="300" w:lineRule="auto"/>
        <w:jc w:val="center"/>
        <w:rPr>
          <w:rFonts w:ascii="Times New Roman" w:eastAsia="宋体" w:hAnsi="Times New Roman" w:cs="Times New Roman"/>
          <w:b/>
          <w:sz w:val="44"/>
          <w:szCs w:val="44"/>
          <w:lang w:eastAsia="zh-CN"/>
        </w:rPr>
      </w:pPr>
      <w:r w:rsidRPr="00C563AB">
        <w:rPr>
          <w:rFonts w:ascii="Times New Roman" w:eastAsia="宋体" w:hAnsi="Times New Roman" w:cs="宋体"/>
          <w:b/>
          <w:sz w:val="44"/>
          <w:lang w:eastAsia="zh-CN"/>
        </w:rPr>
        <w:t>选择更新外周血管斑块旋切器械</w:t>
      </w:r>
      <w:r w:rsidRPr="00C563AB">
        <w:rPr>
          <w:rFonts w:ascii="Times New Roman" w:eastAsia="宋体" w:hAnsi="Times New Roman" w:cs="宋体"/>
          <w:b/>
          <w:sz w:val="44"/>
          <w:lang w:eastAsia="zh-CN"/>
        </w:rPr>
        <w:t xml:space="preserve"> -</w:t>
      </w:r>
      <w:r w:rsidRPr="00C563AB">
        <w:rPr>
          <w:rFonts w:ascii="Times New Roman" w:eastAsia="宋体" w:hAnsi="Times New Roman" w:cs="宋体"/>
          <w:b/>
          <w:sz w:val="44"/>
          <w:lang w:eastAsia="zh-CN"/>
        </w:rPr>
        <w:t>上市前通知</w:t>
      </w:r>
      <w:r w:rsidRPr="00C563AB">
        <w:rPr>
          <w:rFonts w:ascii="Times New Roman" w:eastAsia="宋体" w:hAnsi="Times New Roman" w:cs="宋体"/>
          <w:b/>
          <w:sz w:val="44"/>
          <w:lang w:eastAsia="zh-CN"/>
        </w:rPr>
        <w:t>[510(k)]</w:t>
      </w:r>
      <w:r w:rsidRPr="00C563AB">
        <w:rPr>
          <w:rFonts w:ascii="Times New Roman" w:eastAsia="宋体" w:hAnsi="Times New Roman" w:cs="宋体"/>
          <w:b/>
          <w:sz w:val="44"/>
          <w:lang w:eastAsia="zh-CN"/>
        </w:rPr>
        <w:t>申请</w:t>
      </w:r>
    </w:p>
    <w:p w14:paraId="6B77B39B" w14:textId="394AFA78" w:rsidR="00EA42FA" w:rsidRPr="00C563AB" w:rsidRDefault="00E312EA" w:rsidP="007C0ED2">
      <w:pPr>
        <w:adjustRightInd w:val="0"/>
        <w:snapToGrid w:val="0"/>
        <w:spacing w:beforeLines="50" w:before="120" w:line="300" w:lineRule="auto"/>
        <w:jc w:val="center"/>
        <w:rPr>
          <w:rFonts w:ascii="Times New Roman" w:eastAsia="宋体" w:hAnsi="Times New Roman" w:cs="Times New Roman"/>
          <w:b/>
          <w:sz w:val="44"/>
          <w:szCs w:val="44"/>
          <w:lang w:eastAsia="zh-CN"/>
        </w:rPr>
      </w:pPr>
      <w:r w:rsidRPr="00C563AB">
        <w:rPr>
          <w:rFonts w:ascii="Times New Roman" w:eastAsia="宋体" w:hAnsi="Times New Roman" w:cs="宋体"/>
          <w:b/>
          <w:sz w:val="44"/>
          <w:lang w:eastAsia="zh-CN"/>
        </w:rPr>
        <w:t>行业和美国食品</w:t>
      </w:r>
      <w:r w:rsidR="00692E5D" w:rsidRPr="00C563AB">
        <w:rPr>
          <w:rFonts w:ascii="Times New Roman" w:eastAsia="宋体" w:hAnsi="Times New Roman" w:cs="宋体"/>
          <w:b/>
          <w:sz w:val="44"/>
          <w:lang w:eastAsia="zh-CN"/>
        </w:rPr>
        <w:t>药品</w:t>
      </w:r>
      <w:r w:rsidR="00F60468" w:rsidRPr="00C563AB">
        <w:rPr>
          <w:rFonts w:ascii="Times New Roman" w:eastAsia="宋体" w:hAnsi="Times New Roman" w:cs="宋体"/>
          <w:b/>
          <w:sz w:val="44"/>
          <w:lang w:eastAsia="zh-CN"/>
        </w:rPr>
        <w:t>监督</w:t>
      </w:r>
      <w:r w:rsidR="00692E5D" w:rsidRPr="00C563AB">
        <w:rPr>
          <w:rFonts w:ascii="Times New Roman" w:eastAsia="宋体" w:hAnsi="Times New Roman" w:cs="宋体"/>
          <w:b/>
          <w:sz w:val="44"/>
          <w:lang w:eastAsia="zh-CN"/>
        </w:rPr>
        <w:t>管理局</w:t>
      </w:r>
      <w:r w:rsidRPr="00C563AB">
        <w:rPr>
          <w:rFonts w:ascii="Times New Roman" w:eastAsia="宋体" w:hAnsi="Times New Roman" w:cs="宋体"/>
          <w:b/>
          <w:sz w:val="44"/>
          <w:lang w:eastAsia="zh-CN"/>
        </w:rPr>
        <w:t>工作人员指南草案</w:t>
      </w:r>
    </w:p>
    <w:p w14:paraId="6A322376" w14:textId="77777777" w:rsidR="00EA42FA" w:rsidRPr="00C563AB" w:rsidRDefault="00E312EA" w:rsidP="007C0ED2">
      <w:pPr>
        <w:adjustRightInd w:val="0"/>
        <w:snapToGrid w:val="0"/>
        <w:spacing w:beforeLines="50" w:before="120" w:line="300" w:lineRule="auto"/>
        <w:jc w:val="center"/>
        <w:rPr>
          <w:rFonts w:ascii="Times New Roman" w:eastAsia="宋体" w:hAnsi="Times New Roman" w:cs="Times New Roman"/>
          <w:b/>
          <w:snapToGrid w:val="0"/>
          <w:lang w:eastAsia="zh-CN"/>
        </w:rPr>
      </w:pPr>
      <w:r w:rsidRPr="00C563AB">
        <w:rPr>
          <w:rFonts w:ascii="Times New Roman" w:eastAsia="宋体" w:hAnsi="Times New Roman" w:cs="宋体"/>
          <w:b/>
          <w:i/>
          <w:lang w:eastAsia="zh-CN"/>
        </w:rPr>
        <w:t>指南草案</w:t>
      </w:r>
    </w:p>
    <w:p w14:paraId="20876446" w14:textId="77777777" w:rsidR="00EA42FA" w:rsidRPr="00C563AB" w:rsidRDefault="00E312EA" w:rsidP="00C563AB">
      <w:pPr>
        <w:adjustRightInd w:val="0"/>
        <w:snapToGrid w:val="0"/>
        <w:spacing w:beforeLines="50" w:before="120" w:line="300" w:lineRule="auto"/>
        <w:jc w:val="center"/>
        <w:rPr>
          <w:rFonts w:ascii="Times New Roman" w:eastAsia="宋体" w:hAnsi="Times New Roman" w:cs="Times New Roman"/>
          <w:b/>
          <w:snapToGrid w:val="0"/>
          <w:lang w:eastAsia="zh-CN"/>
        </w:rPr>
      </w:pPr>
      <w:r w:rsidRPr="00C563AB">
        <w:rPr>
          <w:rFonts w:ascii="Times New Roman" w:eastAsia="宋体" w:hAnsi="Times New Roman" w:cs="宋体"/>
          <w:b/>
          <w:lang w:eastAsia="zh-CN"/>
        </w:rPr>
        <w:t>本指南草案仅供征求意见。</w:t>
      </w:r>
    </w:p>
    <w:p w14:paraId="051E9552" w14:textId="77777777" w:rsidR="00EA42FA" w:rsidRPr="00C563AB" w:rsidRDefault="00E312EA" w:rsidP="00C563AB">
      <w:pPr>
        <w:adjustRightInd w:val="0"/>
        <w:snapToGrid w:val="0"/>
        <w:spacing w:beforeLines="50" w:before="120" w:line="300" w:lineRule="auto"/>
        <w:jc w:val="center"/>
        <w:rPr>
          <w:rFonts w:ascii="Times New Roman" w:eastAsia="宋体" w:hAnsi="Times New Roman" w:cs="Times New Roman"/>
          <w:b/>
          <w:snapToGrid w:val="0"/>
          <w:lang w:eastAsia="zh-CN"/>
        </w:rPr>
      </w:pPr>
      <w:r w:rsidRPr="00C563AB">
        <w:rPr>
          <w:rFonts w:ascii="Times New Roman" w:eastAsia="宋体" w:hAnsi="Times New Roman" w:cs="宋体"/>
          <w:b/>
          <w:lang w:eastAsia="zh-CN"/>
        </w:rPr>
        <w:t>本文件发布时间：</w:t>
      </w:r>
      <w:r w:rsidRPr="00C563AB">
        <w:rPr>
          <w:rFonts w:ascii="Times New Roman" w:eastAsia="宋体" w:hAnsi="Times New Roman" w:cs="宋体"/>
          <w:b/>
          <w:lang w:eastAsia="zh-CN"/>
        </w:rPr>
        <w:t>2020</w:t>
      </w:r>
      <w:r w:rsidRPr="00C563AB">
        <w:rPr>
          <w:rFonts w:ascii="Times New Roman" w:eastAsia="宋体" w:hAnsi="Times New Roman" w:cs="宋体"/>
          <w:b/>
          <w:lang w:eastAsia="zh-CN"/>
        </w:rPr>
        <w:t>年</w:t>
      </w:r>
      <w:r w:rsidRPr="00C563AB">
        <w:rPr>
          <w:rFonts w:ascii="Times New Roman" w:eastAsia="宋体" w:hAnsi="Times New Roman" w:cs="宋体"/>
          <w:b/>
          <w:lang w:eastAsia="zh-CN"/>
        </w:rPr>
        <w:t>7</w:t>
      </w:r>
      <w:r w:rsidRPr="00C563AB">
        <w:rPr>
          <w:rFonts w:ascii="Times New Roman" w:eastAsia="宋体" w:hAnsi="Times New Roman" w:cs="宋体"/>
          <w:b/>
          <w:lang w:eastAsia="zh-CN"/>
        </w:rPr>
        <w:t>月</w:t>
      </w:r>
      <w:r w:rsidRPr="00C563AB">
        <w:rPr>
          <w:rFonts w:ascii="Times New Roman" w:eastAsia="宋体" w:hAnsi="Times New Roman" w:cs="宋体"/>
          <w:b/>
          <w:lang w:eastAsia="zh-CN"/>
        </w:rPr>
        <w:t>13</w:t>
      </w:r>
      <w:r w:rsidRPr="00C563AB">
        <w:rPr>
          <w:rFonts w:ascii="Times New Roman" w:eastAsia="宋体" w:hAnsi="Times New Roman" w:cs="宋体"/>
          <w:b/>
          <w:lang w:eastAsia="zh-CN"/>
        </w:rPr>
        <w:t>日</w:t>
      </w:r>
    </w:p>
    <w:p w14:paraId="6A3EC515" w14:textId="640D76D5" w:rsidR="00EA42FA" w:rsidRPr="007C0ED2" w:rsidRDefault="00EE2FEF" w:rsidP="007C0ED2">
      <w:pPr>
        <w:adjustRightInd w:val="0"/>
        <w:snapToGrid w:val="0"/>
        <w:spacing w:beforeLines="50" w:before="120" w:line="300" w:lineRule="auto"/>
        <w:jc w:val="both"/>
        <w:rPr>
          <w:rFonts w:ascii="Times New Roman" w:eastAsia="宋体" w:hAnsi="Times New Roman" w:cs="Times New Roman"/>
          <w:snapToGrid w:val="0"/>
          <w:lang w:eastAsia="zh-CN"/>
        </w:rPr>
      </w:pPr>
      <w:r>
        <w:rPr>
          <w:rFonts w:ascii="Times New Roman" w:eastAsia="宋体" w:hAnsi="Times New Roman" w:cs="宋体" w:hint="eastAsia"/>
          <w:lang w:eastAsia="zh-CN"/>
        </w:rPr>
        <w:t>请</w:t>
      </w:r>
      <w:r w:rsidR="00E312EA" w:rsidRPr="007C0ED2">
        <w:rPr>
          <w:rFonts w:ascii="Times New Roman" w:eastAsia="宋体" w:hAnsi="Times New Roman" w:cs="宋体"/>
          <w:lang w:eastAsia="zh-CN"/>
        </w:rPr>
        <w:t>在《联邦公报》</w:t>
      </w:r>
      <w:r w:rsidRPr="00EE2FEF">
        <w:rPr>
          <w:rFonts w:ascii="Times New Roman" w:eastAsia="宋体" w:hAnsi="Times New Roman" w:cs="宋体" w:hint="eastAsia"/>
          <w:lang w:eastAsia="zh-CN"/>
        </w:rPr>
        <w:t>刊登本指南草案的发布通知后</w:t>
      </w:r>
      <w:r w:rsidRPr="00EE2FEF">
        <w:rPr>
          <w:rFonts w:ascii="Times New Roman" w:eastAsia="宋体" w:hAnsi="Times New Roman" w:cs="宋体"/>
          <w:lang w:eastAsia="zh-CN"/>
        </w:rPr>
        <w:t>60</w:t>
      </w:r>
      <w:r w:rsidRPr="00EE2FEF">
        <w:rPr>
          <w:rFonts w:ascii="Times New Roman" w:eastAsia="宋体" w:hAnsi="Times New Roman" w:cs="宋体"/>
          <w:lang w:eastAsia="zh-CN"/>
        </w:rPr>
        <w:t>天之内提交对本文件指南草案的意见和建议。</w:t>
      </w:r>
      <w:r w:rsidR="00E312EA" w:rsidRPr="007C0ED2">
        <w:rPr>
          <w:rFonts w:ascii="Times New Roman" w:eastAsia="宋体" w:hAnsi="Times New Roman" w:cs="宋体"/>
          <w:lang w:eastAsia="zh-CN"/>
        </w:rPr>
        <w:t>请将电子版意见或建议提交至：</w:t>
      </w:r>
      <w:hyperlink r:id="rId8" w:history="1">
        <w:r w:rsidR="00E312EA" w:rsidRPr="007C0ED2">
          <w:rPr>
            <w:rFonts w:ascii="Times New Roman" w:eastAsia="宋体" w:hAnsi="Times New Roman" w:cs="宋体"/>
            <w:snapToGrid w:val="0"/>
            <w:color w:val="0000FF"/>
            <w:u w:val="single"/>
            <w:lang w:eastAsia="zh-CN"/>
          </w:rPr>
          <w:t>https://www.regulations.gov</w:t>
        </w:r>
      </w:hyperlink>
      <w:r w:rsidR="00E312EA" w:rsidRPr="007C0ED2">
        <w:rPr>
          <w:rFonts w:ascii="Times New Roman" w:eastAsia="宋体" w:hAnsi="Times New Roman" w:cs="宋体"/>
          <w:lang w:eastAsia="zh-CN"/>
        </w:rPr>
        <w:t>。书面意见提交至美国食品</w:t>
      </w:r>
      <w:r w:rsidR="00692E5D">
        <w:rPr>
          <w:rFonts w:ascii="Times New Roman" w:eastAsia="宋体" w:hAnsi="Times New Roman" w:cs="宋体"/>
          <w:lang w:eastAsia="zh-CN"/>
        </w:rPr>
        <w:t>药品</w:t>
      </w:r>
      <w:r w:rsidR="00F60468">
        <w:rPr>
          <w:rFonts w:ascii="Times New Roman" w:eastAsia="宋体" w:hAnsi="Times New Roman" w:cs="宋体"/>
          <w:lang w:eastAsia="zh-CN"/>
        </w:rPr>
        <w:t>监督</w:t>
      </w:r>
      <w:r w:rsidR="00692E5D">
        <w:rPr>
          <w:rFonts w:ascii="Times New Roman" w:eastAsia="宋体" w:hAnsi="Times New Roman" w:cs="宋体"/>
          <w:lang w:eastAsia="zh-CN"/>
        </w:rPr>
        <w:t>管理局</w:t>
      </w:r>
      <w:r w:rsidRPr="00EE2FEF">
        <w:rPr>
          <w:rFonts w:ascii="Times New Roman" w:eastAsia="宋体" w:hAnsi="Times New Roman" w:cs="宋体" w:hint="eastAsia"/>
          <w:lang w:eastAsia="zh-CN"/>
        </w:rPr>
        <w:t>备案文件管理部</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HFA-305</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 xml:space="preserve">5630 Fishers Lane, </w:t>
      </w:r>
      <w:r>
        <w:rPr>
          <w:rFonts w:ascii="Times New Roman" w:eastAsia="宋体" w:hAnsi="Times New Roman" w:cs="宋体" w:hint="eastAsia"/>
          <w:lang w:eastAsia="zh-CN"/>
        </w:rPr>
        <w:t>Roo</w:t>
      </w:r>
      <w:r w:rsidR="00E312EA" w:rsidRPr="007C0ED2">
        <w:rPr>
          <w:rFonts w:ascii="Times New Roman" w:eastAsia="宋体" w:hAnsi="Times New Roman" w:cs="宋体"/>
          <w:lang w:eastAsia="zh-CN"/>
        </w:rPr>
        <w:t>m</w:t>
      </w:r>
      <w:r w:rsidR="00692E5D">
        <w:rPr>
          <w:rFonts w:ascii="Times New Roman" w:eastAsia="宋体" w:hAnsi="Times New Roman" w:cs="宋体" w:hint="eastAsia"/>
          <w:lang w:eastAsia="zh-CN"/>
        </w:rPr>
        <w:t>.</w:t>
      </w:r>
      <w:r w:rsidR="00692E5D">
        <w:rPr>
          <w:rFonts w:ascii="Times New Roman" w:eastAsia="宋体" w:hAnsi="Times New Roman" w:cs="宋体"/>
          <w:lang w:eastAsia="zh-CN"/>
        </w:rPr>
        <w:t xml:space="preserve"> </w:t>
      </w:r>
      <w:r w:rsidR="00E312EA" w:rsidRPr="007C0ED2">
        <w:rPr>
          <w:rFonts w:ascii="Times New Roman" w:eastAsia="宋体" w:hAnsi="Times New Roman" w:cs="宋体"/>
          <w:lang w:eastAsia="zh-CN"/>
        </w:rPr>
        <w:t>1061, Rockville, MD 20852</w:t>
      </w:r>
      <w:r w:rsidR="00692E5D">
        <w:rPr>
          <w:rFonts w:ascii="Times New Roman" w:eastAsia="宋体" w:hAnsi="Times New Roman" w:cs="宋体" w:hint="eastAsia"/>
          <w:lang w:eastAsia="zh-CN"/>
        </w:rPr>
        <w:t>。</w:t>
      </w:r>
      <w:r w:rsidRPr="00EE2FEF">
        <w:rPr>
          <w:rFonts w:ascii="Times New Roman" w:eastAsia="宋体" w:hAnsi="Times New Roman" w:cs="宋体" w:hint="eastAsia"/>
          <w:lang w:eastAsia="zh-CN"/>
        </w:rPr>
        <w:t>所有意见均应注明《联邦公报》发布的通知中列示的备案文件编号。</w:t>
      </w:r>
      <w:r w:rsidR="00E312EA" w:rsidRPr="007C0ED2">
        <w:rPr>
          <w:rFonts w:ascii="Times New Roman" w:eastAsia="宋体" w:hAnsi="Times New Roman" w:cs="宋体"/>
          <w:lang w:eastAsia="zh-CN"/>
        </w:rPr>
        <w:t>如对本文件有任何疑问，请联系</w:t>
      </w:r>
      <w:r w:rsidR="00E312EA" w:rsidRPr="007C0ED2">
        <w:rPr>
          <w:rFonts w:ascii="Times New Roman" w:eastAsia="宋体" w:hAnsi="Times New Roman" w:cs="宋体"/>
          <w:lang w:eastAsia="zh-CN"/>
        </w:rPr>
        <w:t>OHT2</w:t>
      </w:r>
      <w:r w:rsidR="00E312EA" w:rsidRPr="007C0ED2">
        <w:rPr>
          <w:rFonts w:ascii="Times New Roman" w:eastAsia="宋体" w:hAnsi="Times New Roman" w:cs="宋体"/>
          <w:lang w:eastAsia="zh-CN"/>
        </w:rPr>
        <w:t>：心血管器械办公室</w:t>
      </w:r>
      <w:r w:rsidR="00E312EA" w:rsidRPr="007C0ED2">
        <w:rPr>
          <w:rFonts w:ascii="Times New Roman" w:eastAsia="宋体" w:hAnsi="Times New Roman" w:cs="宋体"/>
          <w:lang w:eastAsia="zh-CN"/>
        </w:rPr>
        <w:t>/C</w:t>
      </w:r>
      <w:r w:rsidR="00E312EA" w:rsidRPr="007C0ED2">
        <w:rPr>
          <w:rFonts w:ascii="Times New Roman" w:eastAsia="宋体" w:hAnsi="Times New Roman" w:cs="宋体"/>
          <w:lang w:eastAsia="zh-CN"/>
        </w:rPr>
        <w:t>部门：冠状动脉和外周介入器械部门</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斑块修饰团队，电话：（</w:t>
      </w:r>
      <w:r w:rsidR="00E312EA" w:rsidRPr="007C0ED2">
        <w:rPr>
          <w:rFonts w:ascii="Times New Roman" w:eastAsia="宋体" w:hAnsi="Times New Roman" w:cs="宋体"/>
          <w:lang w:eastAsia="zh-CN"/>
        </w:rPr>
        <w:t>301</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796-2520</w:t>
      </w:r>
      <w:r w:rsidR="00E312EA" w:rsidRPr="007C0ED2">
        <w:rPr>
          <w:rFonts w:ascii="Times New Roman" w:eastAsia="宋体" w:hAnsi="Times New Roman" w:cs="宋体"/>
          <w:lang w:eastAsia="zh-CN"/>
        </w:rPr>
        <w:t>。</w:t>
      </w:r>
    </w:p>
    <w:p w14:paraId="051BB08B" w14:textId="77777777" w:rsidR="00EA42FA" w:rsidRPr="007C0ED2" w:rsidRDefault="00E312EA" w:rsidP="007C0ED2">
      <w:pPr>
        <w:adjustRightInd w:val="0"/>
        <w:snapToGrid w:val="0"/>
        <w:spacing w:beforeLines="50" w:before="120" w:line="300" w:lineRule="auto"/>
        <w:rPr>
          <w:rFonts w:ascii="Times New Roman" w:eastAsia="宋体" w:hAnsi="Times New Roman" w:cs="Times New Roman"/>
          <w:snapToGrid w:val="0"/>
          <w:lang w:eastAsia="zh-CN"/>
        </w:rPr>
      </w:pPr>
      <w:r w:rsidRPr="007C0ED2">
        <w:rPr>
          <w:rFonts w:ascii="Times New Roman" w:eastAsia="宋体" w:hAnsi="Times New Roman" w:cs="宋体"/>
          <w:lang w:eastAsia="zh-CN"/>
        </w:rPr>
        <w:t>本指南在最终定稿时将更新并取代</w:t>
      </w:r>
      <w:r w:rsidRPr="007C0ED2">
        <w:rPr>
          <w:rFonts w:ascii="Times New Roman" w:eastAsia="宋体" w:hAnsi="Times New Roman" w:cs="宋体"/>
          <w:lang w:eastAsia="zh-CN"/>
        </w:rPr>
        <w:t>2020</w:t>
      </w:r>
      <w:r w:rsidRPr="007C0ED2">
        <w:rPr>
          <w:rFonts w:ascii="Times New Roman" w:eastAsia="宋体" w:hAnsi="Times New Roman" w:cs="宋体"/>
          <w:lang w:eastAsia="zh-CN"/>
        </w:rPr>
        <w:t>年</w:t>
      </w:r>
      <w:r w:rsidRPr="007C0ED2">
        <w:rPr>
          <w:rFonts w:ascii="Times New Roman" w:eastAsia="宋体" w:hAnsi="Times New Roman" w:cs="宋体"/>
          <w:lang w:eastAsia="zh-CN"/>
        </w:rPr>
        <w:t>2</w:t>
      </w:r>
      <w:r w:rsidRPr="007C0ED2">
        <w:rPr>
          <w:rFonts w:ascii="Times New Roman" w:eastAsia="宋体" w:hAnsi="Times New Roman" w:cs="宋体"/>
          <w:lang w:eastAsia="zh-CN"/>
        </w:rPr>
        <w:t>月</w:t>
      </w:r>
      <w:r w:rsidRPr="007C0ED2">
        <w:rPr>
          <w:rFonts w:ascii="Times New Roman" w:eastAsia="宋体" w:hAnsi="Times New Roman" w:cs="宋体"/>
          <w:lang w:eastAsia="zh-CN"/>
        </w:rPr>
        <w:t>13</w:t>
      </w:r>
      <w:r w:rsidRPr="007C0ED2">
        <w:rPr>
          <w:rFonts w:ascii="Times New Roman" w:eastAsia="宋体" w:hAnsi="Times New Roman" w:cs="宋体"/>
          <w:lang w:eastAsia="zh-CN"/>
        </w:rPr>
        <w:t>日发布的《外周血管斑块旋切器械</w:t>
      </w:r>
      <w:r w:rsidRPr="007C0ED2">
        <w:rPr>
          <w:rFonts w:ascii="Times New Roman" w:eastAsia="宋体" w:hAnsi="Times New Roman" w:cs="宋体"/>
          <w:lang w:eastAsia="zh-CN"/>
        </w:rPr>
        <w:t>-</w:t>
      </w:r>
      <w:r w:rsidRPr="007C0ED2">
        <w:rPr>
          <w:rFonts w:ascii="Times New Roman" w:eastAsia="宋体" w:hAnsi="Times New Roman" w:cs="宋体"/>
          <w:lang w:eastAsia="zh-CN"/>
        </w:rPr>
        <w:t>上市前通知</w:t>
      </w:r>
      <w:r w:rsidRPr="007C0ED2">
        <w:rPr>
          <w:rFonts w:ascii="Times New Roman" w:eastAsia="宋体" w:hAnsi="Times New Roman" w:cs="宋体"/>
          <w:lang w:eastAsia="zh-CN"/>
        </w:rPr>
        <w:t>[510(k)]</w:t>
      </w:r>
      <w:r w:rsidRPr="007C0ED2">
        <w:rPr>
          <w:rFonts w:ascii="Times New Roman" w:eastAsia="宋体" w:hAnsi="Times New Roman" w:cs="宋体"/>
          <w:lang w:eastAsia="zh-CN"/>
        </w:rPr>
        <w:t>申请》的适用章节。</w:t>
      </w:r>
    </w:p>
    <w:p w14:paraId="12507162" w14:textId="77777777" w:rsidR="0052255A" w:rsidRPr="007C0ED2" w:rsidRDefault="0052255A" w:rsidP="007C0ED2">
      <w:pPr>
        <w:adjustRightInd w:val="0"/>
        <w:snapToGrid w:val="0"/>
        <w:spacing w:beforeLines="50" w:before="120" w:line="300" w:lineRule="auto"/>
        <w:jc w:val="both"/>
        <w:rPr>
          <w:rFonts w:ascii="Times New Roman" w:eastAsia="宋体" w:hAnsi="Times New Roman" w:cs="Times New Roman"/>
          <w:b/>
          <w:bCs/>
          <w:snapToGrid w:val="0"/>
          <w:lang w:eastAsia="zh-C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2255A" w:rsidRPr="00577D04" w14:paraId="4B0CE2D5" w14:textId="77777777" w:rsidTr="0052255A">
        <w:tc>
          <w:tcPr>
            <w:tcW w:w="4643" w:type="dxa"/>
          </w:tcPr>
          <w:p w14:paraId="331A6883" w14:textId="77777777" w:rsidR="0052255A" w:rsidRPr="00577D04" w:rsidRDefault="0052255A" w:rsidP="007C0ED2">
            <w:pPr>
              <w:adjustRightInd w:val="0"/>
              <w:snapToGrid w:val="0"/>
              <w:spacing w:beforeLines="50" w:before="120" w:line="300" w:lineRule="auto"/>
              <w:jc w:val="both"/>
              <w:rPr>
                <w:rFonts w:ascii="Times New Roman" w:eastAsiaTheme="minorEastAsia" w:hAnsi="Times New Roman" w:cs="Times New Roman"/>
                <w:b/>
                <w:bCs/>
                <w:snapToGrid w:val="0"/>
                <w:lang w:eastAsia="zh-CN"/>
              </w:rPr>
            </w:pPr>
            <w:r>
              <w:rPr>
                <w:rFonts w:ascii="宋体" w:eastAsia="宋体" w:hAnsi="宋体" w:cs="宋体"/>
                <w:noProof/>
                <w:lang w:eastAsia="zh-CN" w:bidi="ar-SA"/>
              </w:rPr>
              <w:drawing>
                <wp:inline distT="0" distB="0" distL="0" distR="0" wp14:anchorId="591EA996" wp14:editId="085CCBC4">
                  <wp:extent cx="2276475" cy="643167"/>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86533" cy="646009"/>
                          </a:xfrm>
                          <a:prstGeom prst="rect">
                            <a:avLst/>
                          </a:prstGeom>
                        </pic:spPr>
                      </pic:pic>
                    </a:graphicData>
                  </a:graphic>
                </wp:inline>
              </w:drawing>
            </w:r>
          </w:p>
        </w:tc>
        <w:tc>
          <w:tcPr>
            <w:tcW w:w="4644" w:type="dxa"/>
          </w:tcPr>
          <w:p w14:paraId="17282E01" w14:textId="77777777" w:rsidR="0052255A" w:rsidRPr="007C0ED2" w:rsidRDefault="00501227" w:rsidP="007C0ED2">
            <w:pPr>
              <w:adjustRightInd w:val="0"/>
              <w:snapToGrid w:val="0"/>
              <w:spacing w:line="300" w:lineRule="auto"/>
              <w:jc w:val="right"/>
              <w:rPr>
                <w:rFonts w:ascii="Times New Roman" w:eastAsia="宋体" w:hAnsi="Times New Roman" w:cs="Times New Roman"/>
                <w:b/>
                <w:bCs/>
                <w:snapToGrid w:val="0"/>
                <w:sz w:val="21"/>
                <w:szCs w:val="21"/>
                <w:lang w:eastAsia="zh-CN"/>
              </w:rPr>
            </w:pPr>
            <w:r w:rsidRPr="007C0ED2">
              <w:rPr>
                <w:rFonts w:ascii="Times New Roman" w:eastAsia="宋体" w:hAnsi="Times New Roman" w:cs="宋体"/>
                <w:b/>
                <w:sz w:val="21"/>
                <w:lang w:eastAsia="zh-CN"/>
              </w:rPr>
              <w:t>美国卫生与公共服务部</w:t>
            </w:r>
          </w:p>
          <w:p w14:paraId="7B79899E" w14:textId="6242E2D1" w:rsidR="0052255A" w:rsidRPr="007C0ED2" w:rsidRDefault="0052255A" w:rsidP="007C0ED2">
            <w:pPr>
              <w:adjustRightInd w:val="0"/>
              <w:snapToGrid w:val="0"/>
              <w:spacing w:line="300" w:lineRule="auto"/>
              <w:jc w:val="right"/>
              <w:rPr>
                <w:rFonts w:ascii="Times New Roman" w:eastAsia="宋体" w:hAnsi="Times New Roman" w:cs="Times New Roman"/>
                <w:b/>
                <w:bCs/>
                <w:snapToGrid w:val="0"/>
                <w:sz w:val="21"/>
                <w:szCs w:val="21"/>
                <w:lang w:eastAsia="zh-CN"/>
              </w:rPr>
            </w:pPr>
            <w:r w:rsidRPr="007C0ED2">
              <w:rPr>
                <w:rFonts w:ascii="Times New Roman" w:eastAsia="宋体" w:hAnsi="Times New Roman" w:cs="宋体"/>
                <w:b/>
                <w:sz w:val="21"/>
                <w:lang w:eastAsia="zh-CN"/>
              </w:rPr>
              <w:t>美国食品</w:t>
            </w:r>
            <w:r w:rsidR="00692E5D">
              <w:rPr>
                <w:rFonts w:ascii="Times New Roman" w:eastAsia="宋体" w:hAnsi="Times New Roman" w:cs="宋体"/>
                <w:b/>
                <w:sz w:val="21"/>
                <w:lang w:eastAsia="zh-CN"/>
              </w:rPr>
              <w:t>药品</w:t>
            </w:r>
            <w:r w:rsidR="00F60468">
              <w:rPr>
                <w:rFonts w:ascii="Times New Roman" w:eastAsia="宋体" w:hAnsi="Times New Roman" w:cs="宋体"/>
                <w:b/>
                <w:sz w:val="21"/>
                <w:lang w:eastAsia="zh-CN"/>
              </w:rPr>
              <w:t>监督</w:t>
            </w:r>
            <w:r w:rsidR="00692E5D">
              <w:rPr>
                <w:rFonts w:ascii="Times New Roman" w:eastAsia="宋体" w:hAnsi="Times New Roman" w:cs="宋体"/>
                <w:b/>
                <w:sz w:val="21"/>
                <w:lang w:eastAsia="zh-CN"/>
              </w:rPr>
              <w:t>管理局</w:t>
            </w:r>
          </w:p>
          <w:p w14:paraId="00A16784" w14:textId="1BB1AF59" w:rsidR="0052255A" w:rsidRPr="00577D04" w:rsidRDefault="00F60468" w:rsidP="007C0ED2">
            <w:pPr>
              <w:adjustRightInd w:val="0"/>
              <w:snapToGrid w:val="0"/>
              <w:spacing w:line="300" w:lineRule="auto"/>
              <w:jc w:val="right"/>
              <w:rPr>
                <w:rFonts w:ascii="Times New Roman" w:eastAsiaTheme="minorEastAsia" w:hAnsi="Times New Roman" w:cs="Times New Roman"/>
                <w:snapToGrid w:val="0"/>
                <w:sz w:val="21"/>
                <w:szCs w:val="21"/>
                <w:lang w:eastAsia="zh-CN"/>
              </w:rPr>
            </w:pPr>
            <w:r>
              <w:rPr>
                <w:rFonts w:ascii="Times New Roman" w:eastAsia="宋体" w:hAnsi="Times New Roman" w:cs="宋体"/>
                <w:b/>
                <w:sz w:val="21"/>
                <w:lang w:eastAsia="zh-CN"/>
              </w:rPr>
              <w:t>医疗器械和辐射健康中心</w:t>
            </w:r>
          </w:p>
        </w:tc>
      </w:tr>
    </w:tbl>
    <w:p w14:paraId="4866E1D7" w14:textId="77777777" w:rsidR="0052255A" w:rsidRPr="007C0ED2" w:rsidRDefault="0052255A" w:rsidP="007C0ED2">
      <w:pPr>
        <w:adjustRightInd w:val="0"/>
        <w:snapToGrid w:val="0"/>
        <w:spacing w:beforeLines="50" w:before="120" w:line="300" w:lineRule="auto"/>
        <w:jc w:val="both"/>
        <w:rPr>
          <w:rFonts w:ascii="Times New Roman" w:eastAsia="宋体" w:hAnsi="Times New Roman" w:cs="Times New Roman"/>
          <w:b/>
          <w:bCs/>
          <w:snapToGrid w:val="0"/>
          <w:lang w:eastAsia="zh-CN"/>
        </w:rPr>
      </w:pPr>
    </w:p>
    <w:p w14:paraId="2DF2DFF4" w14:textId="77777777" w:rsidR="0052255A" w:rsidRPr="007C0ED2" w:rsidRDefault="0052255A" w:rsidP="007C0ED2">
      <w:pPr>
        <w:rPr>
          <w:rFonts w:ascii="Times New Roman" w:eastAsia="宋体" w:hAnsi="Times New Roman" w:cs="Times New Roman"/>
          <w:snapToGrid w:val="0"/>
          <w:lang w:eastAsia="zh-CN"/>
        </w:rPr>
      </w:pPr>
      <w:r w:rsidRPr="007C0ED2">
        <w:rPr>
          <w:rFonts w:ascii="Times New Roman" w:eastAsia="宋体" w:hAnsi="Times New Roman" w:cs="宋体"/>
          <w:lang w:eastAsia="zh-CN"/>
        </w:rPr>
        <w:br w:type="page"/>
      </w:r>
    </w:p>
    <w:p w14:paraId="59866E3A" w14:textId="77777777" w:rsidR="00EA42FA" w:rsidRPr="007C0ED2" w:rsidRDefault="00E312EA" w:rsidP="007C0ED2">
      <w:pPr>
        <w:pStyle w:val="a6"/>
        <w:adjustRightInd w:val="0"/>
        <w:snapToGrid w:val="0"/>
        <w:spacing w:beforeLines="50" w:before="120" w:after="0" w:line="300" w:lineRule="auto"/>
        <w:jc w:val="center"/>
        <w:rPr>
          <w:rFonts w:eastAsia="宋体"/>
          <w:snapToGrid w:val="0"/>
          <w:sz w:val="32"/>
          <w:szCs w:val="32"/>
          <w:lang w:eastAsia="zh-CN"/>
        </w:rPr>
      </w:pPr>
      <w:r w:rsidRPr="007C0ED2">
        <w:rPr>
          <w:rFonts w:eastAsia="宋体" w:cs="宋体"/>
          <w:b/>
          <w:sz w:val="32"/>
          <w:lang w:eastAsia="zh-CN"/>
        </w:rPr>
        <w:lastRenderedPageBreak/>
        <w:t>前言</w:t>
      </w:r>
    </w:p>
    <w:p w14:paraId="153F9811"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sz w:val="32"/>
          <w:szCs w:val="32"/>
          <w:lang w:eastAsia="zh-CN"/>
        </w:rPr>
      </w:pPr>
      <w:r w:rsidRPr="007C0ED2">
        <w:rPr>
          <w:rFonts w:ascii="Times New Roman" w:eastAsia="宋体" w:hAnsi="Times New Roman" w:cs="宋体"/>
          <w:sz w:val="32"/>
          <w:lang w:eastAsia="zh-CN"/>
        </w:rPr>
        <w:t>更多副本</w:t>
      </w:r>
    </w:p>
    <w:p w14:paraId="43B9745B"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更多副本可通过互联网获得。您也可以通过电子邮件发送请求至</w:t>
      </w:r>
      <w:r w:rsidR="005D7E27">
        <w:fldChar w:fldCharType="begin"/>
      </w:r>
      <w:r w:rsidR="005D7E27">
        <w:rPr>
          <w:lang w:eastAsia="zh-CN"/>
        </w:rPr>
        <w:instrText xml:space="preserve"> HYPERLINK "mailto:CDRH-Guidance@fda.hhs.gov" </w:instrText>
      </w:r>
      <w:r w:rsidR="005D7E27">
        <w:fldChar w:fldCharType="separate"/>
      </w:r>
      <w:r w:rsidRPr="007C0ED2">
        <w:rPr>
          <w:rFonts w:ascii="Times New Roman" w:eastAsia="宋体" w:hAnsi="Times New Roman" w:cs="宋体"/>
          <w:snapToGrid w:val="0"/>
          <w:color w:val="0000FF"/>
          <w:u w:val="single"/>
          <w:lang w:eastAsia="zh-CN"/>
        </w:rPr>
        <w:t>CDRH-Guidance@fda.hhs.gov</w:t>
      </w:r>
      <w:r w:rsidR="005D7E27">
        <w:rPr>
          <w:rFonts w:ascii="Times New Roman" w:eastAsia="宋体" w:hAnsi="Times New Roman" w:cs="宋体"/>
          <w:snapToGrid w:val="0"/>
          <w:color w:val="0000FF"/>
          <w:u w:val="single"/>
          <w:lang w:eastAsia="zh-CN"/>
        </w:rPr>
        <w:fldChar w:fldCharType="end"/>
      </w:r>
      <w:r w:rsidRPr="007C0ED2">
        <w:rPr>
          <w:rFonts w:ascii="Times New Roman" w:eastAsia="宋体" w:hAnsi="Times New Roman" w:cs="宋体"/>
          <w:lang w:eastAsia="zh-CN"/>
        </w:rPr>
        <w:t>获取本指南的副本。请在申请中注明</w:t>
      </w:r>
      <w:r w:rsidRPr="007C0ED2">
        <w:rPr>
          <w:rFonts w:ascii="Times New Roman" w:eastAsia="宋体" w:hAnsi="Times New Roman" w:cs="宋体"/>
          <w:lang w:eastAsia="zh-CN"/>
        </w:rPr>
        <w:t>18008</w:t>
      </w:r>
      <w:r w:rsidRPr="007C0ED2">
        <w:rPr>
          <w:rFonts w:ascii="Times New Roman" w:eastAsia="宋体" w:hAnsi="Times New Roman" w:cs="宋体"/>
          <w:lang w:eastAsia="zh-CN"/>
        </w:rPr>
        <w:t>号文件和指南的完整标题。</w:t>
      </w:r>
    </w:p>
    <w:p w14:paraId="3CB19908" w14:textId="77777777" w:rsidR="0052255A" w:rsidRPr="007C0ED2" w:rsidRDefault="0052255A" w:rsidP="007C0ED2">
      <w:pPr>
        <w:adjustRightInd w:val="0"/>
        <w:snapToGrid w:val="0"/>
        <w:spacing w:beforeLines="50" w:before="120" w:line="300" w:lineRule="auto"/>
        <w:jc w:val="both"/>
        <w:rPr>
          <w:rFonts w:ascii="Times New Roman" w:eastAsia="宋体" w:hAnsi="Times New Roman" w:cs="Times New Roman"/>
          <w:snapToGrid w:val="0"/>
          <w:lang w:eastAsia="zh-CN"/>
        </w:rPr>
      </w:pPr>
    </w:p>
    <w:p w14:paraId="044896CF" w14:textId="77777777" w:rsidR="0052255A" w:rsidRPr="007C0ED2" w:rsidRDefault="0052255A" w:rsidP="007C0ED2">
      <w:pPr>
        <w:rPr>
          <w:rFonts w:ascii="Times New Roman" w:eastAsia="宋体" w:hAnsi="Times New Roman" w:cs="Times New Roman"/>
          <w:snapToGrid w:val="0"/>
          <w:lang w:eastAsia="zh-CN"/>
        </w:rPr>
      </w:pPr>
      <w:r w:rsidRPr="007C0ED2">
        <w:rPr>
          <w:rFonts w:ascii="Times New Roman" w:eastAsia="宋体" w:hAnsi="Times New Roman" w:cs="宋体"/>
          <w:lang w:eastAsia="zh-CN"/>
        </w:rPr>
        <w:br w:type="page"/>
      </w:r>
    </w:p>
    <w:p w14:paraId="6FCE40F0" w14:textId="77777777" w:rsidR="0052255A" w:rsidRPr="007C0ED2" w:rsidRDefault="00E312EA" w:rsidP="00FA4FFF">
      <w:pPr>
        <w:adjustRightInd w:val="0"/>
        <w:snapToGrid w:val="0"/>
        <w:spacing w:beforeLines="50" w:before="120" w:line="300" w:lineRule="auto"/>
        <w:jc w:val="center"/>
        <w:rPr>
          <w:rFonts w:ascii="Times New Roman" w:eastAsia="宋体" w:hAnsi="Times New Roman"/>
          <w:snapToGrid w:val="0"/>
          <w:lang w:eastAsia="zh-CN"/>
        </w:rPr>
      </w:pPr>
      <w:r w:rsidRPr="007C0ED2">
        <w:rPr>
          <w:rFonts w:ascii="Times New Roman" w:eastAsia="宋体" w:hAnsi="Times New Roman" w:cs="宋体"/>
          <w:b/>
          <w:sz w:val="32"/>
          <w:lang w:eastAsia="zh-CN"/>
        </w:rPr>
        <w:lastRenderedPageBreak/>
        <w:t>目录</w:t>
      </w:r>
      <w:bookmarkStart w:id="0" w:name="bookmark0"/>
      <w:bookmarkEnd w:id="0"/>
    </w:p>
    <w:p w14:paraId="569E2ACD" w14:textId="77777777" w:rsidR="002D1F2B" w:rsidRPr="002D1F2B" w:rsidRDefault="00E4268D" w:rsidP="002D1F2B">
      <w:pPr>
        <w:pStyle w:val="TOC1"/>
        <w:tabs>
          <w:tab w:val="left" w:pos="480"/>
          <w:tab w:val="right" w:leader="dot" w:pos="9061"/>
        </w:tabs>
        <w:adjustRightInd w:val="0"/>
        <w:snapToGrid w:val="0"/>
        <w:spacing w:beforeLines="50" w:before="120" w:line="300" w:lineRule="auto"/>
        <w:rPr>
          <w:rFonts w:ascii="Times New Roman" w:eastAsia="宋体" w:hAnsi="Times New Roman" w:cs="Times New Roman"/>
          <w:noProof/>
          <w:color w:val="auto"/>
          <w:kern w:val="2"/>
          <w:sz w:val="21"/>
          <w:szCs w:val="22"/>
          <w:lang w:eastAsia="zh-CN" w:bidi="ar-SA"/>
        </w:rPr>
      </w:pPr>
      <w:r w:rsidRPr="002D1F2B">
        <w:rPr>
          <w:rFonts w:ascii="Times New Roman" w:eastAsia="宋体" w:hAnsi="Times New Roman" w:cs="Times New Roman"/>
          <w:snapToGrid w:val="0"/>
        </w:rPr>
        <w:fldChar w:fldCharType="begin"/>
      </w:r>
      <w:r w:rsidRPr="002D1F2B">
        <w:rPr>
          <w:rFonts w:ascii="Times New Roman" w:eastAsia="宋体" w:hAnsi="Times New Roman" w:cs="Times New Roman"/>
          <w:snapToGrid w:val="0"/>
        </w:rPr>
        <w:instrText xml:space="preserve"> TOC \h \z \t "</w:instrText>
      </w:r>
      <w:r w:rsidRPr="002D1F2B">
        <w:rPr>
          <w:rFonts w:ascii="Times New Roman" w:eastAsia="宋体" w:hAnsi="Times New Roman" w:cs="Times New Roman"/>
          <w:snapToGrid w:val="0"/>
        </w:rPr>
        <w:instrText>样式</w:instrText>
      </w:r>
      <w:r w:rsidRPr="002D1F2B">
        <w:rPr>
          <w:rFonts w:ascii="Times New Roman" w:eastAsia="宋体" w:hAnsi="Times New Roman" w:cs="Times New Roman"/>
          <w:snapToGrid w:val="0"/>
        </w:rPr>
        <w:instrText>1,1,</w:instrText>
      </w:r>
      <w:r w:rsidRPr="002D1F2B">
        <w:rPr>
          <w:rFonts w:ascii="Times New Roman" w:eastAsia="宋体" w:hAnsi="Times New Roman" w:cs="Times New Roman"/>
          <w:snapToGrid w:val="0"/>
        </w:rPr>
        <w:instrText>样式</w:instrText>
      </w:r>
      <w:r w:rsidRPr="002D1F2B">
        <w:rPr>
          <w:rFonts w:ascii="Times New Roman" w:eastAsia="宋体" w:hAnsi="Times New Roman" w:cs="Times New Roman"/>
          <w:snapToGrid w:val="0"/>
        </w:rPr>
        <w:instrText>2,2,</w:instrText>
      </w:r>
      <w:r w:rsidRPr="002D1F2B">
        <w:rPr>
          <w:rFonts w:ascii="Times New Roman" w:eastAsia="宋体" w:hAnsi="Times New Roman" w:cs="Times New Roman"/>
          <w:snapToGrid w:val="0"/>
        </w:rPr>
        <w:instrText>样式</w:instrText>
      </w:r>
      <w:r w:rsidRPr="002D1F2B">
        <w:rPr>
          <w:rFonts w:ascii="Times New Roman" w:eastAsia="宋体" w:hAnsi="Times New Roman" w:cs="Times New Roman"/>
          <w:snapToGrid w:val="0"/>
        </w:rPr>
        <w:instrText xml:space="preserve">3,3" </w:instrText>
      </w:r>
      <w:r w:rsidRPr="002D1F2B">
        <w:rPr>
          <w:rFonts w:ascii="Times New Roman" w:eastAsia="宋体" w:hAnsi="Times New Roman" w:cs="Times New Roman"/>
          <w:snapToGrid w:val="0"/>
        </w:rPr>
        <w:fldChar w:fldCharType="separate"/>
      </w:r>
      <w:hyperlink w:anchor="_Toc91869502" w:history="1">
        <w:r w:rsidR="002D1F2B" w:rsidRPr="002D1F2B">
          <w:rPr>
            <w:rStyle w:val="af2"/>
            <w:rFonts w:ascii="Times New Roman" w:eastAsia="宋体" w:hAnsi="Times New Roman" w:cs="Times New Roman"/>
            <w:noProof/>
            <w:lang w:eastAsia="zh-CN"/>
          </w:rPr>
          <w:t>I.</w:t>
        </w:r>
        <w:r w:rsidR="002D1F2B" w:rsidRPr="002D1F2B">
          <w:rPr>
            <w:rFonts w:ascii="Times New Roman" w:eastAsia="宋体" w:hAnsi="Times New Roman" w:cs="Times New Roman"/>
            <w:noProof/>
            <w:color w:val="auto"/>
            <w:kern w:val="2"/>
            <w:sz w:val="21"/>
            <w:szCs w:val="22"/>
            <w:lang w:eastAsia="zh-CN" w:bidi="ar-SA"/>
          </w:rPr>
          <w:tab/>
        </w:r>
        <w:r w:rsidR="002D1F2B" w:rsidRPr="002D1F2B">
          <w:rPr>
            <w:rStyle w:val="af2"/>
            <w:rFonts w:ascii="Times New Roman" w:eastAsia="宋体" w:hAnsi="Times New Roman" w:cs="Times New Roman"/>
            <w:noProof/>
            <w:lang w:eastAsia="zh-CN"/>
          </w:rPr>
          <w:t>引言</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_Toc91869502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1</w:t>
        </w:r>
        <w:r w:rsidR="002D1F2B" w:rsidRPr="002D1F2B">
          <w:rPr>
            <w:rFonts w:ascii="Times New Roman" w:eastAsia="宋体" w:hAnsi="Times New Roman" w:cs="Times New Roman"/>
            <w:noProof/>
            <w:webHidden/>
          </w:rPr>
          <w:fldChar w:fldCharType="end"/>
        </w:r>
      </w:hyperlink>
    </w:p>
    <w:p w14:paraId="0CDCDECE" w14:textId="77777777" w:rsidR="002D1F2B" w:rsidRPr="002D1F2B" w:rsidRDefault="00000000" w:rsidP="002D1F2B">
      <w:pPr>
        <w:pStyle w:val="TOC1"/>
        <w:tabs>
          <w:tab w:val="left" w:pos="480"/>
          <w:tab w:val="right" w:leader="dot" w:pos="9061"/>
        </w:tabs>
        <w:adjustRightInd w:val="0"/>
        <w:snapToGrid w:val="0"/>
        <w:spacing w:beforeLines="50" w:before="120" w:line="300" w:lineRule="auto"/>
        <w:rPr>
          <w:rFonts w:ascii="Times New Roman" w:eastAsia="宋体" w:hAnsi="Times New Roman" w:cs="Times New Roman"/>
          <w:noProof/>
          <w:color w:val="auto"/>
          <w:kern w:val="2"/>
          <w:sz w:val="21"/>
          <w:szCs w:val="22"/>
          <w:lang w:eastAsia="zh-CN" w:bidi="ar-SA"/>
        </w:rPr>
      </w:pPr>
      <w:hyperlink w:anchor="_Toc91869503" w:history="1">
        <w:r w:rsidR="002D1F2B" w:rsidRPr="002D1F2B">
          <w:rPr>
            <w:rStyle w:val="af2"/>
            <w:rFonts w:ascii="Times New Roman" w:eastAsia="宋体" w:hAnsi="Times New Roman" w:cs="Times New Roman"/>
            <w:noProof/>
            <w:lang w:eastAsia="zh-CN"/>
          </w:rPr>
          <w:t>II.</w:t>
        </w:r>
        <w:r w:rsidR="002D1F2B" w:rsidRPr="002D1F2B">
          <w:rPr>
            <w:rFonts w:ascii="Times New Roman" w:eastAsia="宋体" w:hAnsi="Times New Roman" w:cs="Times New Roman"/>
            <w:noProof/>
            <w:color w:val="auto"/>
            <w:kern w:val="2"/>
            <w:sz w:val="21"/>
            <w:szCs w:val="22"/>
            <w:lang w:eastAsia="zh-CN" w:bidi="ar-SA"/>
          </w:rPr>
          <w:tab/>
        </w:r>
        <w:r w:rsidR="002D1F2B" w:rsidRPr="002D1F2B">
          <w:rPr>
            <w:rStyle w:val="af2"/>
            <w:rFonts w:ascii="Times New Roman" w:eastAsia="宋体" w:hAnsi="Times New Roman" w:cs="Times New Roman"/>
            <w:noProof/>
            <w:lang w:eastAsia="zh-CN"/>
          </w:rPr>
          <w:t>非临床试验建议</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_Toc91869503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2</w:t>
        </w:r>
        <w:r w:rsidR="002D1F2B" w:rsidRPr="002D1F2B">
          <w:rPr>
            <w:rFonts w:ascii="Times New Roman" w:eastAsia="宋体" w:hAnsi="Times New Roman" w:cs="Times New Roman"/>
            <w:noProof/>
            <w:webHidden/>
          </w:rPr>
          <w:fldChar w:fldCharType="end"/>
        </w:r>
      </w:hyperlink>
    </w:p>
    <w:p w14:paraId="105C40A2" w14:textId="77777777" w:rsidR="002D1F2B" w:rsidRPr="002D1F2B" w:rsidRDefault="00000000" w:rsidP="002D1F2B">
      <w:pPr>
        <w:pStyle w:val="TOC2"/>
        <w:rPr>
          <w:rFonts w:ascii="Times New Roman" w:eastAsia="宋体" w:hAnsi="Times New Roman" w:cs="Times New Roman"/>
          <w:noProof/>
          <w:color w:val="auto"/>
          <w:kern w:val="2"/>
          <w:sz w:val="21"/>
          <w:szCs w:val="22"/>
          <w:lang w:eastAsia="zh-CN" w:bidi="ar-SA"/>
        </w:rPr>
      </w:pPr>
      <w:hyperlink w:anchor="_Toc91869504" w:history="1">
        <w:r w:rsidR="002D1F2B" w:rsidRPr="002D1F2B">
          <w:rPr>
            <w:rStyle w:val="af2"/>
            <w:rFonts w:ascii="Times New Roman" w:eastAsia="宋体" w:hAnsi="Times New Roman" w:cs="Times New Roman"/>
            <w:noProof/>
            <w:lang w:eastAsia="zh-CN"/>
          </w:rPr>
          <w:t>C.</w:t>
        </w:r>
        <w:r w:rsidR="002D1F2B" w:rsidRPr="002D1F2B">
          <w:rPr>
            <w:rFonts w:ascii="Times New Roman" w:eastAsia="宋体" w:hAnsi="Times New Roman" w:cs="Times New Roman"/>
            <w:noProof/>
            <w:color w:val="auto"/>
            <w:kern w:val="2"/>
            <w:sz w:val="21"/>
            <w:szCs w:val="22"/>
            <w:lang w:eastAsia="zh-CN" w:bidi="ar-SA"/>
          </w:rPr>
          <w:tab/>
        </w:r>
        <w:r w:rsidR="002D1F2B" w:rsidRPr="002D1F2B">
          <w:rPr>
            <w:rStyle w:val="af2"/>
            <w:rFonts w:ascii="Times New Roman" w:eastAsia="宋体" w:hAnsi="Times New Roman" w:cs="Times New Roman"/>
            <w:noProof/>
            <w:lang w:eastAsia="zh-CN"/>
          </w:rPr>
          <w:t>软件</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_Toc91869504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2</w:t>
        </w:r>
        <w:r w:rsidR="002D1F2B" w:rsidRPr="002D1F2B">
          <w:rPr>
            <w:rFonts w:ascii="Times New Roman" w:eastAsia="宋体" w:hAnsi="Times New Roman" w:cs="Times New Roman"/>
            <w:noProof/>
            <w:webHidden/>
          </w:rPr>
          <w:fldChar w:fldCharType="end"/>
        </w:r>
      </w:hyperlink>
    </w:p>
    <w:p w14:paraId="3E283861" w14:textId="77777777" w:rsidR="002D1F2B" w:rsidRPr="002D1F2B" w:rsidRDefault="00000000" w:rsidP="002D1F2B">
      <w:pPr>
        <w:pStyle w:val="TOC2"/>
        <w:rPr>
          <w:rFonts w:ascii="Times New Roman" w:eastAsia="宋体" w:hAnsi="Times New Roman" w:cs="Times New Roman"/>
          <w:noProof/>
          <w:color w:val="auto"/>
          <w:kern w:val="2"/>
          <w:sz w:val="21"/>
          <w:szCs w:val="22"/>
          <w:lang w:eastAsia="zh-CN" w:bidi="ar-SA"/>
        </w:rPr>
      </w:pPr>
      <w:hyperlink w:anchor="_Toc91869505" w:history="1">
        <w:r w:rsidR="002D1F2B" w:rsidRPr="002D1F2B">
          <w:rPr>
            <w:rStyle w:val="af2"/>
            <w:rFonts w:ascii="Times New Roman" w:eastAsia="宋体" w:hAnsi="Times New Roman" w:cs="Times New Roman"/>
            <w:noProof/>
            <w:lang w:eastAsia="zh-CN"/>
          </w:rPr>
          <w:t>F.</w:t>
        </w:r>
        <w:r w:rsidR="002D1F2B" w:rsidRPr="002D1F2B">
          <w:rPr>
            <w:rFonts w:ascii="Times New Roman" w:eastAsia="宋体" w:hAnsi="Times New Roman" w:cs="Times New Roman"/>
            <w:noProof/>
            <w:color w:val="auto"/>
            <w:kern w:val="2"/>
            <w:sz w:val="21"/>
            <w:szCs w:val="22"/>
            <w:lang w:eastAsia="zh-CN" w:bidi="ar-SA"/>
          </w:rPr>
          <w:tab/>
        </w:r>
        <w:r w:rsidR="002D1F2B" w:rsidRPr="002D1F2B">
          <w:rPr>
            <w:rStyle w:val="af2"/>
            <w:rFonts w:ascii="Times New Roman" w:eastAsia="宋体" w:hAnsi="Times New Roman" w:cs="Times New Roman"/>
            <w:noProof/>
            <w:lang w:eastAsia="zh-CN"/>
          </w:rPr>
          <w:t>致热原性</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_Toc91869505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3</w:t>
        </w:r>
        <w:r w:rsidR="002D1F2B" w:rsidRPr="002D1F2B">
          <w:rPr>
            <w:rFonts w:ascii="Times New Roman" w:eastAsia="宋体" w:hAnsi="Times New Roman" w:cs="Times New Roman"/>
            <w:noProof/>
            <w:webHidden/>
          </w:rPr>
          <w:fldChar w:fldCharType="end"/>
        </w:r>
      </w:hyperlink>
    </w:p>
    <w:p w14:paraId="2807BD8D" w14:textId="77777777" w:rsidR="002D1F2B" w:rsidRPr="002D1F2B" w:rsidRDefault="00000000" w:rsidP="002D1F2B">
      <w:pPr>
        <w:pStyle w:val="TOC2"/>
        <w:rPr>
          <w:rFonts w:ascii="Times New Roman" w:eastAsia="宋体" w:hAnsi="Times New Roman" w:cs="Times New Roman"/>
          <w:noProof/>
          <w:color w:val="auto"/>
          <w:kern w:val="2"/>
          <w:sz w:val="21"/>
          <w:szCs w:val="22"/>
          <w:lang w:eastAsia="zh-CN" w:bidi="ar-SA"/>
        </w:rPr>
      </w:pPr>
      <w:hyperlink w:anchor="_Toc91869506" w:history="1">
        <w:r w:rsidR="002D1F2B" w:rsidRPr="002D1F2B">
          <w:rPr>
            <w:rStyle w:val="af2"/>
            <w:rFonts w:ascii="Times New Roman" w:eastAsia="宋体" w:hAnsi="Times New Roman" w:cs="Times New Roman"/>
            <w:noProof/>
            <w:lang w:eastAsia="zh-CN"/>
          </w:rPr>
          <w:t>J.</w:t>
        </w:r>
        <w:r w:rsidR="002D1F2B" w:rsidRPr="002D1F2B">
          <w:rPr>
            <w:rFonts w:ascii="Times New Roman" w:eastAsia="宋体" w:hAnsi="Times New Roman" w:cs="Times New Roman"/>
            <w:noProof/>
            <w:color w:val="auto"/>
            <w:kern w:val="2"/>
            <w:sz w:val="21"/>
            <w:szCs w:val="22"/>
            <w:lang w:eastAsia="zh-CN" w:bidi="ar-SA"/>
          </w:rPr>
          <w:tab/>
        </w:r>
        <w:r w:rsidR="002D1F2B" w:rsidRPr="002D1F2B">
          <w:rPr>
            <w:rStyle w:val="af2"/>
            <w:rFonts w:ascii="Times New Roman" w:eastAsia="宋体" w:hAnsi="Times New Roman" w:cs="Times New Roman"/>
            <w:noProof/>
            <w:lang w:eastAsia="zh-CN"/>
          </w:rPr>
          <w:t>非临床性能试验</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_Toc91869506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4</w:t>
        </w:r>
        <w:r w:rsidR="002D1F2B" w:rsidRPr="002D1F2B">
          <w:rPr>
            <w:rFonts w:ascii="Times New Roman" w:eastAsia="宋体" w:hAnsi="Times New Roman" w:cs="Times New Roman"/>
            <w:noProof/>
            <w:webHidden/>
          </w:rPr>
          <w:fldChar w:fldCharType="end"/>
        </w:r>
      </w:hyperlink>
    </w:p>
    <w:p w14:paraId="4BFF9BAB" w14:textId="77777777" w:rsidR="002D1F2B" w:rsidRPr="002D1F2B" w:rsidRDefault="00000000" w:rsidP="00257F43">
      <w:pPr>
        <w:pStyle w:val="TOC3"/>
        <w:tabs>
          <w:tab w:val="right" w:leader="dot" w:pos="9061"/>
        </w:tabs>
        <w:adjustRightInd w:val="0"/>
        <w:snapToGrid w:val="0"/>
        <w:spacing w:beforeLines="50" w:before="120" w:line="300" w:lineRule="auto"/>
        <w:ind w:leftChars="354" w:left="850"/>
        <w:rPr>
          <w:rFonts w:ascii="Times New Roman" w:eastAsia="宋体" w:hAnsi="Times New Roman" w:cs="Times New Roman"/>
          <w:noProof/>
          <w:color w:val="auto"/>
          <w:kern w:val="2"/>
          <w:sz w:val="21"/>
          <w:szCs w:val="22"/>
          <w:lang w:eastAsia="zh-CN" w:bidi="ar-SA"/>
        </w:rPr>
      </w:pPr>
      <w:hyperlink w:anchor="_Toc91869507" w:history="1">
        <w:r w:rsidR="002D1F2B" w:rsidRPr="002D1F2B">
          <w:rPr>
            <w:rStyle w:val="af2"/>
            <w:rFonts w:ascii="Times New Roman" w:eastAsia="宋体" w:hAnsi="Times New Roman" w:cs="Times New Roman"/>
            <w:noProof/>
            <w:lang w:eastAsia="zh-CN"/>
          </w:rPr>
          <w:t>（</w:t>
        </w:r>
        <w:r w:rsidR="002D1F2B" w:rsidRPr="002D1F2B">
          <w:rPr>
            <w:rStyle w:val="af2"/>
            <w:rFonts w:ascii="Times New Roman" w:eastAsia="宋体" w:hAnsi="Times New Roman" w:cs="Times New Roman"/>
            <w:noProof/>
            <w:lang w:eastAsia="zh-CN"/>
          </w:rPr>
          <w:t>5</w:t>
        </w:r>
        <w:r w:rsidR="002D1F2B" w:rsidRPr="002D1F2B">
          <w:rPr>
            <w:rStyle w:val="af2"/>
            <w:rFonts w:ascii="Times New Roman" w:eastAsia="宋体" w:hAnsi="Times New Roman" w:cs="Times New Roman"/>
            <w:noProof/>
            <w:lang w:eastAsia="zh-CN"/>
          </w:rPr>
          <w:t>）工程部</w:t>
        </w:r>
        <w:r w:rsidR="002D1F2B" w:rsidRPr="002D1F2B">
          <w:rPr>
            <w:rFonts w:ascii="Times New Roman" w:eastAsia="宋体" w:hAnsi="Times New Roman" w:cs="Times New Roman"/>
            <w:noProof/>
            <w:webHidden/>
          </w:rPr>
          <w:tab/>
        </w:r>
        <w:r w:rsidR="002D1F2B" w:rsidRPr="002D1F2B">
          <w:rPr>
            <w:rFonts w:ascii="Times New Roman" w:eastAsia="宋体" w:hAnsi="Times New Roman" w:cs="Times New Roman"/>
            <w:noProof/>
            <w:webHidden/>
          </w:rPr>
          <w:fldChar w:fldCharType="begin"/>
        </w:r>
        <w:r w:rsidR="002D1F2B" w:rsidRPr="002D1F2B">
          <w:rPr>
            <w:rFonts w:ascii="Times New Roman" w:eastAsia="宋体" w:hAnsi="Times New Roman" w:cs="Times New Roman"/>
            <w:noProof/>
            <w:webHidden/>
          </w:rPr>
          <w:instrText xml:space="preserve"> PAGEREF _Toc91869507 \h </w:instrText>
        </w:r>
        <w:r w:rsidR="002D1F2B" w:rsidRPr="002D1F2B">
          <w:rPr>
            <w:rFonts w:ascii="Times New Roman" w:eastAsia="宋体" w:hAnsi="Times New Roman" w:cs="Times New Roman"/>
            <w:noProof/>
            <w:webHidden/>
          </w:rPr>
        </w:r>
        <w:r w:rsidR="002D1F2B" w:rsidRPr="002D1F2B">
          <w:rPr>
            <w:rFonts w:ascii="Times New Roman" w:eastAsia="宋体" w:hAnsi="Times New Roman" w:cs="Times New Roman"/>
            <w:noProof/>
            <w:webHidden/>
          </w:rPr>
          <w:fldChar w:fldCharType="separate"/>
        </w:r>
        <w:r w:rsidR="002D1F2B" w:rsidRPr="002D1F2B">
          <w:rPr>
            <w:rFonts w:ascii="Times New Roman" w:eastAsia="宋体" w:hAnsi="Times New Roman" w:cs="Times New Roman"/>
            <w:noProof/>
            <w:webHidden/>
          </w:rPr>
          <w:t>4</w:t>
        </w:r>
        <w:r w:rsidR="002D1F2B" w:rsidRPr="002D1F2B">
          <w:rPr>
            <w:rFonts w:ascii="Times New Roman" w:eastAsia="宋体" w:hAnsi="Times New Roman" w:cs="Times New Roman"/>
            <w:noProof/>
            <w:webHidden/>
          </w:rPr>
          <w:fldChar w:fldCharType="end"/>
        </w:r>
      </w:hyperlink>
    </w:p>
    <w:p w14:paraId="2803D9F8" w14:textId="77777777" w:rsidR="0052255A" w:rsidRPr="007C0ED2" w:rsidRDefault="00E4268D" w:rsidP="002D1F2B">
      <w:pPr>
        <w:adjustRightInd w:val="0"/>
        <w:snapToGrid w:val="0"/>
        <w:spacing w:beforeLines="50" w:before="120" w:line="300" w:lineRule="auto"/>
        <w:jc w:val="both"/>
        <w:rPr>
          <w:rFonts w:ascii="Times New Roman" w:eastAsia="宋体" w:hAnsi="Times New Roman" w:cs="Times New Roman"/>
          <w:snapToGrid w:val="0"/>
        </w:rPr>
      </w:pPr>
      <w:r w:rsidRPr="002D1F2B">
        <w:rPr>
          <w:rFonts w:ascii="Times New Roman" w:eastAsia="宋体" w:hAnsi="Times New Roman" w:cs="Times New Roman"/>
          <w:snapToGrid w:val="0"/>
        </w:rPr>
        <w:fldChar w:fldCharType="end"/>
      </w:r>
    </w:p>
    <w:p w14:paraId="36CDD9AF" w14:textId="77777777" w:rsidR="00577D04" w:rsidRPr="007C0ED2" w:rsidRDefault="0052255A" w:rsidP="007C0ED2">
      <w:pPr>
        <w:rPr>
          <w:rFonts w:ascii="Times New Roman" w:eastAsia="宋体" w:hAnsi="Times New Roman" w:cs="Times New Roman"/>
          <w:snapToGrid w:val="0"/>
        </w:rPr>
        <w:sectPr w:rsidR="00577D04" w:rsidRPr="007C0ED2" w:rsidSect="0052255A">
          <w:headerReference w:type="default" r:id="rId10"/>
          <w:pgSz w:w="11907" w:h="16839" w:code="9"/>
          <w:pgMar w:top="1418" w:right="1418" w:bottom="1418" w:left="1418" w:header="720" w:footer="720" w:gutter="0"/>
          <w:cols w:space="720"/>
          <w:noEndnote/>
          <w:docGrid w:linePitch="360"/>
        </w:sectPr>
      </w:pPr>
      <w:r w:rsidRPr="007C0ED2">
        <w:rPr>
          <w:rFonts w:ascii="Times New Roman" w:eastAsia="宋体" w:hAnsi="Times New Roman" w:cs="宋体"/>
        </w:rPr>
        <w:br w:type="page"/>
      </w:r>
    </w:p>
    <w:p w14:paraId="1224D935" w14:textId="77777777" w:rsidR="0052255A" w:rsidRPr="007C0ED2" w:rsidRDefault="00E312EA" w:rsidP="007C0ED2">
      <w:pPr>
        <w:pBdr>
          <w:bottom w:val="single" w:sz="4" w:space="1" w:color="auto"/>
        </w:pBdr>
        <w:adjustRightInd w:val="0"/>
        <w:snapToGrid w:val="0"/>
        <w:spacing w:beforeLines="50" w:before="120" w:line="300" w:lineRule="auto"/>
        <w:jc w:val="center"/>
        <w:rPr>
          <w:rFonts w:ascii="Times New Roman" w:eastAsia="宋体" w:hAnsi="Times New Roman" w:cs="Times New Roman"/>
          <w:b/>
          <w:sz w:val="44"/>
          <w:szCs w:val="44"/>
          <w:lang w:eastAsia="zh-CN"/>
        </w:rPr>
      </w:pPr>
      <w:r w:rsidRPr="007C0ED2">
        <w:rPr>
          <w:rFonts w:ascii="Times New Roman" w:eastAsia="宋体" w:hAnsi="Times New Roman" w:cs="宋体"/>
          <w:b/>
          <w:sz w:val="44"/>
          <w:lang w:eastAsia="zh-CN"/>
        </w:rPr>
        <w:lastRenderedPageBreak/>
        <w:t>选择更新外周血管斑块旋切器械</w:t>
      </w:r>
      <w:r w:rsidRPr="007C0ED2">
        <w:rPr>
          <w:rFonts w:ascii="Times New Roman" w:eastAsia="宋体" w:hAnsi="Times New Roman" w:cs="宋体"/>
          <w:b/>
          <w:sz w:val="44"/>
          <w:lang w:eastAsia="zh-CN"/>
        </w:rPr>
        <w:t xml:space="preserve"> -</w:t>
      </w:r>
      <w:r w:rsidRPr="007C0ED2">
        <w:rPr>
          <w:rFonts w:ascii="Times New Roman" w:eastAsia="宋体" w:hAnsi="Times New Roman" w:cs="宋体"/>
          <w:b/>
          <w:sz w:val="44"/>
          <w:lang w:eastAsia="zh-CN"/>
        </w:rPr>
        <w:t>上市前通知</w:t>
      </w:r>
      <w:r w:rsidRPr="007C0ED2">
        <w:rPr>
          <w:rFonts w:ascii="Times New Roman" w:eastAsia="宋体" w:hAnsi="Times New Roman" w:cs="宋体"/>
          <w:b/>
          <w:sz w:val="44"/>
          <w:lang w:eastAsia="zh-CN"/>
        </w:rPr>
        <w:t>[510(k)]</w:t>
      </w:r>
      <w:r w:rsidRPr="007C0ED2">
        <w:rPr>
          <w:rFonts w:ascii="Times New Roman" w:eastAsia="宋体" w:hAnsi="Times New Roman" w:cs="宋体"/>
          <w:b/>
          <w:sz w:val="44"/>
          <w:lang w:eastAsia="zh-CN"/>
        </w:rPr>
        <w:t>申请</w:t>
      </w:r>
    </w:p>
    <w:p w14:paraId="2AAD766F" w14:textId="6CE315AE" w:rsidR="00EA42FA" w:rsidRPr="007C0ED2" w:rsidRDefault="00E312EA" w:rsidP="007C0ED2">
      <w:pPr>
        <w:adjustRightInd w:val="0"/>
        <w:snapToGrid w:val="0"/>
        <w:spacing w:beforeLines="50" w:before="120" w:line="300" w:lineRule="auto"/>
        <w:jc w:val="center"/>
        <w:rPr>
          <w:rFonts w:ascii="Times New Roman" w:eastAsia="宋体" w:hAnsi="Times New Roman" w:cs="Times New Roman"/>
          <w:b/>
          <w:sz w:val="44"/>
          <w:szCs w:val="44"/>
          <w:lang w:eastAsia="zh-CN"/>
        </w:rPr>
      </w:pPr>
      <w:r w:rsidRPr="007C0ED2">
        <w:rPr>
          <w:rFonts w:ascii="Times New Roman" w:eastAsia="宋体" w:hAnsi="Times New Roman" w:cs="宋体"/>
          <w:b/>
          <w:sz w:val="44"/>
          <w:lang w:eastAsia="zh-CN"/>
        </w:rPr>
        <w:t>行业和美国食品</w:t>
      </w:r>
      <w:r w:rsidR="00692E5D">
        <w:rPr>
          <w:rFonts w:ascii="Times New Roman" w:eastAsia="宋体" w:hAnsi="Times New Roman" w:cs="宋体"/>
          <w:b/>
          <w:sz w:val="44"/>
          <w:lang w:eastAsia="zh-CN"/>
        </w:rPr>
        <w:t>药品</w:t>
      </w:r>
      <w:r w:rsidR="00F60468">
        <w:rPr>
          <w:rFonts w:ascii="Times New Roman" w:eastAsia="宋体" w:hAnsi="Times New Roman" w:cs="宋体"/>
          <w:b/>
          <w:sz w:val="44"/>
          <w:lang w:eastAsia="zh-CN"/>
        </w:rPr>
        <w:t>监督</w:t>
      </w:r>
      <w:r w:rsidR="00692E5D">
        <w:rPr>
          <w:rFonts w:ascii="Times New Roman" w:eastAsia="宋体" w:hAnsi="Times New Roman" w:cs="宋体"/>
          <w:b/>
          <w:sz w:val="44"/>
          <w:lang w:eastAsia="zh-CN"/>
        </w:rPr>
        <w:t>管理局</w:t>
      </w:r>
      <w:r w:rsidRPr="007C0ED2">
        <w:rPr>
          <w:rFonts w:ascii="Times New Roman" w:eastAsia="宋体" w:hAnsi="Times New Roman" w:cs="宋体"/>
          <w:b/>
          <w:sz w:val="44"/>
          <w:lang w:eastAsia="zh-CN"/>
        </w:rPr>
        <w:t>工作人员指南草案</w:t>
      </w:r>
    </w:p>
    <w:tbl>
      <w:tblPr>
        <w:tblStyle w:val="af"/>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287"/>
      </w:tblGrid>
      <w:tr w:rsidR="0052255A" w:rsidRPr="00577D04" w14:paraId="7052FC82" w14:textId="77777777" w:rsidTr="0052255A">
        <w:tc>
          <w:tcPr>
            <w:tcW w:w="9287" w:type="dxa"/>
          </w:tcPr>
          <w:p w14:paraId="5BA5524B" w14:textId="52AEB4B3" w:rsidR="0052255A" w:rsidRPr="00577D04" w:rsidRDefault="00716A7E" w:rsidP="00EC4DB9">
            <w:pPr>
              <w:adjustRightInd w:val="0"/>
              <w:snapToGrid w:val="0"/>
              <w:spacing w:beforeLines="50" w:before="120" w:line="300" w:lineRule="auto"/>
              <w:jc w:val="both"/>
              <w:rPr>
                <w:rFonts w:ascii="Times New Roman" w:eastAsiaTheme="minorEastAsia" w:hAnsi="Times New Roman" w:cs="Times New Roman"/>
                <w:b/>
                <w:bCs/>
                <w:i/>
                <w:iCs/>
                <w:snapToGrid w:val="0"/>
                <w:sz w:val="21"/>
                <w:szCs w:val="21"/>
                <w:lang w:eastAsia="zh-CN"/>
              </w:rPr>
            </w:pPr>
            <w:r>
              <w:rPr>
                <w:rFonts w:ascii="Times New Roman" w:eastAsia="宋体" w:hAnsi="Times New Roman" w:cs="宋体"/>
                <w:b/>
                <w:i/>
                <w:sz w:val="21"/>
                <w:lang w:eastAsia="zh-CN"/>
              </w:rPr>
              <w:t>本</w:t>
            </w:r>
            <w:r w:rsidR="0052255A" w:rsidRPr="007C0ED2">
              <w:rPr>
                <w:rFonts w:ascii="Times New Roman" w:eastAsia="宋体" w:hAnsi="Times New Roman" w:cs="宋体"/>
                <w:b/>
                <w:i/>
                <w:sz w:val="21"/>
                <w:lang w:eastAsia="zh-CN"/>
              </w:rPr>
              <w:t>指南草案最终定稿后，将代表</w:t>
            </w:r>
            <w:r w:rsidR="00EE2FEF">
              <w:rPr>
                <w:rFonts w:ascii="Times New Roman" w:eastAsia="宋体" w:hAnsi="Times New Roman" w:cs="宋体"/>
                <w:b/>
                <w:i/>
                <w:sz w:val="21"/>
                <w:lang w:eastAsia="zh-CN"/>
              </w:rPr>
              <w:t>美国</w:t>
            </w:r>
            <w:r w:rsidRPr="00716A7E">
              <w:rPr>
                <w:rFonts w:ascii="Times New Roman" w:eastAsia="宋体" w:hAnsi="Times New Roman" w:cs="宋体" w:hint="eastAsia"/>
                <w:b/>
                <w:i/>
                <w:sz w:val="21"/>
                <w:lang w:eastAsia="zh-CN"/>
              </w:rPr>
              <w:t>食品药品</w:t>
            </w:r>
            <w:r w:rsidR="00F60468">
              <w:rPr>
                <w:rFonts w:ascii="Times New Roman" w:eastAsia="宋体" w:hAnsi="Times New Roman" w:cs="宋体" w:hint="eastAsia"/>
                <w:b/>
                <w:i/>
                <w:sz w:val="21"/>
                <w:lang w:eastAsia="zh-CN"/>
              </w:rPr>
              <w:t>监督</w:t>
            </w:r>
            <w:r w:rsidRPr="00716A7E">
              <w:rPr>
                <w:rFonts w:ascii="Times New Roman" w:eastAsia="宋体" w:hAnsi="Times New Roman" w:cs="宋体" w:hint="eastAsia"/>
                <w:b/>
                <w:i/>
                <w:sz w:val="21"/>
                <w:lang w:eastAsia="zh-CN"/>
              </w:rPr>
              <w:t>管理局（</w:t>
            </w:r>
            <w:r w:rsidRPr="00716A7E">
              <w:rPr>
                <w:rFonts w:ascii="Times New Roman" w:eastAsia="宋体" w:hAnsi="Times New Roman" w:cs="宋体"/>
                <w:b/>
                <w:i/>
                <w:sz w:val="21"/>
                <w:lang w:eastAsia="zh-CN"/>
              </w:rPr>
              <w:t>FDA</w:t>
            </w:r>
            <w:r w:rsidR="00EC4DB9">
              <w:rPr>
                <w:rFonts w:ascii="Times New Roman" w:eastAsia="宋体" w:hAnsi="Times New Roman" w:cs="宋体"/>
                <w:b/>
                <w:i/>
                <w:sz w:val="21"/>
                <w:lang w:eastAsia="zh-CN"/>
              </w:rPr>
              <w:t>或本机构</w:t>
            </w:r>
            <w:r w:rsidRPr="00716A7E">
              <w:rPr>
                <w:rFonts w:ascii="Times New Roman" w:eastAsia="宋体" w:hAnsi="Times New Roman" w:cs="宋体"/>
                <w:b/>
                <w:i/>
                <w:sz w:val="21"/>
                <w:lang w:eastAsia="zh-CN"/>
              </w:rPr>
              <w:t>）目前关于该主题的思考。</w:t>
            </w:r>
            <w:r w:rsidR="00EC4DB9">
              <w:rPr>
                <w:rFonts w:ascii="Times New Roman" w:eastAsia="宋体" w:hAnsi="Times New Roman" w:cs="宋体"/>
                <w:b/>
                <w:i/>
                <w:sz w:val="21"/>
                <w:lang w:eastAsia="zh-CN"/>
              </w:rPr>
              <w:t>本指南</w:t>
            </w:r>
            <w:r w:rsidRPr="00716A7E">
              <w:rPr>
                <w:rFonts w:ascii="Times New Roman" w:eastAsia="宋体" w:hAnsi="Times New Roman" w:cs="宋体"/>
                <w:b/>
                <w:i/>
                <w:sz w:val="21"/>
                <w:lang w:eastAsia="zh-CN"/>
              </w:rPr>
              <w:t>不会为任何人创造或赋予任何权利，也不会对</w:t>
            </w:r>
            <w:r w:rsidRPr="00716A7E">
              <w:rPr>
                <w:rFonts w:ascii="Times New Roman" w:eastAsia="宋体" w:hAnsi="Times New Roman" w:cs="宋体"/>
                <w:b/>
                <w:i/>
                <w:sz w:val="21"/>
                <w:lang w:eastAsia="zh-CN"/>
              </w:rPr>
              <w:t>FDA</w:t>
            </w:r>
            <w:r w:rsidRPr="00716A7E">
              <w:rPr>
                <w:rFonts w:ascii="Times New Roman" w:eastAsia="宋体" w:hAnsi="Times New Roman" w:cs="宋体"/>
                <w:b/>
                <w:i/>
                <w:sz w:val="21"/>
                <w:lang w:eastAsia="zh-CN"/>
              </w:rPr>
              <w:t>或公众产生约束。如果替代方法满足适用的法律法规的要求，则可以使用该</w:t>
            </w:r>
            <w:r w:rsidR="00EE2FEF">
              <w:rPr>
                <w:rFonts w:ascii="Times New Roman" w:eastAsia="宋体" w:hAnsi="Times New Roman" w:cs="宋体"/>
                <w:b/>
                <w:i/>
                <w:sz w:val="21"/>
                <w:lang w:eastAsia="zh-CN"/>
              </w:rPr>
              <w:t>替代</w:t>
            </w:r>
            <w:r w:rsidRPr="00716A7E">
              <w:rPr>
                <w:rFonts w:ascii="Times New Roman" w:eastAsia="宋体" w:hAnsi="Times New Roman" w:cs="宋体"/>
                <w:b/>
                <w:i/>
                <w:sz w:val="21"/>
                <w:lang w:eastAsia="zh-CN"/>
              </w:rPr>
              <w:t>方法。如需讨论替代方法，请联系标题</w:t>
            </w:r>
            <w:proofErr w:type="gramStart"/>
            <w:r w:rsidRPr="00716A7E">
              <w:rPr>
                <w:rFonts w:ascii="Times New Roman" w:eastAsia="宋体" w:hAnsi="Times New Roman" w:cs="宋体"/>
                <w:b/>
                <w:i/>
                <w:sz w:val="21"/>
                <w:lang w:eastAsia="zh-CN"/>
              </w:rPr>
              <w:t>页负责</w:t>
            </w:r>
            <w:proofErr w:type="gramEnd"/>
            <w:r w:rsidRPr="00716A7E">
              <w:rPr>
                <w:rFonts w:ascii="Times New Roman" w:eastAsia="宋体" w:hAnsi="Times New Roman" w:cs="宋体"/>
                <w:b/>
                <w:i/>
                <w:sz w:val="21"/>
                <w:lang w:eastAsia="zh-CN"/>
              </w:rPr>
              <w:t>实施本指南文件的</w:t>
            </w:r>
            <w:r w:rsidRPr="00716A7E">
              <w:rPr>
                <w:rFonts w:ascii="Times New Roman" w:eastAsia="宋体" w:hAnsi="Times New Roman" w:cs="宋体"/>
                <w:b/>
                <w:i/>
                <w:sz w:val="21"/>
                <w:lang w:eastAsia="zh-CN"/>
              </w:rPr>
              <w:t>FDA</w:t>
            </w:r>
            <w:r w:rsidRPr="00716A7E">
              <w:rPr>
                <w:rFonts w:ascii="Times New Roman" w:eastAsia="宋体" w:hAnsi="Times New Roman" w:cs="宋体"/>
                <w:b/>
                <w:i/>
                <w:sz w:val="21"/>
                <w:lang w:eastAsia="zh-CN"/>
              </w:rPr>
              <w:t>工作人员或办公室。</w:t>
            </w:r>
          </w:p>
        </w:tc>
      </w:tr>
    </w:tbl>
    <w:p w14:paraId="3AADEB55" w14:textId="77777777" w:rsidR="007C0ED2" w:rsidRDefault="007C0ED2" w:rsidP="007C0ED2">
      <w:pPr>
        <w:pStyle w:val="13"/>
        <w:rPr>
          <w:rFonts w:eastAsia="宋体" w:cs="宋体"/>
          <w:lang w:eastAsia="zh-CN"/>
        </w:rPr>
      </w:pPr>
    </w:p>
    <w:p w14:paraId="3D29E921" w14:textId="77777777" w:rsidR="00EA42FA" w:rsidRPr="007C0ED2" w:rsidRDefault="00E312EA" w:rsidP="007C0ED2">
      <w:pPr>
        <w:pStyle w:val="13"/>
        <w:rPr>
          <w:rFonts w:eastAsia="宋体"/>
          <w:lang w:eastAsia="zh-CN"/>
        </w:rPr>
      </w:pPr>
      <w:bookmarkStart w:id="1" w:name="_Toc91869502"/>
      <w:r w:rsidRPr="007C0ED2">
        <w:rPr>
          <w:rFonts w:eastAsia="宋体" w:cs="宋体"/>
          <w:lang w:eastAsia="zh-CN"/>
        </w:rPr>
        <w:t>I.</w:t>
      </w:r>
      <w:r w:rsidRPr="007C0ED2">
        <w:rPr>
          <w:rFonts w:eastAsia="宋体" w:cs="宋体"/>
          <w:lang w:eastAsia="zh-CN"/>
        </w:rPr>
        <w:tab/>
      </w:r>
      <w:r w:rsidRPr="007C0ED2">
        <w:rPr>
          <w:rFonts w:eastAsia="宋体" w:cs="宋体"/>
          <w:lang w:eastAsia="zh-CN"/>
        </w:rPr>
        <w:t>引言</w:t>
      </w:r>
      <w:bookmarkEnd w:id="1"/>
    </w:p>
    <w:p w14:paraId="0BE17B3F" w14:textId="1EF5F9EC"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FDA</w:t>
      </w:r>
      <w:r w:rsidRPr="007C0ED2">
        <w:rPr>
          <w:rFonts w:ascii="Times New Roman" w:eastAsia="宋体" w:hAnsi="Times New Roman" w:cs="宋体"/>
          <w:lang w:eastAsia="zh-CN"/>
        </w:rPr>
        <w:t>制定本指南草案旨在选择更新</w:t>
      </w:r>
      <w:r w:rsidRPr="007C0ED2">
        <w:rPr>
          <w:rFonts w:ascii="Times New Roman" w:eastAsia="宋体" w:hAnsi="Times New Roman" w:cs="宋体"/>
          <w:lang w:eastAsia="zh-CN"/>
        </w:rPr>
        <w:t>FDA</w:t>
      </w:r>
      <w:r w:rsidRPr="007C0ED2">
        <w:rPr>
          <w:rFonts w:ascii="Times New Roman" w:eastAsia="宋体" w:hAnsi="Times New Roman" w:cs="宋体"/>
          <w:lang w:eastAsia="zh-CN"/>
        </w:rPr>
        <w:t>指南文件</w:t>
      </w:r>
      <w:r w:rsidRPr="007C0ED2">
        <w:rPr>
          <w:rFonts w:ascii="Times New Roman" w:eastAsia="宋体" w:hAnsi="Times New Roman" w:cs="宋体"/>
          <w:lang w:eastAsia="zh-CN"/>
        </w:rPr>
        <w:t>“</w:t>
      </w:r>
      <w:r w:rsidRPr="007C0ED2">
        <w:rPr>
          <w:rFonts w:ascii="Times New Roman" w:eastAsia="宋体" w:hAnsi="Times New Roman" w:cs="宋体"/>
          <w:color w:val="0000FF"/>
          <w:u w:val="single"/>
          <w:lang w:eastAsia="zh-CN"/>
        </w:rPr>
        <w:t>外周血管斑块旋切器械</w:t>
      </w:r>
      <w:r w:rsidRPr="007C0ED2">
        <w:rPr>
          <w:rFonts w:ascii="Times New Roman" w:eastAsia="宋体" w:hAnsi="Times New Roman" w:cs="宋体"/>
          <w:color w:val="0000FF"/>
          <w:u w:val="single"/>
          <w:lang w:eastAsia="zh-CN"/>
        </w:rPr>
        <w:t>-</w:t>
      </w:r>
      <w:r w:rsidRPr="007C0ED2">
        <w:rPr>
          <w:rFonts w:ascii="Times New Roman" w:eastAsia="宋体" w:hAnsi="Times New Roman" w:cs="宋体"/>
          <w:color w:val="0000FF"/>
          <w:u w:val="single"/>
          <w:lang w:eastAsia="zh-CN"/>
        </w:rPr>
        <w:t>上市前通知</w:t>
      </w:r>
      <w:r w:rsidRPr="007C0ED2">
        <w:rPr>
          <w:rFonts w:ascii="Times New Roman" w:eastAsia="宋体" w:hAnsi="Times New Roman" w:cs="宋体"/>
          <w:color w:val="0000FF"/>
          <w:u w:val="single"/>
          <w:lang w:eastAsia="zh-CN"/>
        </w:rPr>
        <w:t>[510(k )]</w:t>
      </w:r>
      <w:r w:rsidRPr="007C0ED2">
        <w:rPr>
          <w:rFonts w:ascii="Times New Roman" w:eastAsia="宋体" w:hAnsi="Times New Roman" w:cs="宋体"/>
          <w:color w:val="0000FF"/>
          <w:u w:val="single"/>
          <w:lang w:eastAsia="zh-CN"/>
        </w:rPr>
        <w:t>申请</w:t>
      </w:r>
      <w:r w:rsidRPr="007C0ED2">
        <w:rPr>
          <w:rFonts w:ascii="Times New Roman" w:eastAsia="宋体" w:hAnsi="Times New Roman" w:cs="宋体"/>
          <w:lang w:eastAsia="zh-CN"/>
        </w:rPr>
        <w:t>”</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1</w:t>
      </w:r>
      <w:r w:rsidRPr="007C0ED2">
        <w:rPr>
          <w:rFonts w:ascii="Times New Roman" w:eastAsia="宋体" w:hAnsi="Times New Roman" w:cs="宋体"/>
          <w:lang w:eastAsia="zh-CN"/>
        </w:rPr>
        <w:t>外周血管斑块旋切器械的现有指南以其现行形式保持有效，直至选择更新草案最终定稿。</w:t>
      </w:r>
      <w:r w:rsidRPr="007C0ED2">
        <w:rPr>
          <w:rFonts w:ascii="Times New Roman" w:eastAsia="宋体" w:hAnsi="Times New Roman" w:cs="宋体"/>
          <w:lang w:eastAsia="zh-CN"/>
        </w:rPr>
        <w:t>FDA</w:t>
      </w:r>
      <w:r w:rsidRPr="007C0ED2">
        <w:rPr>
          <w:rFonts w:ascii="Times New Roman" w:eastAsia="宋体" w:hAnsi="Times New Roman" w:cs="宋体"/>
          <w:lang w:eastAsia="zh-CN"/>
        </w:rPr>
        <w:t>预期在获取并考虑了这些选择更新的公开意见后，将本草案选择更新指南与现有指南合并到一份最终指南文件中。下面提到的拟议章节是在</w:t>
      </w:r>
      <w:r w:rsidRPr="007C0ED2">
        <w:rPr>
          <w:rFonts w:ascii="Times New Roman" w:eastAsia="宋体" w:hAnsi="Times New Roman" w:cs="宋体"/>
          <w:lang w:eastAsia="zh-CN"/>
        </w:rPr>
        <w:t>FDA</w:t>
      </w:r>
      <w:r w:rsidRPr="007C0ED2">
        <w:rPr>
          <w:rFonts w:ascii="Times New Roman" w:eastAsia="宋体" w:hAnsi="Times New Roman" w:cs="宋体"/>
          <w:lang w:eastAsia="zh-CN"/>
        </w:rPr>
        <w:t>考虑到公众对这个选择更新草案的意见后，为替代现有斑块旋切术指南的适用章节或在其中添加新章节。</w:t>
      </w:r>
      <w:r w:rsidRPr="007C0ED2">
        <w:rPr>
          <w:rFonts w:ascii="Times New Roman" w:eastAsia="宋体" w:hAnsi="Times New Roman" w:cs="宋体"/>
          <w:lang w:eastAsia="zh-CN"/>
        </w:rPr>
        <w:t>FDA</w:t>
      </w:r>
      <w:r w:rsidRPr="007C0ED2">
        <w:rPr>
          <w:rFonts w:ascii="Times New Roman" w:eastAsia="宋体" w:hAnsi="Times New Roman" w:cs="宋体"/>
          <w:lang w:eastAsia="zh-CN"/>
        </w:rPr>
        <w:t>并不打算实质性变更现有斑块旋切术指南中不受此次选择更新影响的部分。</w:t>
      </w:r>
    </w:p>
    <w:p w14:paraId="6441D4B6" w14:textId="2FDF806F" w:rsidR="00EA42FA" w:rsidRDefault="00E312EA" w:rsidP="007C0ED2">
      <w:pPr>
        <w:adjustRightInd w:val="0"/>
        <w:snapToGrid w:val="0"/>
        <w:spacing w:beforeLines="50" w:before="120" w:line="300" w:lineRule="auto"/>
        <w:jc w:val="both"/>
        <w:rPr>
          <w:rFonts w:ascii="Times New Roman" w:eastAsia="宋体" w:hAnsi="Times New Roman" w:cs="宋体"/>
          <w:lang w:eastAsia="zh-CN"/>
        </w:rPr>
      </w:pPr>
      <w:r w:rsidRPr="007C0ED2">
        <w:rPr>
          <w:rFonts w:ascii="Times New Roman" w:eastAsia="宋体" w:hAnsi="Times New Roman" w:cs="宋体"/>
          <w:lang w:eastAsia="zh-CN"/>
        </w:rPr>
        <w:t>如需了解本文件中引用的</w:t>
      </w:r>
      <w:r w:rsidRPr="007C0ED2">
        <w:rPr>
          <w:rFonts w:ascii="Times New Roman" w:eastAsia="宋体" w:hAnsi="Times New Roman" w:cs="宋体"/>
          <w:lang w:eastAsia="zh-CN"/>
        </w:rPr>
        <w:t>FDA</w:t>
      </w:r>
      <w:r w:rsidRPr="007C0ED2">
        <w:rPr>
          <w:rFonts w:ascii="Times New Roman" w:eastAsia="宋体" w:hAnsi="Times New Roman" w:cs="宋体"/>
          <w:lang w:eastAsia="zh-CN"/>
        </w:rPr>
        <w:t>认可标准的现行版本，请参见</w:t>
      </w:r>
      <w:r w:rsidRPr="007C0ED2">
        <w:rPr>
          <w:rFonts w:ascii="Times New Roman" w:eastAsia="宋体" w:hAnsi="Times New Roman" w:cs="宋体"/>
          <w:color w:val="0000FF"/>
          <w:u w:val="single"/>
          <w:lang w:eastAsia="zh-CN"/>
        </w:rPr>
        <w:t>FDA</w:t>
      </w:r>
      <w:r w:rsidRPr="007C0ED2">
        <w:rPr>
          <w:rFonts w:ascii="Times New Roman" w:eastAsia="宋体" w:hAnsi="Times New Roman" w:cs="宋体"/>
          <w:color w:val="0000FF"/>
          <w:u w:val="single"/>
          <w:lang w:eastAsia="zh-CN"/>
        </w:rPr>
        <w:t>认可的共识标准数据库</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2</w:t>
      </w:r>
      <w:r w:rsidR="00DC0A7A" w:rsidRPr="00DC0A7A">
        <w:rPr>
          <w:rFonts w:ascii="Times New Roman" w:eastAsia="宋体" w:hAnsi="Times New Roman" w:cs="宋体" w:hint="eastAsia"/>
          <w:lang w:eastAsia="zh-CN"/>
        </w:rPr>
        <w:t>关于监管申报资料中共</w:t>
      </w:r>
      <w:proofErr w:type="gramStart"/>
      <w:r w:rsidR="00DC0A7A" w:rsidRPr="00DC0A7A">
        <w:rPr>
          <w:rFonts w:ascii="Times New Roman" w:eastAsia="宋体" w:hAnsi="Times New Roman" w:cs="宋体" w:hint="eastAsia"/>
          <w:lang w:eastAsia="zh-CN"/>
        </w:rPr>
        <w:t>识标准</w:t>
      </w:r>
      <w:proofErr w:type="gramEnd"/>
      <w:r w:rsidR="00DC0A7A" w:rsidRPr="00DC0A7A">
        <w:rPr>
          <w:rFonts w:ascii="Times New Roman" w:eastAsia="宋体" w:hAnsi="Times New Roman" w:cs="宋体" w:hint="eastAsia"/>
          <w:lang w:eastAsia="zh-CN"/>
        </w:rPr>
        <w:t>的使用的更多信息，请参见标题为《医疗器械上市前申报资料中自愿性共识标准的适当使用》</w:t>
      </w:r>
      <w:r w:rsidR="00DD34DC" w:rsidRPr="007C0ED2">
        <w:rPr>
          <w:rFonts w:ascii="Times New Roman" w:eastAsia="宋体" w:hAnsi="Times New Roman" w:cs="宋体"/>
          <w:vertAlign w:val="superscript"/>
          <w:lang w:eastAsia="zh-CN"/>
        </w:rPr>
        <w:t>3</w:t>
      </w:r>
      <w:r w:rsidR="00DC0A7A" w:rsidRPr="00DC0A7A">
        <w:rPr>
          <w:rFonts w:ascii="Times New Roman" w:eastAsia="宋体" w:hAnsi="Times New Roman" w:cs="宋体" w:hint="eastAsia"/>
          <w:lang w:eastAsia="zh-CN"/>
        </w:rPr>
        <w:t>的</w:t>
      </w:r>
      <w:r w:rsidR="00DC0A7A" w:rsidRPr="00DC0A7A">
        <w:rPr>
          <w:rFonts w:ascii="Times New Roman" w:eastAsia="宋体" w:hAnsi="Times New Roman" w:cs="宋体"/>
          <w:lang w:eastAsia="zh-CN"/>
        </w:rPr>
        <w:t>FDA</w:t>
      </w:r>
      <w:r w:rsidR="00DC0A7A" w:rsidRPr="00DC0A7A">
        <w:rPr>
          <w:rFonts w:ascii="Times New Roman" w:eastAsia="宋体" w:hAnsi="Times New Roman" w:cs="宋体"/>
          <w:lang w:eastAsia="zh-CN"/>
        </w:rPr>
        <w:t>指南</w:t>
      </w:r>
      <w:r w:rsidRPr="007C0ED2">
        <w:rPr>
          <w:rFonts w:ascii="Times New Roman" w:eastAsia="宋体" w:hAnsi="Times New Roman" w:cs="宋体"/>
          <w:lang w:eastAsia="zh-CN"/>
        </w:rPr>
        <w:t>。</w:t>
      </w:r>
    </w:p>
    <w:p w14:paraId="4C8A2621" w14:textId="77777777" w:rsidR="007C0ED2" w:rsidRDefault="007C0ED2" w:rsidP="007C0ED2">
      <w:pPr>
        <w:adjustRightInd w:val="0"/>
        <w:snapToGrid w:val="0"/>
        <w:spacing w:beforeLines="50" w:before="120" w:line="300" w:lineRule="auto"/>
        <w:jc w:val="both"/>
        <w:rPr>
          <w:rFonts w:ascii="Times New Roman" w:eastAsia="宋体" w:hAnsi="Times New Roman" w:cs="宋体"/>
          <w:lang w:eastAsia="zh-CN"/>
        </w:rPr>
      </w:pPr>
    </w:p>
    <w:p w14:paraId="6AE59BEC" w14:textId="77777777" w:rsidR="007C0ED2" w:rsidRDefault="007C0ED2" w:rsidP="007C0ED2">
      <w:pPr>
        <w:adjustRightInd w:val="0"/>
        <w:snapToGrid w:val="0"/>
        <w:spacing w:beforeLines="50" w:before="120" w:line="300" w:lineRule="auto"/>
        <w:jc w:val="both"/>
        <w:rPr>
          <w:rFonts w:ascii="Times New Roman" w:eastAsia="宋体" w:hAnsi="Times New Roman" w:cs="宋体"/>
          <w:lang w:eastAsia="zh-CN"/>
        </w:rPr>
      </w:pPr>
    </w:p>
    <w:p w14:paraId="059BA812" w14:textId="77777777" w:rsidR="0052255A" w:rsidRPr="007C0ED2" w:rsidRDefault="0052255A" w:rsidP="007C0ED2">
      <w:pPr>
        <w:pStyle w:val="aa"/>
        <w:tabs>
          <w:tab w:val="left" w:pos="115"/>
        </w:tabs>
        <w:adjustRightInd w:val="0"/>
        <w:snapToGrid w:val="0"/>
        <w:spacing w:beforeLines="50" w:before="120" w:line="300" w:lineRule="auto"/>
        <w:jc w:val="both"/>
        <w:rPr>
          <w:rFonts w:eastAsia="宋体"/>
          <w:snapToGrid w:val="0"/>
          <w:color w:val="000000"/>
          <w:sz w:val="24"/>
          <w:szCs w:val="24"/>
          <w:u w:val="none"/>
          <w:lang w:eastAsia="zh-CN"/>
        </w:rPr>
      </w:pPr>
      <w:r w:rsidRPr="007C0ED2">
        <w:rPr>
          <w:rFonts w:eastAsia="宋体" w:cs="宋体"/>
          <w:color w:val="000000"/>
          <w:sz w:val="24"/>
        </w:rPr>
        <w:t>___________________</w:t>
      </w:r>
    </w:p>
    <w:p w14:paraId="3F8B6D6A"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r w:rsidRPr="007C0ED2">
        <w:rPr>
          <w:rFonts w:eastAsia="宋体"/>
          <w:snapToGrid w:val="0"/>
          <w:color w:val="000000"/>
          <w:sz w:val="21"/>
          <w:szCs w:val="21"/>
          <w:u w:val="none"/>
          <w:vertAlign w:val="superscript"/>
        </w:rPr>
        <w:t>1</w:t>
      </w:r>
      <w:hyperlink r:id="rId11" w:history="1">
        <w:r w:rsidR="002D1F2B" w:rsidRPr="007F29FF">
          <w:rPr>
            <w:rStyle w:val="af2"/>
            <w:rFonts w:eastAsia="宋体"/>
            <w:snapToGrid w:val="0"/>
            <w:sz w:val="21"/>
            <w:szCs w:val="21"/>
          </w:rPr>
          <w:t>https://www.fda.gov/regulatory-information/search-fda-guidance-documents/peripheral-vascular-atherectomy-</w:t>
        </w:r>
      </w:hyperlink>
      <w:r w:rsidR="0052255A" w:rsidRPr="007C0ED2">
        <w:rPr>
          <w:rFonts w:eastAsia="宋体"/>
          <w:snapToGrid w:val="0"/>
          <w:sz w:val="21"/>
          <w:szCs w:val="21"/>
        </w:rPr>
        <w:t xml:space="preserve"> </w:t>
      </w:r>
      <w:hyperlink r:id="rId12" w:history="1">
        <w:r w:rsidRPr="007C0ED2">
          <w:rPr>
            <w:rFonts w:eastAsia="宋体"/>
            <w:snapToGrid w:val="0"/>
            <w:sz w:val="21"/>
            <w:szCs w:val="21"/>
          </w:rPr>
          <w:t>devices-premarket-notification-510k-submissions</w:t>
        </w:r>
      </w:hyperlink>
    </w:p>
    <w:p w14:paraId="62F16228"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bookmarkStart w:id="2" w:name="bookmark5"/>
      <w:r w:rsidRPr="007C0ED2">
        <w:rPr>
          <w:rFonts w:eastAsia="宋体"/>
          <w:snapToGrid w:val="0"/>
          <w:color w:val="000000"/>
          <w:sz w:val="21"/>
          <w:szCs w:val="21"/>
          <w:u w:val="none"/>
          <w:vertAlign w:val="superscript"/>
        </w:rPr>
        <w:t>2</w:t>
      </w:r>
      <w:r w:rsidR="0052255A" w:rsidRPr="007C0ED2">
        <w:rPr>
          <w:rFonts w:eastAsia="宋体"/>
          <w:snapToGrid w:val="0"/>
          <w:color w:val="000000"/>
          <w:sz w:val="21"/>
          <w:szCs w:val="21"/>
          <w:u w:val="none"/>
        </w:rPr>
        <w:t xml:space="preserve"> </w:t>
      </w:r>
      <w:hyperlink r:id="rId13" w:history="1">
        <w:r w:rsidRPr="007C0ED2">
          <w:rPr>
            <w:rFonts w:eastAsia="宋体"/>
            <w:snapToGrid w:val="0"/>
            <w:sz w:val="21"/>
            <w:szCs w:val="21"/>
          </w:rPr>
          <w:t>https://www.accessdata.fda.gov/scripts/cdrh/cfdocs/cfStandards/search.cfm</w:t>
        </w:r>
      </w:hyperlink>
      <w:r w:rsidRPr="007C0ED2">
        <w:rPr>
          <w:rFonts w:eastAsia="宋体"/>
          <w:snapToGrid w:val="0"/>
          <w:color w:val="000000"/>
          <w:sz w:val="21"/>
          <w:szCs w:val="21"/>
          <w:u w:val="none"/>
        </w:rPr>
        <w:t>.</w:t>
      </w:r>
      <w:bookmarkEnd w:id="2"/>
    </w:p>
    <w:p w14:paraId="614F92E3"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r w:rsidRPr="007C0ED2">
        <w:rPr>
          <w:rFonts w:eastAsia="宋体"/>
          <w:snapToGrid w:val="0"/>
          <w:color w:val="000000"/>
          <w:sz w:val="21"/>
          <w:szCs w:val="21"/>
          <w:u w:val="none"/>
          <w:vertAlign w:val="superscript"/>
        </w:rPr>
        <w:t>3</w:t>
      </w:r>
      <w:hyperlink r:id="rId14" w:history="1">
        <w:r w:rsidR="002D1F2B" w:rsidRPr="007F29FF">
          <w:rPr>
            <w:rStyle w:val="af2"/>
            <w:rFonts w:eastAsia="宋体"/>
            <w:snapToGrid w:val="0"/>
            <w:sz w:val="21"/>
            <w:szCs w:val="21"/>
          </w:rPr>
          <w:t>https://www.fda.gov/regulatorv-information/search-fda-guidance-documents/appropriate-use-voluntarv-consensus-</w:t>
        </w:r>
      </w:hyperlink>
      <w:r w:rsidR="0052255A" w:rsidRPr="007C0ED2">
        <w:rPr>
          <w:rFonts w:eastAsia="宋体"/>
          <w:snapToGrid w:val="0"/>
          <w:sz w:val="21"/>
          <w:szCs w:val="21"/>
        </w:rPr>
        <w:t xml:space="preserve"> </w:t>
      </w:r>
      <w:hyperlink r:id="rId15" w:history="1">
        <w:r w:rsidRPr="007C0ED2">
          <w:rPr>
            <w:rFonts w:eastAsia="宋体"/>
            <w:snapToGrid w:val="0"/>
            <w:sz w:val="21"/>
            <w:szCs w:val="21"/>
          </w:rPr>
          <w:t>standards-premarket-submissions-medical-devices</w:t>
        </w:r>
      </w:hyperlink>
      <w:r w:rsidRPr="007C0ED2">
        <w:rPr>
          <w:rFonts w:eastAsia="宋体"/>
          <w:snapToGrid w:val="0"/>
          <w:color w:val="000000"/>
          <w:sz w:val="21"/>
          <w:szCs w:val="21"/>
          <w:u w:val="none"/>
        </w:rPr>
        <w:t>.</w:t>
      </w:r>
    </w:p>
    <w:p w14:paraId="44C3000E" w14:textId="77777777" w:rsidR="0052255A" w:rsidRPr="007C0ED2" w:rsidRDefault="0052255A" w:rsidP="007C0ED2">
      <w:pPr>
        <w:rPr>
          <w:rFonts w:ascii="Times New Roman" w:eastAsia="宋体" w:hAnsi="Times New Roman" w:cs="Times New Roman"/>
          <w:snapToGrid w:val="0"/>
        </w:rPr>
      </w:pPr>
      <w:r w:rsidRPr="007C0ED2">
        <w:rPr>
          <w:rFonts w:ascii="Times New Roman" w:eastAsia="宋体" w:hAnsi="Times New Roman" w:cs="宋体"/>
          <w:b/>
          <w:i/>
        </w:rPr>
        <w:br w:type="page"/>
      </w:r>
    </w:p>
    <w:p w14:paraId="07E60104" w14:textId="38C2A0FA" w:rsidR="00EA42FA" w:rsidRPr="007C0ED2" w:rsidRDefault="00716A7E"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16A7E">
        <w:rPr>
          <w:rFonts w:ascii="Times New Roman" w:eastAsia="宋体" w:hAnsi="Times New Roman" w:cs="宋体"/>
          <w:lang w:eastAsia="zh-CN"/>
        </w:rPr>
        <w:lastRenderedPageBreak/>
        <w:t>FDA</w:t>
      </w:r>
      <w:r w:rsidRPr="00716A7E">
        <w:rPr>
          <w:rFonts w:ascii="Times New Roman" w:eastAsia="宋体" w:hAnsi="Times New Roman" w:cs="宋体"/>
          <w:lang w:eastAsia="zh-CN"/>
        </w:rPr>
        <w:t>指导性文件，包括本</w:t>
      </w:r>
      <w:r w:rsidRPr="00716A7E">
        <w:rPr>
          <w:rFonts w:ascii="Times New Roman" w:eastAsia="宋体" w:hAnsi="Times New Roman" w:cs="宋体" w:hint="eastAsia"/>
          <w:lang w:eastAsia="zh-CN"/>
        </w:rPr>
        <w:t>指南</w:t>
      </w:r>
      <w:r w:rsidRPr="00716A7E">
        <w:rPr>
          <w:rFonts w:ascii="Times New Roman" w:eastAsia="宋体" w:hAnsi="Times New Roman" w:cs="宋体"/>
          <w:lang w:eastAsia="zh-CN"/>
        </w:rPr>
        <w:t>在内，不具有法律强制责任。相反，</w:t>
      </w:r>
      <w:r w:rsidR="00EE2FEF">
        <w:rPr>
          <w:rFonts w:ascii="Times New Roman" w:eastAsia="宋体" w:hAnsi="Times New Roman" w:cs="宋体"/>
          <w:lang w:eastAsia="zh-CN"/>
        </w:rPr>
        <w:t>该</w:t>
      </w:r>
      <w:r w:rsidRPr="00716A7E">
        <w:rPr>
          <w:rFonts w:ascii="Times New Roman" w:eastAsia="宋体" w:hAnsi="Times New Roman" w:cs="宋体"/>
          <w:lang w:eastAsia="zh-CN"/>
        </w:rPr>
        <w:t>指南表明了该机构关于该主题的</w:t>
      </w:r>
      <w:r w:rsidR="00EE2FEF">
        <w:rPr>
          <w:rFonts w:ascii="Times New Roman" w:eastAsia="宋体" w:hAnsi="Times New Roman" w:cs="宋体"/>
          <w:lang w:eastAsia="zh-CN"/>
        </w:rPr>
        <w:t>当前</w:t>
      </w:r>
      <w:r w:rsidRPr="00716A7E">
        <w:rPr>
          <w:rFonts w:ascii="Times New Roman" w:eastAsia="宋体" w:hAnsi="Times New Roman" w:cs="宋体"/>
          <w:lang w:eastAsia="zh-CN"/>
        </w:rPr>
        <w:t>思考，除引用具体的法规或法律要求</w:t>
      </w:r>
      <w:r w:rsidR="00EE2FEF">
        <w:rPr>
          <w:rFonts w:ascii="Times New Roman" w:eastAsia="宋体" w:hAnsi="Times New Roman" w:cs="宋体"/>
          <w:lang w:eastAsia="zh-CN"/>
        </w:rPr>
        <w:t>之外</w:t>
      </w:r>
      <w:r w:rsidRPr="00716A7E">
        <w:rPr>
          <w:rFonts w:ascii="Times New Roman" w:eastAsia="宋体" w:hAnsi="Times New Roman" w:cs="宋体"/>
          <w:lang w:eastAsia="zh-CN"/>
        </w:rPr>
        <w:t>，</w:t>
      </w:r>
      <w:r w:rsidR="00EE2FEF">
        <w:rPr>
          <w:rFonts w:ascii="Times New Roman" w:eastAsia="宋体" w:hAnsi="Times New Roman" w:cs="宋体" w:hint="eastAsia"/>
          <w:lang w:eastAsia="zh-CN"/>
        </w:rPr>
        <w:t>本指南仅供推荐性使用</w:t>
      </w:r>
      <w:r w:rsidRPr="00716A7E">
        <w:rPr>
          <w:rFonts w:ascii="Times New Roman" w:eastAsia="宋体" w:hAnsi="Times New Roman" w:cs="宋体"/>
          <w:lang w:eastAsia="zh-CN"/>
        </w:rPr>
        <w:t>。在本机构指南中使用词语</w:t>
      </w:r>
      <w:r w:rsidRPr="00716A7E">
        <w:rPr>
          <w:rFonts w:ascii="Times New Roman" w:eastAsia="宋体" w:hAnsi="Times New Roman" w:cs="宋体"/>
          <w:lang w:eastAsia="zh-CN"/>
        </w:rPr>
        <w:t>“</w:t>
      </w:r>
      <w:r w:rsidRPr="00716A7E">
        <w:rPr>
          <w:rFonts w:ascii="Times New Roman" w:eastAsia="宋体" w:hAnsi="Times New Roman" w:cs="宋体"/>
          <w:lang w:eastAsia="zh-CN"/>
        </w:rPr>
        <w:t>应</w:t>
      </w:r>
      <w:r w:rsidR="00EE2FEF">
        <w:rPr>
          <w:rFonts w:ascii="Times New Roman" w:eastAsia="宋体" w:hAnsi="Times New Roman" w:cs="宋体"/>
          <w:lang w:eastAsia="zh-CN"/>
        </w:rPr>
        <w:t>该</w:t>
      </w:r>
      <w:r w:rsidRPr="00716A7E">
        <w:rPr>
          <w:rFonts w:ascii="Times New Roman" w:eastAsia="宋体" w:hAnsi="Times New Roman" w:cs="宋体"/>
          <w:lang w:eastAsia="zh-CN"/>
        </w:rPr>
        <w:t>”</w:t>
      </w:r>
      <w:r w:rsidRPr="00716A7E">
        <w:rPr>
          <w:rFonts w:ascii="Times New Roman" w:eastAsia="宋体" w:hAnsi="Times New Roman" w:cs="宋体"/>
          <w:lang w:eastAsia="zh-CN"/>
        </w:rPr>
        <w:t>是指建议或推荐，并非强制要求。</w:t>
      </w:r>
    </w:p>
    <w:p w14:paraId="1DC1A775" w14:textId="77777777" w:rsidR="00EA42FA" w:rsidRPr="007C0ED2" w:rsidRDefault="00E312EA" w:rsidP="007C0ED2">
      <w:pPr>
        <w:pStyle w:val="13"/>
        <w:rPr>
          <w:rFonts w:eastAsia="宋体"/>
          <w:lang w:eastAsia="zh-CN"/>
        </w:rPr>
      </w:pPr>
      <w:bookmarkStart w:id="3" w:name="_Toc91869503"/>
      <w:r w:rsidRPr="007C0ED2">
        <w:rPr>
          <w:rFonts w:eastAsia="宋体" w:cs="宋体"/>
          <w:lang w:eastAsia="zh-CN"/>
        </w:rPr>
        <w:t>II.</w:t>
      </w:r>
      <w:r w:rsidRPr="007C0ED2">
        <w:rPr>
          <w:rFonts w:eastAsia="宋体" w:cs="宋体"/>
          <w:lang w:eastAsia="zh-CN"/>
        </w:rPr>
        <w:tab/>
      </w:r>
      <w:r w:rsidRPr="007C0ED2">
        <w:rPr>
          <w:rFonts w:eastAsia="宋体" w:cs="宋体"/>
          <w:lang w:eastAsia="zh-CN"/>
        </w:rPr>
        <w:t>非临床试验建议</w:t>
      </w:r>
      <w:bookmarkEnd w:id="3"/>
    </w:p>
    <w:p w14:paraId="29420567" w14:textId="51A9C1E0"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FDA</w:t>
      </w:r>
      <w:r w:rsidRPr="007C0ED2">
        <w:rPr>
          <w:rFonts w:ascii="Times New Roman" w:eastAsia="宋体" w:hAnsi="Times New Roman" w:cs="宋体"/>
          <w:lang w:eastAsia="zh-CN"/>
        </w:rPr>
        <w:t>建议仅更新现有斑块旋切术</w:t>
      </w:r>
      <w:r w:rsidR="005D7E27">
        <w:fldChar w:fldCharType="begin"/>
      </w:r>
      <w:r w:rsidR="005D7E27">
        <w:rPr>
          <w:lang w:eastAsia="zh-CN"/>
        </w:rPr>
        <w:instrText xml:space="preserve"> HYPERLINK "https://www.fda.gov/regulatory-information/search-fda-guidance-documents/guidance-content-premarket-submissions-software-contained-medical-devices" </w:instrText>
      </w:r>
      <w:r w:rsidR="005D7E27">
        <w:fldChar w:fldCharType="separate"/>
      </w:r>
      <w:r w:rsidRPr="007C0ED2">
        <w:rPr>
          <w:rFonts w:ascii="Times New Roman" w:eastAsia="宋体" w:hAnsi="Times New Roman" w:cs="宋体"/>
          <w:snapToGrid w:val="0"/>
          <w:lang w:eastAsia="zh-CN"/>
        </w:rPr>
        <w:t>指南文件</w:t>
      </w:r>
      <w:r w:rsidR="005D7E27">
        <w:rPr>
          <w:rFonts w:ascii="Times New Roman" w:eastAsia="宋体" w:hAnsi="Times New Roman" w:cs="宋体"/>
          <w:snapToGrid w:val="0"/>
          <w:lang w:eastAsia="zh-CN"/>
        </w:rPr>
        <w:fldChar w:fldCharType="end"/>
      </w:r>
      <w:r w:rsidRPr="007C0ED2">
        <w:rPr>
          <w:rFonts w:ascii="Times New Roman" w:eastAsia="宋体" w:hAnsi="Times New Roman" w:cs="宋体"/>
          <w:lang w:eastAsia="zh-CN"/>
        </w:rPr>
        <w:t>第</w:t>
      </w:r>
      <w:r w:rsidRPr="007C0ED2">
        <w:rPr>
          <w:rFonts w:ascii="Times New Roman" w:eastAsia="宋体" w:hAnsi="Times New Roman" w:cs="宋体"/>
          <w:lang w:eastAsia="zh-CN"/>
        </w:rPr>
        <w:t>IV</w:t>
      </w:r>
      <w:r w:rsidRPr="007C0ED2">
        <w:rPr>
          <w:rFonts w:ascii="Times New Roman" w:eastAsia="宋体" w:hAnsi="Times New Roman" w:cs="宋体"/>
          <w:lang w:eastAsia="zh-CN"/>
        </w:rPr>
        <w:t>节中包含的建议子集。</w:t>
      </w:r>
    </w:p>
    <w:p w14:paraId="64D60859" w14:textId="77777777" w:rsidR="00EA42FA" w:rsidRPr="007C0ED2" w:rsidRDefault="00E312EA" w:rsidP="007C0ED2">
      <w:pPr>
        <w:pStyle w:val="25"/>
        <w:rPr>
          <w:rFonts w:eastAsia="宋体"/>
          <w:lang w:eastAsia="zh-CN"/>
        </w:rPr>
      </w:pPr>
      <w:bookmarkStart w:id="4" w:name="_Toc91869504"/>
      <w:r w:rsidRPr="007C0ED2">
        <w:rPr>
          <w:rFonts w:eastAsia="宋体" w:cs="宋体"/>
          <w:lang w:eastAsia="zh-CN"/>
        </w:rPr>
        <w:t>C.</w:t>
      </w:r>
      <w:r w:rsidRPr="007C0ED2">
        <w:rPr>
          <w:rFonts w:eastAsia="宋体" w:cs="宋体"/>
          <w:lang w:eastAsia="zh-CN"/>
        </w:rPr>
        <w:tab/>
      </w:r>
      <w:r w:rsidRPr="007C0ED2">
        <w:rPr>
          <w:rFonts w:eastAsia="宋体" w:cs="宋体"/>
          <w:lang w:eastAsia="zh-CN"/>
        </w:rPr>
        <w:t>软件</w:t>
      </w:r>
      <w:bookmarkEnd w:id="4"/>
    </w:p>
    <w:p w14:paraId="020B2690" w14:textId="1DA65C22"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意义</w:t>
      </w:r>
      <w:r w:rsidRPr="007C0ED2">
        <w:rPr>
          <w:rFonts w:ascii="Times New Roman" w:eastAsia="宋体" w:hAnsi="Times New Roman" w:cs="宋体"/>
          <w:lang w:eastAsia="zh-CN"/>
        </w:rPr>
        <w:t>：粥样</w:t>
      </w:r>
      <w:r w:rsidR="008D24C3">
        <w:rPr>
          <w:rFonts w:ascii="Times New Roman" w:eastAsia="宋体" w:hAnsi="Times New Roman" w:cs="宋体"/>
          <w:lang w:eastAsia="zh-CN"/>
        </w:rPr>
        <w:t>斑块旋切</w:t>
      </w:r>
      <w:r w:rsidRPr="007C0ED2">
        <w:rPr>
          <w:rFonts w:ascii="Times New Roman" w:eastAsia="宋体" w:hAnsi="Times New Roman" w:cs="宋体"/>
          <w:lang w:eastAsia="zh-CN"/>
        </w:rPr>
        <w:t>术器械中的软件可能包括多种功能，包括确保不会发生可能造成危险的故障（例如，造成伤害、错误诊断或延迟递送）至直接控制器械切割</w:t>
      </w:r>
      <w:r w:rsidRPr="007C0ED2">
        <w:rPr>
          <w:rFonts w:ascii="Times New Roman" w:eastAsia="宋体" w:hAnsi="Times New Roman" w:cs="宋体"/>
          <w:lang w:eastAsia="zh-CN"/>
        </w:rPr>
        <w:t>/</w:t>
      </w:r>
      <w:r w:rsidRPr="007C0ED2">
        <w:rPr>
          <w:rFonts w:ascii="Times New Roman" w:eastAsia="宋体" w:hAnsi="Times New Roman" w:cs="宋体"/>
          <w:lang w:eastAsia="zh-CN"/>
        </w:rPr>
        <w:t>激光输出。充分的软件性能试验可确保器械对用户、操作员和患者的安全性。</w:t>
      </w:r>
    </w:p>
    <w:p w14:paraId="00D308D4" w14:textId="424D569C"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建议</w:t>
      </w:r>
      <w:r w:rsidRPr="007C0ED2">
        <w:rPr>
          <w:rFonts w:ascii="Times New Roman" w:eastAsia="宋体" w:hAnsi="Times New Roman" w:cs="宋体"/>
          <w:lang w:eastAsia="zh-CN"/>
        </w:rPr>
        <w:t>：请参阅</w:t>
      </w:r>
      <w:r w:rsidRPr="007C0ED2">
        <w:rPr>
          <w:rFonts w:ascii="Times New Roman" w:eastAsia="宋体" w:hAnsi="Times New Roman" w:cs="宋体"/>
          <w:lang w:eastAsia="zh-CN"/>
        </w:rPr>
        <w:t>FDA</w:t>
      </w:r>
      <w:r w:rsidRPr="007C0ED2">
        <w:rPr>
          <w:rFonts w:ascii="Times New Roman" w:eastAsia="宋体" w:hAnsi="Times New Roman" w:cs="宋体"/>
          <w:lang w:eastAsia="zh-CN"/>
        </w:rPr>
        <w:t>软件指南《</w:t>
      </w:r>
      <w:r w:rsidR="00C563AB">
        <w:rPr>
          <w:rFonts w:ascii="Times New Roman" w:eastAsia="宋体" w:hAnsi="Times New Roman" w:cs="宋体"/>
          <w:color w:val="0000FF"/>
          <w:u w:val="single"/>
          <w:lang w:eastAsia="zh-CN"/>
        </w:rPr>
        <w:t>医疗器械软件上市前提交内容</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4</w:t>
      </w:r>
      <w:r w:rsidRPr="007C0ED2">
        <w:rPr>
          <w:rFonts w:ascii="Times New Roman" w:eastAsia="宋体" w:hAnsi="Times New Roman" w:cs="宋体"/>
          <w:lang w:eastAsia="zh-CN"/>
        </w:rPr>
        <w:t>，以</w:t>
      </w:r>
      <w:proofErr w:type="gramStart"/>
      <w:r w:rsidRPr="007C0ED2">
        <w:rPr>
          <w:rFonts w:ascii="Times New Roman" w:eastAsia="宋体" w:hAnsi="Times New Roman" w:cs="宋体"/>
          <w:lang w:eastAsia="zh-CN"/>
        </w:rPr>
        <w:t>讨论您</w:t>
      </w:r>
      <w:proofErr w:type="gramEnd"/>
      <w:r w:rsidRPr="007C0ED2">
        <w:rPr>
          <w:rFonts w:ascii="Times New Roman" w:eastAsia="宋体" w:hAnsi="Times New Roman" w:cs="宋体"/>
          <w:lang w:eastAsia="zh-CN"/>
        </w:rPr>
        <w:t>应在提交资料中提供的软件文档。该软件指南概述了应根据与器械相关的</w:t>
      </w:r>
      <w:r w:rsidRPr="007C0ED2">
        <w:rPr>
          <w:rFonts w:ascii="Times New Roman" w:eastAsia="宋体" w:hAnsi="Times New Roman" w:cs="宋体"/>
          <w:lang w:eastAsia="zh-CN"/>
        </w:rPr>
        <w:t>“</w:t>
      </w:r>
      <w:r w:rsidRPr="007C0ED2">
        <w:rPr>
          <w:rFonts w:ascii="Times New Roman" w:eastAsia="宋体" w:hAnsi="Times New Roman" w:cs="宋体"/>
          <w:lang w:eastAsia="zh-CN"/>
        </w:rPr>
        <w:t>风险等级</w:t>
      </w:r>
      <w:r w:rsidRPr="007C0ED2">
        <w:rPr>
          <w:rFonts w:ascii="Times New Roman" w:eastAsia="宋体" w:hAnsi="Times New Roman" w:cs="宋体"/>
          <w:lang w:eastAsia="zh-CN"/>
        </w:rPr>
        <w:t>”</w:t>
      </w:r>
      <w:r w:rsidRPr="007C0ED2">
        <w:rPr>
          <w:rFonts w:ascii="Times New Roman" w:eastAsia="宋体" w:hAnsi="Times New Roman" w:cs="宋体"/>
          <w:lang w:eastAsia="zh-CN"/>
        </w:rPr>
        <w:t>（</w:t>
      </w:r>
      <w:r w:rsidRPr="007C0ED2">
        <w:rPr>
          <w:rFonts w:ascii="Times New Roman" w:eastAsia="宋体" w:hAnsi="Times New Roman" w:cs="宋体"/>
          <w:lang w:eastAsia="zh-CN"/>
        </w:rPr>
        <w:t>LOC</w:t>
      </w:r>
      <w:r w:rsidRPr="007C0ED2">
        <w:rPr>
          <w:rFonts w:ascii="Times New Roman" w:eastAsia="宋体" w:hAnsi="Times New Roman" w:cs="宋体"/>
          <w:lang w:eastAsia="zh-CN"/>
        </w:rPr>
        <w:t>）提供的文件类型。通常认为粥样</w:t>
      </w:r>
      <w:r w:rsidR="008D24C3">
        <w:rPr>
          <w:rFonts w:ascii="Times New Roman" w:eastAsia="宋体" w:hAnsi="Times New Roman" w:cs="宋体"/>
          <w:lang w:eastAsia="zh-CN"/>
        </w:rPr>
        <w:t>斑块旋切</w:t>
      </w:r>
      <w:r w:rsidRPr="007C0ED2">
        <w:rPr>
          <w:rFonts w:ascii="Times New Roman" w:eastAsia="宋体" w:hAnsi="Times New Roman" w:cs="宋体"/>
          <w:lang w:eastAsia="zh-CN"/>
        </w:rPr>
        <w:t>术器械的软件应具有中等的</w:t>
      </w:r>
      <w:r w:rsidRPr="007C0ED2">
        <w:rPr>
          <w:rFonts w:ascii="Times New Roman" w:eastAsia="宋体" w:hAnsi="Times New Roman" w:cs="宋体"/>
          <w:lang w:eastAsia="zh-CN"/>
        </w:rPr>
        <w:t>LOC</w:t>
      </w:r>
      <w:r w:rsidRPr="007C0ED2">
        <w:rPr>
          <w:rFonts w:ascii="Times New Roman" w:eastAsia="宋体" w:hAnsi="Times New Roman" w:cs="宋体"/>
          <w:lang w:eastAsia="zh-CN"/>
        </w:rPr>
        <w:t>。然而，新的或罕见的适应症、应用或技术特征（例如，具有控制器械切割</w:t>
      </w:r>
      <w:r w:rsidRPr="007C0ED2">
        <w:rPr>
          <w:rFonts w:ascii="Times New Roman" w:eastAsia="宋体" w:hAnsi="Times New Roman" w:cs="宋体"/>
          <w:lang w:eastAsia="zh-CN"/>
        </w:rPr>
        <w:t>/</w:t>
      </w:r>
      <w:r w:rsidRPr="007C0ED2">
        <w:rPr>
          <w:rFonts w:ascii="Times New Roman" w:eastAsia="宋体" w:hAnsi="Times New Roman" w:cs="宋体"/>
          <w:lang w:eastAsia="zh-CN"/>
        </w:rPr>
        <w:t>激光功能的软件</w:t>
      </w:r>
      <w:r w:rsidR="00E21C99">
        <w:rPr>
          <w:rFonts w:ascii="Times New Roman" w:eastAsia="宋体" w:hAnsi="Times New Roman" w:cs="宋体"/>
          <w:lang w:eastAsia="zh-CN"/>
        </w:rPr>
        <w:t>粥样</w:t>
      </w:r>
      <w:r w:rsidRPr="007C0ED2">
        <w:rPr>
          <w:rFonts w:ascii="Times New Roman" w:eastAsia="宋体" w:hAnsi="Times New Roman" w:cs="宋体"/>
          <w:lang w:eastAsia="zh-CN"/>
        </w:rPr>
        <w:t>斑块旋切</w:t>
      </w:r>
      <w:r w:rsidR="00E21C99">
        <w:rPr>
          <w:rFonts w:ascii="Times New Roman" w:eastAsia="宋体" w:hAnsi="Times New Roman" w:cs="宋体"/>
          <w:lang w:eastAsia="zh-CN"/>
        </w:rPr>
        <w:t>术</w:t>
      </w:r>
      <w:r w:rsidRPr="007C0ED2">
        <w:rPr>
          <w:rFonts w:ascii="Times New Roman" w:eastAsia="宋体" w:hAnsi="Times New Roman" w:cs="宋体"/>
          <w:lang w:eastAsia="zh-CN"/>
        </w:rPr>
        <w:t>器械）可能导致更高的关切水平。如果您认为您器械中的软件呈现软件指南中定义的</w:t>
      </w:r>
      <w:r w:rsidRPr="007C0ED2">
        <w:rPr>
          <w:rFonts w:ascii="Times New Roman" w:eastAsia="宋体" w:hAnsi="Times New Roman" w:cs="宋体"/>
          <w:lang w:eastAsia="zh-CN"/>
        </w:rPr>
        <w:t>“</w:t>
      </w:r>
      <w:r w:rsidRPr="007C0ED2">
        <w:rPr>
          <w:rFonts w:ascii="Times New Roman" w:eastAsia="宋体" w:hAnsi="Times New Roman" w:cs="宋体"/>
          <w:lang w:eastAsia="zh-CN"/>
        </w:rPr>
        <w:t>轻微</w:t>
      </w:r>
      <w:r w:rsidRPr="007C0ED2">
        <w:rPr>
          <w:rFonts w:ascii="Times New Roman" w:eastAsia="宋体" w:hAnsi="Times New Roman" w:cs="宋体"/>
          <w:lang w:eastAsia="zh-CN"/>
        </w:rPr>
        <w:t>”</w:t>
      </w:r>
      <w:r w:rsidRPr="007C0ED2">
        <w:rPr>
          <w:rFonts w:ascii="Times New Roman" w:eastAsia="宋体" w:hAnsi="Times New Roman" w:cs="宋体"/>
          <w:lang w:eastAsia="zh-CN"/>
        </w:rPr>
        <w:t>或</w:t>
      </w:r>
      <w:r w:rsidRPr="007C0ED2">
        <w:rPr>
          <w:rFonts w:ascii="Times New Roman" w:eastAsia="宋体" w:hAnsi="Times New Roman" w:cs="宋体"/>
          <w:lang w:eastAsia="zh-CN"/>
        </w:rPr>
        <w:t>“</w:t>
      </w:r>
      <w:r w:rsidRPr="007C0ED2">
        <w:rPr>
          <w:rFonts w:ascii="Times New Roman" w:eastAsia="宋体" w:hAnsi="Times New Roman" w:cs="宋体"/>
          <w:lang w:eastAsia="zh-CN"/>
        </w:rPr>
        <w:t>中等</w:t>
      </w:r>
      <w:r w:rsidRPr="007C0ED2">
        <w:rPr>
          <w:rFonts w:ascii="Times New Roman" w:eastAsia="宋体" w:hAnsi="Times New Roman" w:cs="宋体"/>
          <w:lang w:eastAsia="zh-CN"/>
        </w:rPr>
        <w:t>”LOC</w:t>
      </w:r>
      <w:r w:rsidRPr="007C0ED2">
        <w:rPr>
          <w:rFonts w:ascii="Times New Roman" w:eastAsia="宋体" w:hAnsi="Times New Roman" w:cs="宋体"/>
          <w:lang w:eastAsia="zh-CN"/>
        </w:rPr>
        <w:t>，您应根据软件故障的可能后果，提供支持</w:t>
      </w:r>
      <w:r w:rsidRPr="007C0ED2">
        <w:rPr>
          <w:rFonts w:ascii="Times New Roman" w:eastAsia="宋体" w:hAnsi="Times New Roman" w:cs="宋体"/>
          <w:lang w:eastAsia="zh-CN"/>
        </w:rPr>
        <w:t>LOC</w:t>
      </w:r>
      <w:r w:rsidRPr="007C0ED2">
        <w:rPr>
          <w:rFonts w:ascii="Times New Roman" w:eastAsia="宋体" w:hAnsi="Times New Roman" w:cs="宋体"/>
          <w:lang w:eastAsia="zh-CN"/>
        </w:rPr>
        <w:t>依据的科学理由。</w:t>
      </w:r>
    </w:p>
    <w:p w14:paraId="3B066E6E" w14:textId="467B20CE" w:rsidR="00EA42FA" w:rsidRPr="007C0ED2" w:rsidRDefault="00716A7E" w:rsidP="007C0ED2">
      <w:pPr>
        <w:adjustRightInd w:val="0"/>
        <w:snapToGrid w:val="0"/>
        <w:spacing w:beforeLines="50" w:before="120" w:line="300" w:lineRule="auto"/>
        <w:jc w:val="both"/>
        <w:rPr>
          <w:rFonts w:ascii="Times New Roman" w:eastAsia="宋体" w:hAnsi="Times New Roman" w:cs="Times New Roman"/>
          <w:snapToGrid w:val="0"/>
        </w:rPr>
      </w:pPr>
      <w:r>
        <w:rPr>
          <w:rFonts w:ascii="Times New Roman" w:eastAsia="宋体" w:hAnsi="Times New Roman" w:cs="宋体"/>
          <w:lang w:eastAsia="zh-CN"/>
        </w:rPr>
        <w:t>建议</w:t>
      </w:r>
      <w:r w:rsidR="00E312EA" w:rsidRPr="007C0ED2">
        <w:rPr>
          <w:rFonts w:ascii="Times New Roman" w:eastAsia="宋体" w:hAnsi="Times New Roman" w:cs="宋体"/>
          <w:lang w:eastAsia="zh-CN"/>
        </w:rPr>
        <w:t>按照《软件指南》提供与适当的风险等级相称的支持目标器械操作的软件</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固件的完整描述。此建议适用于原始器械</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系统以及对已上市器械进行的任何软件</w:t>
      </w:r>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固件变更。软件变更必须根据设计控制（</w:t>
      </w:r>
      <w:r w:rsidR="00E312EA" w:rsidRPr="007C0ED2">
        <w:rPr>
          <w:rFonts w:ascii="Times New Roman" w:eastAsia="宋体" w:hAnsi="Times New Roman" w:cs="宋体"/>
          <w:lang w:eastAsia="zh-CN"/>
        </w:rPr>
        <w:t>21 CFR 820.30(g)(</w:t>
      </w:r>
      <w:proofErr w:type="spellStart"/>
      <w:r w:rsidR="00E312EA" w:rsidRPr="007C0ED2">
        <w:rPr>
          <w:rFonts w:ascii="Times New Roman" w:eastAsia="宋体" w:hAnsi="Times New Roman" w:cs="宋体"/>
          <w:lang w:eastAsia="zh-CN"/>
        </w:rPr>
        <w:t>i</w:t>
      </w:r>
      <w:proofErr w:type="spellEnd"/>
      <w:r w:rsidR="00E312EA" w:rsidRPr="007C0ED2">
        <w:rPr>
          <w:rFonts w:ascii="Times New Roman" w:eastAsia="宋体" w:hAnsi="Times New Roman" w:cs="宋体"/>
          <w:lang w:eastAsia="zh-CN"/>
        </w:rPr>
        <w:t>)</w:t>
      </w:r>
      <w:r w:rsidR="00E312EA" w:rsidRPr="007C0ED2">
        <w:rPr>
          <w:rFonts w:ascii="Times New Roman" w:eastAsia="宋体" w:hAnsi="Times New Roman" w:cs="宋体"/>
          <w:lang w:eastAsia="zh-CN"/>
        </w:rPr>
        <w:t>）进行重新验证和再验证，并记录在设计历史文件（</w:t>
      </w:r>
      <w:r w:rsidR="00E312EA" w:rsidRPr="007C0ED2">
        <w:rPr>
          <w:rFonts w:ascii="Times New Roman" w:eastAsia="宋体" w:hAnsi="Times New Roman" w:cs="宋体"/>
          <w:lang w:eastAsia="zh-CN"/>
        </w:rPr>
        <w:t>21 CFR 820.30(j)</w:t>
      </w:r>
      <w:r w:rsidR="00E312EA" w:rsidRPr="007C0ED2">
        <w:rPr>
          <w:rFonts w:ascii="Times New Roman" w:eastAsia="宋体" w:hAnsi="Times New Roman" w:cs="宋体"/>
          <w:lang w:eastAsia="zh-CN"/>
        </w:rPr>
        <w:t>）中。某些软件变更可能需要提交新的</w:t>
      </w:r>
      <w:r w:rsidR="00E312EA" w:rsidRPr="007C0ED2">
        <w:rPr>
          <w:rFonts w:ascii="Times New Roman" w:eastAsia="宋体" w:hAnsi="Times New Roman" w:cs="宋体"/>
          <w:lang w:eastAsia="zh-CN"/>
        </w:rPr>
        <w:t>510(k)</w:t>
      </w:r>
      <w:r w:rsidR="00E312EA" w:rsidRPr="007C0ED2">
        <w:rPr>
          <w:rFonts w:ascii="Times New Roman" w:eastAsia="宋体" w:hAnsi="Times New Roman" w:cs="宋体"/>
          <w:lang w:eastAsia="zh-CN"/>
        </w:rPr>
        <w:t>。关于这一主题的更多信息，请参阅</w:t>
      </w:r>
      <w:r w:rsidR="00E312EA" w:rsidRPr="007C0ED2">
        <w:rPr>
          <w:rFonts w:ascii="Times New Roman" w:eastAsia="宋体" w:hAnsi="Times New Roman" w:cs="宋体"/>
          <w:lang w:eastAsia="zh-CN"/>
        </w:rPr>
        <w:t>“</w:t>
      </w:r>
      <w:r w:rsidR="00E312EA" w:rsidRPr="007C0ED2">
        <w:rPr>
          <w:rFonts w:ascii="Times New Roman" w:eastAsia="宋体" w:hAnsi="Times New Roman" w:cs="宋体"/>
          <w:color w:val="0000FF"/>
          <w:u w:val="single"/>
          <w:lang w:eastAsia="zh-CN"/>
        </w:rPr>
        <w:t>决定何时提交针对现有器械中软件变更的</w:t>
      </w:r>
      <w:r w:rsidR="00E312EA" w:rsidRPr="007C0ED2">
        <w:rPr>
          <w:rFonts w:ascii="Times New Roman" w:eastAsia="宋体" w:hAnsi="Times New Roman" w:cs="宋体"/>
          <w:color w:val="0000FF"/>
          <w:u w:val="single"/>
          <w:lang w:eastAsia="zh-CN"/>
        </w:rPr>
        <w:t>510(k)</w:t>
      </w:r>
      <w:r w:rsidR="00E312EA" w:rsidRPr="007C0ED2">
        <w:rPr>
          <w:rFonts w:ascii="Times New Roman" w:eastAsia="宋体" w:hAnsi="Times New Roman" w:cs="宋体"/>
          <w:color w:val="0000FF"/>
          <w:u w:val="single"/>
          <w:lang w:eastAsia="zh-CN"/>
        </w:rPr>
        <w:t>文件</w:t>
      </w:r>
      <w:r w:rsidR="00E312EA" w:rsidRPr="007C0ED2">
        <w:rPr>
          <w:rFonts w:ascii="Times New Roman" w:eastAsia="宋体" w:hAnsi="Times New Roman" w:cs="宋体"/>
          <w:lang w:eastAsia="zh-CN"/>
        </w:rPr>
        <w:t>。</w:t>
      </w:r>
      <w:r w:rsidR="00E312EA" w:rsidRPr="007C0ED2">
        <w:rPr>
          <w:rFonts w:ascii="Times New Roman" w:eastAsia="宋体" w:hAnsi="Times New Roman" w:cs="宋体"/>
        </w:rPr>
        <w:t>”</w:t>
      </w:r>
      <w:r w:rsidR="00E312EA" w:rsidRPr="007C0ED2">
        <w:rPr>
          <w:rFonts w:ascii="Times New Roman" w:eastAsia="宋体" w:hAnsi="Times New Roman" w:cs="宋体"/>
          <w:vertAlign w:val="superscript"/>
        </w:rPr>
        <w:t>5</w:t>
      </w:r>
    </w:p>
    <w:p w14:paraId="00C75264" w14:textId="77777777" w:rsidR="007C0ED2" w:rsidRDefault="007C0ED2" w:rsidP="007C0ED2">
      <w:pPr>
        <w:pStyle w:val="aa"/>
        <w:tabs>
          <w:tab w:val="left" w:pos="115"/>
        </w:tabs>
        <w:adjustRightInd w:val="0"/>
        <w:snapToGrid w:val="0"/>
        <w:spacing w:beforeLines="50" w:before="120" w:line="300" w:lineRule="auto"/>
        <w:jc w:val="both"/>
        <w:rPr>
          <w:rFonts w:eastAsia="宋体" w:cs="宋体"/>
          <w:color w:val="000000"/>
          <w:sz w:val="24"/>
          <w:lang w:eastAsia="zh-CN"/>
        </w:rPr>
      </w:pPr>
    </w:p>
    <w:p w14:paraId="79B0844A" w14:textId="77777777" w:rsidR="007C0ED2" w:rsidRDefault="007C0ED2" w:rsidP="007C0ED2">
      <w:pPr>
        <w:pStyle w:val="aa"/>
        <w:tabs>
          <w:tab w:val="left" w:pos="115"/>
        </w:tabs>
        <w:adjustRightInd w:val="0"/>
        <w:snapToGrid w:val="0"/>
        <w:spacing w:beforeLines="50" w:before="120" w:line="300" w:lineRule="auto"/>
        <w:jc w:val="both"/>
        <w:rPr>
          <w:rFonts w:eastAsia="宋体" w:cs="宋体"/>
          <w:color w:val="000000"/>
          <w:sz w:val="24"/>
          <w:lang w:eastAsia="zh-CN"/>
        </w:rPr>
      </w:pPr>
    </w:p>
    <w:p w14:paraId="03D01368" w14:textId="77777777" w:rsidR="007C0ED2" w:rsidRDefault="007C0ED2" w:rsidP="007C0ED2">
      <w:pPr>
        <w:pStyle w:val="aa"/>
        <w:tabs>
          <w:tab w:val="left" w:pos="115"/>
        </w:tabs>
        <w:adjustRightInd w:val="0"/>
        <w:snapToGrid w:val="0"/>
        <w:spacing w:beforeLines="50" w:before="120" w:line="300" w:lineRule="auto"/>
        <w:jc w:val="both"/>
        <w:rPr>
          <w:rFonts w:eastAsia="宋体" w:cs="宋体"/>
          <w:color w:val="000000"/>
          <w:sz w:val="24"/>
          <w:lang w:eastAsia="zh-CN"/>
        </w:rPr>
      </w:pPr>
    </w:p>
    <w:p w14:paraId="608539D9" w14:textId="77777777" w:rsidR="007C0ED2" w:rsidRDefault="007C0ED2" w:rsidP="007C0ED2">
      <w:pPr>
        <w:pStyle w:val="aa"/>
        <w:tabs>
          <w:tab w:val="left" w:pos="115"/>
        </w:tabs>
        <w:adjustRightInd w:val="0"/>
        <w:snapToGrid w:val="0"/>
        <w:spacing w:beforeLines="50" w:before="120" w:line="300" w:lineRule="auto"/>
        <w:jc w:val="both"/>
        <w:rPr>
          <w:rFonts w:eastAsia="宋体" w:cs="宋体"/>
          <w:color w:val="000000"/>
          <w:sz w:val="24"/>
          <w:lang w:eastAsia="zh-CN"/>
        </w:rPr>
      </w:pPr>
    </w:p>
    <w:p w14:paraId="72091518" w14:textId="77777777" w:rsidR="0052255A" w:rsidRPr="007C0ED2" w:rsidRDefault="0052255A" w:rsidP="007C0ED2">
      <w:pPr>
        <w:pStyle w:val="aa"/>
        <w:tabs>
          <w:tab w:val="left" w:pos="115"/>
        </w:tabs>
        <w:adjustRightInd w:val="0"/>
        <w:snapToGrid w:val="0"/>
        <w:spacing w:beforeLines="50" w:before="120" w:line="300" w:lineRule="auto"/>
        <w:jc w:val="both"/>
        <w:rPr>
          <w:rFonts w:eastAsia="宋体"/>
          <w:snapToGrid w:val="0"/>
          <w:color w:val="000000"/>
          <w:sz w:val="24"/>
          <w:szCs w:val="24"/>
          <w:u w:val="none"/>
          <w:lang w:eastAsia="zh-CN"/>
        </w:rPr>
      </w:pPr>
      <w:r w:rsidRPr="007C0ED2">
        <w:rPr>
          <w:rFonts w:eastAsia="宋体" w:cs="宋体"/>
          <w:color w:val="000000"/>
          <w:sz w:val="24"/>
        </w:rPr>
        <w:t>___________________</w:t>
      </w:r>
    </w:p>
    <w:p w14:paraId="617B1CB3"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r w:rsidRPr="007C0ED2">
        <w:rPr>
          <w:rFonts w:eastAsia="宋体"/>
          <w:snapToGrid w:val="0"/>
          <w:color w:val="000000"/>
          <w:sz w:val="21"/>
          <w:szCs w:val="21"/>
          <w:u w:val="none"/>
          <w:vertAlign w:val="superscript"/>
        </w:rPr>
        <w:t>4</w:t>
      </w:r>
      <w:r w:rsidR="0052255A" w:rsidRPr="007C0ED2">
        <w:rPr>
          <w:rFonts w:eastAsia="宋体"/>
          <w:snapToGrid w:val="0"/>
          <w:color w:val="000000"/>
          <w:sz w:val="21"/>
          <w:szCs w:val="21"/>
          <w:u w:val="none"/>
        </w:rPr>
        <w:t xml:space="preserve"> </w:t>
      </w:r>
      <w:hyperlink r:id="rId16" w:history="1">
        <w:r w:rsidRPr="007C0ED2">
          <w:rPr>
            <w:rFonts w:eastAsia="宋体"/>
            <w:snapToGrid w:val="0"/>
            <w:sz w:val="21"/>
            <w:szCs w:val="21"/>
          </w:rPr>
          <w:t>https://www.fda.gov/regulatory-information/search-fda-guidance-documents/guidance-content-premarket-</w:t>
        </w:r>
      </w:hyperlink>
      <w:r w:rsidR="0052255A" w:rsidRPr="007C0ED2">
        <w:rPr>
          <w:rFonts w:eastAsia="宋体"/>
          <w:snapToGrid w:val="0"/>
          <w:sz w:val="21"/>
          <w:szCs w:val="21"/>
        </w:rPr>
        <w:t xml:space="preserve"> </w:t>
      </w:r>
      <w:hyperlink r:id="rId17" w:history="1">
        <w:r w:rsidRPr="007C0ED2">
          <w:rPr>
            <w:rFonts w:eastAsia="宋体"/>
            <w:snapToGrid w:val="0"/>
            <w:sz w:val="21"/>
            <w:szCs w:val="21"/>
          </w:rPr>
          <w:t>submissions-software-contained-medical-devices</w:t>
        </w:r>
      </w:hyperlink>
    </w:p>
    <w:p w14:paraId="4B08D6EB"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bookmarkStart w:id="5" w:name="bookmark12"/>
      <w:r w:rsidRPr="007C0ED2">
        <w:rPr>
          <w:rFonts w:eastAsia="宋体"/>
          <w:snapToGrid w:val="0"/>
          <w:color w:val="000000"/>
          <w:sz w:val="21"/>
          <w:szCs w:val="21"/>
          <w:u w:val="none"/>
          <w:vertAlign w:val="superscript"/>
        </w:rPr>
        <w:t>5</w:t>
      </w:r>
      <w:r w:rsidR="0052255A" w:rsidRPr="007C0ED2">
        <w:rPr>
          <w:rFonts w:eastAsia="宋体"/>
          <w:snapToGrid w:val="0"/>
          <w:color w:val="000000"/>
          <w:sz w:val="21"/>
          <w:szCs w:val="21"/>
          <w:u w:val="none"/>
        </w:rPr>
        <w:t xml:space="preserve"> </w:t>
      </w:r>
      <w:hyperlink r:id="rId18" w:history="1">
        <w:r w:rsidRPr="007C0ED2">
          <w:rPr>
            <w:rFonts w:eastAsia="宋体"/>
            <w:snapToGrid w:val="0"/>
            <w:sz w:val="21"/>
            <w:szCs w:val="21"/>
          </w:rPr>
          <w:t>https://www.fda.gov/regulatory-information/search-fda-guidance-documents/deciding-when-submit-510k-</w:t>
        </w:r>
      </w:hyperlink>
      <w:r w:rsidR="0052255A" w:rsidRPr="007C0ED2">
        <w:rPr>
          <w:rFonts w:eastAsia="宋体"/>
          <w:snapToGrid w:val="0"/>
          <w:sz w:val="21"/>
          <w:szCs w:val="21"/>
        </w:rPr>
        <w:t xml:space="preserve"> </w:t>
      </w:r>
      <w:hyperlink r:id="rId19" w:history="1">
        <w:r w:rsidRPr="007C0ED2">
          <w:rPr>
            <w:rFonts w:eastAsia="宋体"/>
            <w:snapToGrid w:val="0"/>
            <w:sz w:val="21"/>
            <w:szCs w:val="21"/>
          </w:rPr>
          <w:t>software-change-existing-device</w:t>
        </w:r>
        <w:bookmarkEnd w:id="5"/>
      </w:hyperlink>
    </w:p>
    <w:p w14:paraId="2D29D1AF" w14:textId="77777777" w:rsidR="0052255A" w:rsidRPr="007C0ED2" w:rsidRDefault="0052255A" w:rsidP="007C0ED2">
      <w:pPr>
        <w:rPr>
          <w:rFonts w:ascii="Times New Roman" w:eastAsia="宋体" w:hAnsi="Times New Roman" w:cs="Times New Roman"/>
          <w:snapToGrid w:val="0"/>
          <w:lang w:eastAsia="zh-CN"/>
        </w:rPr>
      </w:pPr>
      <w:r w:rsidRPr="007C0ED2">
        <w:rPr>
          <w:rFonts w:ascii="Times New Roman" w:eastAsia="宋体" w:hAnsi="Times New Roman" w:cs="宋体"/>
          <w:b/>
          <w:i/>
        </w:rPr>
        <w:br w:type="page"/>
      </w:r>
    </w:p>
    <w:p w14:paraId="385DF806" w14:textId="048D9EB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lastRenderedPageBreak/>
        <w:t>根据需要，您还应提供有关</w:t>
      </w:r>
      <w:r w:rsidR="00716A7E">
        <w:rPr>
          <w:rFonts w:ascii="Times New Roman" w:eastAsia="宋体" w:hAnsi="Times New Roman" w:cs="宋体"/>
          <w:lang w:eastAsia="zh-CN"/>
        </w:rPr>
        <w:t>贵公司器械</w:t>
      </w:r>
      <w:r w:rsidRPr="007C0ED2">
        <w:rPr>
          <w:rFonts w:ascii="Times New Roman" w:eastAsia="宋体" w:hAnsi="Times New Roman" w:cs="宋体"/>
          <w:lang w:eastAsia="zh-CN"/>
        </w:rPr>
        <w:t>网络安全方面的信息。有关这一主题的更多信息，请参见</w:t>
      </w:r>
      <w:r w:rsidRPr="007C0ED2">
        <w:rPr>
          <w:rFonts w:ascii="Times New Roman" w:eastAsia="宋体" w:hAnsi="Times New Roman" w:cs="宋体"/>
          <w:lang w:eastAsia="zh-CN"/>
        </w:rPr>
        <w:t>FDA</w:t>
      </w:r>
      <w:r w:rsidRPr="007C0ED2">
        <w:rPr>
          <w:rFonts w:ascii="Times New Roman" w:eastAsia="宋体" w:hAnsi="Times New Roman" w:cs="宋体"/>
          <w:lang w:eastAsia="zh-CN"/>
        </w:rPr>
        <w:t>的指南《</w:t>
      </w:r>
      <w:r w:rsidRPr="007C0ED2">
        <w:rPr>
          <w:rFonts w:ascii="Times New Roman" w:eastAsia="宋体" w:hAnsi="Times New Roman" w:cs="宋体"/>
          <w:color w:val="0000FF"/>
          <w:u w:val="single"/>
          <w:lang w:eastAsia="zh-CN"/>
        </w:rPr>
        <w:t>医疗器械网络安全管理</w:t>
      </w:r>
      <w:r w:rsidR="00C563AB">
        <w:rPr>
          <w:rFonts w:ascii="Times New Roman" w:eastAsia="宋体" w:hAnsi="Times New Roman" w:cs="宋体"/>
          <w:color w:val="0000FF"/>
          <w:u w:val="single"/>
          <w:lang w:eastAsia="zh-CN"/>
        </w:rPr>
        <w:t>上市前提交</w:t>
      </w:r>
      <w:r w:rsidRPr="007C0ED2">
        <w:rPr>
          <w:rFonts w:ascii="Times New Roman" w:eastAsia="宋体" w:hAnsi="Times New Roman" w:cs="宋体"/>
          <w:color w:val="0000FF"/>
          <w:u w:val="single"/>
          <w:lang w:eastAsia="zh-CN"/>
        </w:rPr>
        <w:t>内容</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6</w:t>
      </w:r>
    </w:p>
    <w:p w14:paraId="0800C2AB"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如果器械包含现成软件，您应提供</w:t>
      </w:r>
      <w:r w:rsidRPr="007C0ED2">
        <w:rPr>
          <w:rFonts w:ascii="Times New Roman" w:eastAsia="宋体" w:hAnsi="Times New Roman" w:cs="宋体"/>
          <w:lang w:eastAsia="zh-CN"/>
        </w:rPr>
        <w:t>FDA</w:t>
      </w:r>
      <w:r w:rsidRPr="007C0ED2">
        <w:rPr>
          <w:rFonts w:ascii="Times New Roman" w:eastAsia="宋体" w:hAnsi="Times New Roman" w:cs="宋体"/>
          <w:lang w:eastAsia="zh-CN"/>
        </w:rPr>
        <w:t>文件建议的附加信息，标题为</w:t>
      </w:r>
      <w:r w:rsidRPr="007C0ED2">
        <w:rPr>
          <w:rFonts w:ascii="Times New Roman" w:eastAsia="宋体" w:hAnsi="Times New Roman" w:cs="宋体"/>
          <w:lang w:eastAsia="zh-CN"/>
        </w:rPr>
        <w:t>“</w:t>
      </w:r>
      <w:hyperlink r:id="rId20" w:history="1">
        <w:r w:rsidRPr="007C0ED2">
          <w:rPr>
            <w:rFonts w:ascii="Times New Roman" w:eastAsia="宋体" w:hAnsi="Times New Roman" w:cs="宋体"/>
            <w:snapToGrid w:val="0"/>
            <w:color w:val="0000FF"/>
            <w:u w:val="single"/>
            <w:lang w:eastAsia="zh-CN"/>
          </w:rPr>
          <w:t>医疗器械中使用的现成的软件</w:t>
        </w:r>
      </w:hyperlink>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7</w:t>
      </w:r>
      <w:r w:rsidRPr="007C0ED2">
        <w:rPr>
          <w:rFonts w:ascii="Times New Roman" w:eastAsia="宋体" w:hAnsi="Times New Roman" w:cs="宋体"/>
          <w:lang w:eastAsia="zh-CN"/>
        </w:rPr>
        <w:t>和</w:t>
      </w:r>
      <w:r w:rsidRPr="007C0ED2">
        <w:rPr>
          <w:rFonts w:ascii="Times New Roman" w:eastAsia="宋体" w:hAnsi="Times New Roman" w:cs="宋体"/>
          <w:lang w:eastAsia="zh-CN"/>
        </w:rPr>
        <w:t>“</w:t>
      </w:r>
      <w:hyperlink r:id="rId21" w:history="1">
        <w:r w:rsidRPr="007C0ED2">
          <w:rPr>
            <w:rFonts w:ascii="Times New Roman" w:eastAsia="宋体" w:hAnsi="Times New Roman" w:cs="宋体"/>
            <w:snapToGrid w:val="0"/>
            <w:color w:val="0000FF"/>
            <w:u w:val="single"/>
            <w:lang w:eastAsia="zh-CN"/>
          </w:rPr>
          <w:t>含现成（</w:t>
        </w:r>
        <w:r w:rsidRPr="007C0ED2">
          <w:rPr>
            <w:rFonts w:ascii="Times New Roman" w:eastAsia="宋体" w:hAnsi="Times New Roman" w:cs="宋体"/>
            <w:snapToGrid w:val="0"/>
            <w:color w:val="0000FF"/>
            <w:u w:val="single"/>
            <w:lang w:eastAsia="zh-CN"/>
          </w:rPr>
          <w:t>OTS</w:t>
        </w:r>
        <w:r w:rsidRPr="007C0ED2">
          <w:rPr>
            <w:rFonts w:ascii="Times New Roman" w:eastAsia="宋体" w:hAnsi="Times New Roman" w:cs="宋体"/>
            <w:snapToGrid w:val="0"/>
            <w:color w:val="0000FF"/>
            <w:u w:val="single"/>
            <w:lang w:eastAsia="zh-CN"/>
          </w:rPr>
          <w:t>）软件联网医疗器械的网络安全</w:t>
        </w:r>
      </w:hyperlink>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8</w:t>
      </w:r>
      <w:r w:rsidRPr="007C0ED2">
        <w:rPr>
          <w:rFonts w:ascii="Times New Roman" w:eastAsia="宋体" w:hAnsi="Times New Roman" w:cs="宋体"/>
          <w:lang w:eastAsia="zh-CN"/>
        </w:rPr>
        <w:t>，这些文档提供了关于采用现成软件的医疗器械附加信息。</w:t>
      </w:r>
    </w:p>
    <w:p w14:paraId="2038CE59" w14:textId="70DC922C"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FDA</w:t>
      </w:r>
      <w:r w:rsidRPr="007C0ED2">
        <w:rPr>
          <w:rFonts w:ascii="Times New Roman" w:eastAsia="宋体" w:hAnsi="Times New Roman" w:cs="宋体"/>
          <w:lang w:eastAsia="zh-CN"/>
        </w:rPr>
        <w:t>已经认可了各种支持医疗器械互操作性的</w:t>
      </w:r>
      <w:proofErr w:type="gramStart"/>
      <w:r w:rsidRPr="007C0ED2">
        <w:rPr>
          <w:rFonts w:ascii="Times New Roman" w:eastAsia="宋体" w:hAnsi="Times New Roman" w:cs="宋体"/>
          <w:lang w:eastAsia="zh-CN"/>
        </w:rPr>
        <w:t>自愿共识</w:t>
      </w:r>
      <w:proofErr w:type="gramEnd"/>
      <w:r w:rsidRPr="007C0ED2">
        <w:rPr>
          <w:rFonts w:ascii="Times New Roman" w:eastAsia="宋体" w:hAnsi="Times New Roman" w:cs="宋体"/>
          <w:lang w:eastAsia="zh-CN"/>
        </w:rPr>
        <w:t>标准，这是确保这些器械的适当功能、性能和接口要求的一种方式。如果</w:t>
      </w:r>
      <w:r w:rsidR="00716A7E">
        <w:rPr>
          <w:rFonts w:ascii="Times New Roman" w:eastAsia="宋体" w:hAnsi="Times New Roman" w:cs="宋体"/>
          <w:lang w:eastAsia="zh-CN"/>
        </w:rPr>
        <w:t>贵公司器械</w:t>
      </w:r>
      <w:r w:rsidRPr="007C0ED2">
        <w:rPr>
          <w:rFonts w:ascii="Times New Roman" w:eastAsia="宋体" w:hAnsi="Times New Roman" w:cs="宋体"/>
          <w:lang w:eastAsia="zh-CN"/>
        </w:rPr>
        <w:t>能够通过电子接口与其他医疗</w:t>
      </w:r>
      <w:r w:rsidRPr="007C0ED2">
        <w:rPr>
          <w:rFonts w:ascii="Times New Roman" w:eastAsia="宋体" w:hAnsi="Times New Roman" w:cs="宋体"/>
          <w:lang w:eastAsia="zh-CN"/>
        </w:rPr>
        <w:t>/</w:t>
      </w:r>
      <w:r w:rsidRPr="007C0ED2">
        <w:rPr>
          <w:rFonts w:ascii="Times New Roman" w:eastAsia="宋体" w:hAnsi="Times New Roman" w:cs="宋体"/>
          <w:lang w:eastAsia="zh-CN"/>
        </w:rPr>
        <w:t>非医疗产品、系统或器械交换和使用信息，您应提供</w:t>
      </w:r>
      <w:r w:rsidRPr="007C0ED2">
        <w:rPr>
          <w:rFonts w:ascii="Times New Roman" w:eastAsia="宋体" w:hAnsi="Times New Roman" w:cs="宋体"/>
          <w:lang w:eastAsia="zh-CN"/>
        </w:rPr>
        <w:t>FDA</w:t>
      </w:r>
      <w:r w:rsidRPr="007C0ED2">
        <w:rPr>
          <w:rFonts w:ascii="Times New Roman" w:eastAsia="宋体" w:hAnsi="Times New Roman" w:cs="宋体"/>
          <w:lang w:eastAsia="zh-CN"/>
        </w:rPr>
        <w:t>指南中建议的附加信息，《</w:t>
      </w:r>
      <w:r w:rsidRPr="007C0ED2">
        <w:rPr>
          <w:rFonts w:ascii="Times New Roman" w:eastAsia="宋体" w:hAnsi="Times New Roman" w:cs="宋体"/>
          <w:color w:val="0000FF"/>
          <w:u w:val="single"/>
          <w:lang w:eastAsia="zh-CN"/>
        </w:rPr>
        <w:t>交互操作医疗器械的设计和</w:t>
      </w:r>
      <w:r w:rsidR="00C563AB">
        <w:rPr>
          <w:rFonts w:ascii="Times New Roman" w:eastAsia="宋体" w:hAnsi="Times New Roman" w:cs="宋体"/>
          <w:color w:val="0000FF"/>
          <w:u w:val="single"/>
          <w:lang w:eastAsia="zh-CN"/>
        </w:rPr>
        <w:t>上市前提交</w:t>
      </w:r>
      <w:r w:rsidRPr="007C0ED2">
        <w:rPr>
          <w:rFonts w:ascii="Times New Roman" w:eastAsia="宋体" w:hAnsi="Times New Roman" w:cs="宋体"/>
          <w:color w:val="0000FF"/>
          <w:u w:val="single"/>
          <w:lang w:eastAsia="zh-CN"/>
        </w:rPr>
        <w:t>的建议</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9</w:t>
      </w:r>
    </w:p>
    <w:p w14:paraId="3E50F6F6"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总的来说，与医疗器械中包含的软件相关的文件应提供足够的证据来描述器械中包含的软件的作用，以及证明软件功能符合设计要求的性能试验。</w:t>
      </w:r>
    </w:p>
    <w:p w14:paraId="431F11E9" w14:textId="77777777" w:rsidR="00EA42FA" w:rsidRPr="007C0ED2" w:rsidRDefault="00E312EA" w:rsidP="007C0ED2">
      <w:pPr>
        <w:pStyle w:val="25"/>
        <w:rPr>
          <w:rFonts w:eastAsia="宋体"/>
          <w:lang w:eastAsia="zh-CN"/>
        </w:rPr>
      </w:pPr>
      <w:bookmarkStart w:id="6" w:name="_Toc91869505"/>
      <w:r w:rsidRPr="007C0ED2">
        <w:rPr>
          <w:rFonts w:eastAsia="宋体" w:cs="宋体"/>
          <w:lang w:eastAsia="zh-CN"/>
        </w:rPr>
        <w:t>F.</w:t>
      </w:r>
      <w:r w:rsidRPr="007C0ED2">
        <w:rPr>
          <w:rFonts w:eastAsia="宋体" w:cs="宋体"/>
          <w:lang w:eastAsia="zh-CN"/>
        </w:rPr>
        <w:tab/>
      </w:r>
      <w:r w:rsidRPr="007C0ED2">
        <w:rPr>
          <w:rFonts w:eastAsia="宋体" w:cs="宋体"/>
          <w:lang w:eastAsia="zh-CN"/>
        </w:rPr>
        <w:t>致热原性</w:t>
      </w:r>
      <w:bookmarkEnd w:id="6"/>
    </w:p>
    <w:p w14:paraId="19FEE99E"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意义</w:t>
      </w:r>
      <w:r w:rsidRPr="007C0ED2">
        <w:rPr>
          <w:rFonts w:ascii="Times New Roman" w:eastAsia="宋体" w:hAnsi="Times New Roman" w:cs="宋体"/>
          <w:lang w:eastAsia="zh-CN"/>
        </w:rPr>
        <w:t>：热原试验用于帮助保护患者免受由革兰氏阴性细菌内毒素和</w:t>
      </w:r>
      <w:proofErr w:type="gramStart"/>
      <w:r w:rsidRPr="007C0ED2">
        <w:rPr>
          <w:rFonts w:ascii="Times New Roman" w:eastAsia="宋体" w:hAnsi="Times New Roman" w:cs="宋体"/>
          <w:lang w:eastAsia="zh-CN"/>
        </w:rPr>
        <w:t>可</w:t>
      </w:r>
      <w:proofErr w:type="gramEnd"/>
      <w:r w:rsidRPr="007C0ED2">
        <w:rPr>
          <w:rFonts w:ascii="Times New Roman" w:eastAsia="宋体" w:hAnsi="Times New Roman" w:cs="宋体"/>
          <w:lang w:eastAsia="zh-CN"/>
        </w:rPr>
        <w:t>从医疗器械中渗出的化学物质（例如，材料</w:t>
      </w:r>
      <w:proofErr w:type="gramStart"/>
      <w:r w:rsidRPr="007C0ED2">
        <w:rPr>
          <w:rFonts w:ascii="Times New Roman" w:eastAsia="宋体" w:hAnsi="Times New Roman" w:cs="宋体"/>
          <w:lang w:eastAsia="zh-CN"/>
        </w:rPr>
        <w:t>介</w:t>
      </w:r>
      <w:proofErr w:type="gramEnd"/>
      <w:r w:rsidRPr="007C0ED2">
        <w:rPr>
          <w:rFonts w:ascii="Times New Roman" w:eastAsia="宋体" w:hAnsi="Times New Roman" w:cs="宋体"/>
          <w:lang w:eastAsia="zh-CN"/>
        </w:rPr>
        <w:t>导的热原）引起的发热反应风险。</w:t>
      </w:r>
    </w:p>
    <w:p w14:paraId="6355214C" w14:textId="18A0FB29" w:rsidR="00E4268D" w:rsidRDefault="00E312EA" w:rsidP="007C0ED2">
      <w:pPr>
        <w:adjustRightInd w:val="0"/>
        <w:snapToGrid w:val="0"/>
        <w:spacing w:beforeLines="50" w:before="120" w:line="300" w:lineRule="auto"/>
        <w:jc w:val="both"/>
        <w:rPr>
          <w:rFonts w:ascii="Times New Roman" w:eastAsia="宋体" w:hAnsi="Times New Roman" w:cs="宋体"/>
          <w:lang w:eastAsia="zh-CN"/>
        </w:rPr>
      </w:pPr>
      <w:r w:rsidRPr="007C0ED2">
        <w:rPr>
          <w:rFonts w:ascii="Times New Roman" w:eastAsia="宋体" w:hAnsi="Times New Roman" w:cs="宋体"/>
          <w:u w:val="single"/>
          <w:lang w:eastAsia="zh-CN"/>
        </w:rPr>
        <w:t>建议</w:t>
      </w:r>
      <w:r w:rsidRPr="007C0ED2">
        <w:rPr>
          <w:rFonts w:ascii="Times New Roman" w:eastAsia="宋体" w:hAnsi="Times New Roman" w:cs="宋体"/>
          <w:lang w:eastAsia="zh-CN"/>
        </w:rPr>
        <w:t>：为了解决与存在细菌内毒素相关的风险，</w:t>
      </w:r>
      <w:r w:rsidR="006415AD">
        <w:rPr>
          <w:rFonts w:ascii="Times New Roman" w:eastAsia="宋体" w:hAnsi="Times New Roman" w:cs="宋体"/>
          <w:lang w:eastAsia="zh-CN"/>
        </w:rPr>
        <w:t>粥样</w:t>
      </w:r>
      <w:r w:rsidRPr="007C0ED2">
        <w:rPr>
          <w:rFonts w:ascii="Times New Roman" w:eastAsia="宋体" w:hAnsi="Times New Roman" w:cs="宋体"/>
          <w:lang w:eastAsia="zh-CN"/>
        </w:rPr>
        <w:t>斑块旋切</w:t>
      </w:r>
      <w:r w:rsidR="006415AD">
        <w:rPr>
          <w:rFonts w:ascii="Times New Roman" w:eastAsia="宋体" w:hAnsi="Times New Roman" w:cs="宋体"/>
          <w:lang w:eastAsia="zh-CN"/>
        </w:rPr>
        <w:t>术</w:t>
      </w:r>
      <w:r w:rsidRPr="007C0ED2">
        <w:rPr>
          <w:rFonts w:ascii="Times New Roman" w:eastAsia="宋体" w:hAnsi="Times New Roman" w:cs="宋体"/>
          <w:lang w:eastAsia="zh-CN"/>
        </w:rPr>
        <w:t>器械应遵循</w:t>
      </w:r>
      <w:r w:rsidRPr="007C0ED2">
        <w:rPr>
          <w:rFonts w:ascii="Times New Roman" w:eastAsia="宋体" w:hAnsi="Times New Roman" w:cs="宋体"/>
          <w:lang w:eastAsia="zh-CN"/>
        </w:rPr>
        <w:t>FDA</w:t>
      </w:r>
      <w:r w:rsidRPr="007C0ED2">
        <w:rPr>
          <w:rFonts w:ascii="Times New Roman" w:eastAsia="宋体" w:hAnsi="Times New Roman" w:cs="宋体"/>
          <w:color w:val="0000FF"/>
          <w:u w:val="single"/>
          <w:lang w:eastAsia="zh-CN"/>
        </w:rPr>
        <w:t>指南</w:t>
      </w:r>
      <w:r w:rsidRPr="007C0ED2">
        <w:rPr>
          <w:rFonts w:ascii="Times New Roman" w:eastAsia="宋体" w:hAnsi="Times New Roman" w:cs="宋体"/>
          <w:lang w:eastAsia="zh-CN"/>
        </w:rPr>
        <w:t>“</w:t>
      </w:r>
      <w:r w:rsidRPr="007C0ED2">
        <w:rPr>
          <w:rFonts w:ascii="Times New Roman" w:eastAsia="宋体" w:hAnsi="Times New Roman" w:cs="宋体"/>
          <w:color w:val="0000FF"/>
          <w:u w:val="single"/>
          <w:lang w:eastAsia="zh-CN"/>
        </w:rPr>
        <w:t>无菌器械上市前通知（</w:t>
      </w:r>
      <w:r w:rsidRPr="007C0ED2">
        <w:rPr>
          <w:rFonts w:ascii="Times New Roman" w:eastAsia="宋体" w:hAnsi="Times New Roman" w:cs="宋体"/>
          <w:color w:val="0000FF"/>
          <w:u w:val="single"/>
          <w:lang w:eastAsia="zh-CN"/>
        </w:rPr>
        <w:t>510(k)</w:t>
      </w:r>
      <w:r w:rsidRPr="007C0ED2">
        <w:rPr>
          <w:rFonts w:ascii="Times New Roman" w:eastAsia="宋体" w:hAnsi="Times New Roman" w:cs="宋体"/>
          <w:color w:val="0000FF"/>
          <w:u w:val="single"/>
          <w:lang w:eastAsia="zh-CN"/>
        </w:rPr>
        <w:t>）申请中无菌信息的申请和审核</w:t>
      </w:r>
      <w:r w:rsidRPr="007C0ED2">
        <w:rPr>
          <w:rFonts w:ascii="Times New Roman" w:eastAsia="宋体" w:hAnsi="Times New Roman" w:cs="宋体"/>
          <w:lang w:eastAsia="zh-CN"/>
        </w:rPr>
        <w:t>”</w:t>
      </w:r>
      <w:r w:rsidRPr="007C0ED2">
        <w:rPr>
          <w:rFonts w:ascii="Times New Roman" w:eastAsia="宋体" w:hAnsi="Times New Roman" w:cs="宋体"/>
          <w:lang w:eastAsia="zh-CN"/>
        </w:rPr>
        <w:t>中的建议，满足热原限值标准。您还应遵循</w:t>
      </w:r>
      <w:r w:rsidRPr="007C0ED2">
        <w:rPr>
          <w:rFonts w:ascii="Times New Roman" w:eastAsia="宋体" w:hAnsi="Times New Roman" w:cs="宋体"/>
          <w:lang w:eastAsia="zh-CN"/>
        </w:rPr>
        <w:t>"</w:t>
      </w:r>
      <w:r w:rsidRPr="007C0ED2">
        <w:rPr>
          <w:rFonts w:ascii="Times New Roman" w:eastAsia="宋体" w:hAnsi="Times New Roman" w:cs="宋体"/>
          <w:color w:val="0000FF"/>
          <w:u w:val="single"/>
          <w:lang w:eastAsia="zh-CN"/>
        </w:rPr>
        <w:t>行业指南</w:t>
      </w:r>
      <w:r w:rsidRPr="007C0ED2">
        <w:rPr>
          <w:rFonts w:ascii="Times New Roman" w:eastAsia="宋体" w:hAnsi="Times New Roman" w:cs="宋体"/>
          <w:color w:val="0000FF"/>
          <w:u w:val="single"/>
          <w:lang w:eastAsia="zh-CN"/>
        </w:rPr>
        <w:t xml:space="preserve"> - </w:t>
      </w:r>
      <w:r w:rsidRPr="007C0ED2">
        <w:rPr>
          <w:rFonts w:ascii="Times New Roman" w:eastAsia="宋体" w:hAnsi="Times New Roman" w:cs="宋体"/>
          <w:color w:val="0000FF"/>
          <w:u w:val="single"/>
          <w:lang w:eastAsia="zh-CN"/>
        </w:rPr>
        <w:t>热原和内毒素试验：问答。</w:t>
      </w:r>
      <w:proofErr w:type="gramStart"/>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10</w:t>
      </w:r>
      <w:r w:rsidRPr="007C0ED2">
        <w:rPr>
          <w:rFonts w:ascii="Times New Roman" w:eastAsia="宋体" w:hAnsi="Times New Roman" w:cs="宋体"/>
          <w:lang w:eastAsia="zh-CN"/>
        </w:rPr>
        <w:t>中的建议。为了解决与材料介导的内毒素相关的风险</w:t>
      </w:r>
      <w:proofErr w:type="gramEnd"/>
      <w:r w:rsidRPr="007C0ED2">
        <w:rPr>
          <w:rFonts w:ascii="Times New Roman" w:eastAsia="宋体" w:hAnsi="Times New Roman" w:cs="宋体"/>
          <w:lang w:eastAsia="zh-CN"/>
        </w:rPr>
        <w:t>，应遵循</w:t>
      </w:r>
      <w:r w:rsidRPr="007C0ED2">
        <w:rPr>
          <w:rFonts w:ascii="Times New Roman" w:eastAsia="宋体" w:hAnsi="Times New Roman" w:cs="宋体"/>
          <w:lang w:eastAsia="zh-CN"/>
        </w:rPr>
        <w:t>FDA</w:t>
      </w:r>
      <w:r w:rsidRPr="007C0ED2">
        <w:rPr>
          <w:rFonts w:ascii="Times New Roman" w:eastAsia="宋体" w:hAnsi="Times New Roman" w:cs="宋体"/>
          <w:lang w:eastAsia="zh-CN"/>
        </w:rPr>
        <w:t>指南</w:t>
      </w:r>
      <w:r w:rsidRPr="007C0ED2">
        <w:rPr>
          <w:rFonts w:ascii="Times New Roman" w:eastAsia="宋体" w:hAnsi="Times New Roman" w:cs="宋体"/>
          <w:lang w:eastAsia="zh-CN"/>
        </w:rPr>
        <w:t>“</w:t>
      </w:r>
      <w:r w:rsidRPr="007C0ED2">
        <w:rPr>
          <w:rFonts w:ascii="Times New Roman" w:eastAsia="宋体" w:hAnsi="Times New Roman" w:cs="宋体"/>
          <w:color w:val="0000FF"/>
          <w:u w:val="single"/>
          <w:lang w:eastAsia="zh-CN"/>
        </w:rPr>
        <w:t>国际标准</w:t>
      </w:r>
      <w:r w:rsidRPr="007C0ED2">
        <w:rPr>
          <w:rFonts w:ascii="Times New Roman" w:eastAsia="宋体" w:hAnsi="Times New Roman" w:cs="宋体"/>
          <w:color w:val="0000FF"/>
          <w:u w:val="single"/>
          <w:lang w:eastAsia="zh-CN"/>
        </w:rPr>
        <w:t>ISO-10993-1</w:t>
      </w:r>
      <w:r w:rsidRPr="007C0ED2">
        <w:rPr>
          <w:rFonts w:ascii="Times New Roman" w:eastAsia="宋体" w:hAnsi="Times New Roman" w:cs="宋体"/>
          <w:color w:val="0000FF"/>
          <w:u w:val="single"/>
          <w:lang w:eastAsia="zh-CN"/>
        </w:rPr>
        <w:t>的使用，</w:t>
      </w:r>
      <w:r w:rsidRPr="007C0ED2">
        <w:rPr>
          <w:rFonts w:ascii="Times New Roman" w:eastAsia="宋体" w:hAnsi="Times New Roman" w:cs="宋体"/>
          <w:color w:val="0000FF"/>
          <w:u w:val="single"/>
          <w:lang w:eastAsia="zh-CN"/>
        </w:rPr>
        <w:t>’</w:t>
      </w:r>
      <w:r w:rsidRPr="007C0ED2">
        <w:rPr>
          <w:rFonts w:ascii="Times New Roman" w:eastAsia="宋体" w:hAnsi="Times New Roman" w:cs="宋体"/>
          <w:color w:val="0000FF"/>
          <w:u w:val="single"/>
          <w:lang w:eastAsia="zh-CN"/>
        </w:rPr>
        <w:t>医疗器械生物学评价第</w:t>
      </w:r>
      <w:r w:rsidRPr="007C0ED2">
        <w:rPr>
          <w:rFonts w:ascii="Times New Roman" w:eastAsia="宋体" w:hAnsi="Times New Roman" w:cs="宋体"/>
          <w:color w:val="0000FF"/>
          <w:u w:val="single"/>
          <w:lang w:eastAsia="zh-CN"/>
        </w:rPr>
        <w:t>1</w:t>
      </w:r>
      <w:r w:rsidRPr="007C0ED2">
        <w:rPr>
          <w:rFonts w:ascii="Times New Roman" w:eastAsia="宋体" w:hAnsi="Times New Roman" w:cs="宋体"/>
          <w:color w:val="0000FF"/>
          <w:u w:val="single"/>
          <w:lang w:eastAsia="zh-CN"/>
        </w:rPr>
        <w:t>部分：评价和试验。</w:t>
      </w:r>
      <w:r w:rsidRPr="007C0ED2">
        <w:rPr>
          <w:rFonts w:ascii="Times New Roman" w:eastAsia="宋体" w:hAnsi="Times New Roman" w:cs="宋体"/>
          <w:lang w:eastAsia="zh-CN"/>
        </w:rPr>
        <w:t>"</w:t>
      </w:r>
      <w:r w:rsidRPr="007C0ED2">
        <w:rPr>
          <w:rFonts w:ascii="Times New Roman" w:eastAsia="宋体" w:hAnsi="Times New Roman" w:cs="宋体"/>
          <w:vertAlign w:val="superscript"/>
          <w:lang w:eastAsia="zh-CN"/>
        </w:rPr>
        <w:t>11</w:t>
      </w:r>
      <w:r w:rsidRPr="007C0ED2">
        <w:rPr>
          <w:rFonts w:ascii="Times New Roman" w:eastAsia="宋体" w:hAnsi="Times New Roman" w:cs="宋体"/>
          <w:lang w:eastAsia="zh-CN"/>
        </w:rPr>
        <w:t>中的建议。</w:t>
      </w:r>
    </w:p>
    <w:p w14:paraId="53EB44B6" w14:textId="77777777" w:rsidR="007C0ED2" w:rsidRDefault="007C0ED2" w:rsidP="007C0ED2">
      <w:pPr>
        <w:adjustRightInd w:val="0"/>
        <w:snapToGrid w:val="0"/>
        <w:spacing w:beforeLines="50" w:before="120" w:line="300" w:lineRule="auto"/>
        <w:jc w:val="both"/>
        <w:rPr>
          <w:rFonts w:ascii="Times New Roman" w:eastAsia="宋体" w:hAnsi="Times New Roman" w:cs="宋体"/>
          <w:lang w:eastAsia="zh-CN"/>
        </w:rPr>
      </w:pPr>
    </w:p>
    <w:p w14:paraId="03B7EDBC" w14:textId="77777777" w:rsidR="007C0ED2" w:rsidRPr="007C0ED2" w:rsidRDefault="007C0ED2" w:rsidP="007C0ED2">
      <w:pPr>
        <w:adjustRightInd w:val="0"/>
        <w:snapToGrid w:val="0"/>
        <w:spacing w:beforeLines="50" w:before="120" w:line="300" w:lineRule="auto"/>
        <w:jc w:val="both"/>
        <w:rPr>
          <w:rFonts w:ascii="Times New Roman" w:eastAsia="宋体" w:hAnsi="Times New Roman" w:cs="Times New Roman"/>
          <w:snapToGrid w:val="0"/>
          <w:lang w:eastAsia="zh-CN"/>
        </w:rPr>
      </w:pPr>
    </w:p>
    <w:p w14:paraId="42280330" w14:textId="77777777" w:rsidR="00E4268D" w:rsidRPr="007C0ED2" w:rsidRDefault="00E4268D" w:rsidP="007C0ED2">
      <w:pPr>
        <w:pStyle w:val="aa"/>
        <w:tabs>
          <w:tab w:val="left" w:pos="115"/>
        </w:tabs>
        <w:adjustRightInd w:val="0"/>
        <w:snapToGrid w:val="0"/>
        <w:spacing w:beforeLines="50" w:before="120" w:line="300" w:lineRule="auto"/>
        <w:jc w:val="both"/>
        <w:rPr>
          <w:rFonts w:eastAsia="宋体"/>
          <w:snapToGrid w:val="0"/>
          <w:color w:val="000000"/>
          <w:sz w:val="24"/>
          <w:szCs w:val="24"/>
          <w:u w:val="none"/>
          <w:lang w:eastAsia="zh-CN"/>
        </w:rPr>
      </w:pPr>
      <w:r w:rsidRPr="007C0ED2">
        <w:rPr>
          <w:rFonts w:eastAsia="宋体" w:cs="宋体"/>
          <w:color w:val="000000"/>
          <w:sz w:val="24"/>
          <w:lang w:eastAsia="zh-CN"/>
        </w:rPr>
        <w:t>___________________</w:t>
      </w:r>
    </w:p>
    <w:p w14:paraId="140F23A1"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lang w:eastAsia="zh-CN"/>
        </w:rPr>
      </w:pPr>
      <w:r w:rsidRPr="007C0ED2">
        <w:rPr>
          <w:rFonts w:eastAsia="宋体"/>
          <w:snapToGrid w:val="0"/>
          <w:color w:val="000000"/>
          <w:sz w:val="21"/>
          <w:szCs w:val="21"/>
          <w:u w:val="none"/>
          <w:vertAlign w:val="superscript"/>
          <w:lang w:eastAsia="zh-CN"/>
        </w:rPr>
        <w:t>6</w:t>
      </w:r>
      <w:hyperlink r:id="rId22" w:history="1">
        <w:r w:rsidR="007C0ED2" w:rsidRPr="007F29FF">
          <w:rPr>
            <w:rStyle w:val="af2"/>
            <w:rFonts w:eastAsia="宋体"/>
            <w:snapToGrid w:val="0"/>
            <w:sz w:val="21"/>
            <w:szCs w:val="21"/>
            <w:lang w:eastAsia="zh-CN"/>
          </w:rPr>
          <w:t>https://www.fda.gov/regulatory-information/search-fda-guidance-documents/content-premarket-submissions-</w:t>
        </w:r>
      </w:hyperlink>
      <w:hyperlink r:id="rId23" w:history="1">
        <w:r w:rsidRPr="007C0ED2">
          <w:rPr>
            <w:rFonts w:eastAsia="宋体"/>
            <w:snapToGrid w:val="0"/>
            <w:sz w:val="21"/>
            <w:szCs w:val="21"/>
            <w:lang w:eastAsia="zh-CN"/>
          </w:rPr>
          <w:t>management-cvbersecurity-medical-devices-0</w:t>
        </w:r>
      </w:hyperlink>
    </w:p>
    <w:p w14:paraId="23D68D24"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lang w:eastAsia="zh-CN"/>
        </w:rPr>
      </w:pPr>
      <w:bookmarkStart w:id="7" w:name="bookmark19"/>
      <w:r w:rsidRPr="007C0ED2">
        <w:rPr>
          <w:rFonts w:eastAsia="宋体"/>
          <w:snapToGrid w:val="0"/>
          <w:color w:val="000000"/>
          <w:sz w:val="21"/>
          <w:szCs w:val="21"/>
          <w:u w:val="none"/>
          <w:vertAlign w:val="superscript"/>
          <w:lang w:eastAsia="zh-CN"/>
        </w:rPr>
        <w:t>7</w:t>
      </w:r>
      <w:r w:rsidR="0052255A" w:rsidRPr="007C0ED2">
        <w:rPr>
          <w:rFonts w:eastAsia="宋体"/>
          <w:snapToGrid w:val="0"/>
          <w:color w:val="000000"/>
          <w:sz w:val="21"/>
          <w:szCs w:val="21"/>
          <w:u w:val="none"/>
          <w:lang w:eastAsia="zh-CN"/>
        </w:rPr>
        <w:t xml:space="preserve"> </w:t>
      </w:r>
      <w:hyperlink r:id="rId24" w:history="1">
        <w:r w:rsidR="00E4268D" w:rsidRPr="007C0ED2">
          <w:rPr>
            <w:rStyle w:val="af2"/>
            <w:rFonts w:eastAsia="宋体"/>
            <w:snapToGrid w:val="0"/>
            <w:sz w:val="21"/>
            <w:szCs w:val="21"/>
            <w:lang w:eastAsia="zh-CN"/>
          </w:rPr>
          <w:t>https://www.fda.gov/regulatorv-information/search-fda-guidance-documents/shelf-software-use-medical- devices</w:t>
        </w:r>
      </w:hyperlink>
      <w:bookmarkEnd w:id="7"/>
    </w:p>
    <w:p w14:paraId="78F153A6"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rPr>
      </w:pPr>
      <w:bookmarkStart w:id="8" w:name="bookmark20"/>
      <w:r w:rsidRPr="007C0ED2">
        <w:rPr>
          <w:rFonts w:eastAsia="宋体"/>
          <w:snapToGrid w:val="0"/>
          <w:color w:val="000000"/>
          <w:sz w:val="21"/>
          <w:szCs w:val="21"/>
          <w:u w:val="none"/>
          <w:vertAlign w:val="superscript"/>
        </w:rPr>
        <w:t>8</w:t>
      </w:r>
      <w:hyperlink r:id="rId25" w:history="1">
        <w:r w:rsidR="007C0ED2" w:rsidRPr="007F29FF">
          <w:rPr>
            <w:rStyle w:val="af2"/>
            <w:rFonts w:eastAsia="宋体"/>
            <w:snapToGrid w:val="0"/>
            <w:sz w:val="21"/>
            <w:szCs w:val="21"/>
          </w:rPr>
          <w:t>https://www.fda.gov/regulatorv-information/search-fda-guidance-documents/cvbersecurity-networked-medical-</w:t>
        </w:r>
      </w:hyperlink>
      <w:r w:rsidR="0052255A" w:rsidRPr="007C0ED2">
        <w:rPr>
          <w:rFonts w:eastAsia="宋体"/>
          <w:snapToGrid w:val="0"/>
          <w:sz w:val="21"/>
          <w:szCs w:val="21"/>
        </w:rPr>
        <w:t xml:space="preserve"> </w:t>
      </w:r>
      <w:hyperlink r:id="rId26" w:history="1">
        <w:r w:rsidRPr="007C0ED2">
          <w:rPr>
            <w:rFonts w:eastAsia="宋体"/>
            <w:snapToGrid w:val="0"/>
            <w:sz w:val="21"/>
            <w:szCs w:val="21"/>
          </w:rPr>
          <w:t>devices-containing-shelf-ots-software</w:t>
        </w:r>
        <w:bookmarkEnd w:id="8"/>
      </w:hyperlink>
    </w:p>
    <w:p w14:paraId="5D2302A3" w14:textId="77777777" w:rsidR="00EA42FA" w:rsidRPr="007C0ED2" w:rsidRDefault="00E312EA" w:rsidP="007C0ED2">
      <w:pPr>
        <w:pStyle w:val="aa"/>
        <w:tabs>
          <w:tab w:val="left" w:pos="115"/>
        </w:tabs>
        <w:adjustRightInd w:val="0"/>
        <w:snapToGrid w:val="0"/>
        <w:spacing w:beforeLines="15" w:before="36" w:line="276" w:lineRule="auto"/>
        <w:jc w:val="both"/>
        <w:rPr>
          <w:rFonts w:eastAsia="宋体"/>
          <w:snapToGrid w:val="0"/>
          <w:sz w:val="21"/>
          <w:szCs w:val="21"/>
          <w:lang w:eastAsia="zh-CN"/>
        </w:rPr>
      </w:pPr>
      <w:bookmarkStart w:id="9" w:name="bookmark21"/>
      <w:r w:rsidRPr="007C0ED2">
        <w:rPr>
          <w:rFonts w:eastAsia="宋体"/>
          <w:snapToGrid w:val="0"/>
          <w:color w:val="000000"/>
          <w:sz w:val="21"/>
          <w:szCs w:val="21"/>
          <w:u w:val="none"/>
          <w:vertAlign w:val="superscript"/>
        </w:rPr>
        <w:t>9</w:t>
      </w:r>
      <w:hyperlink r:id="rId27" w:history="1">
        <w:r w:rsidR="007C0ED2" w:rsidRPr="007F29FF">
          <w:rPr>
            <w:rStyle w:val="af2"/>
            <w:rFonts w:eastAsia="宋体"/>
            <w:snapToGrid w:val="0"/>
            <w:sz w:val="21"/>
            <w:szCs w:val="21"/>
          </w:rPr>
          <w:t>https://www.fda.gov/regulatorv-information/search-fda-guidance-documents/design-considerations-and-pre-</w:t>
        </w:r>
      </w:hyperlink>
      <w:hyperlink r:id="rId28" w:history="1">
        <w:r w:rsidRPr="007C0ED2">
          <w:rPr>
            <w:rFonts w:eastAsia="宋体"/>
            <w:snapToGrid w:val="0"/>
            <w:sz w:val="21"/>
            <w:szCs w:val="21"/>
          </w:rPr>
          <w:t>market-submission-recommendations-interoperable-medical-devices</w:t>
        </w:r>
        <w:bookmarkEnd w:id="9"/>
      </w:hyperlink>
    </w:p>
    <w:p w14:paraId="23290075" w14:textId="77777777" w:rsidR="00EA42FA" w:rsidRPr="007C0ED2" w:rsidRDefault="00E312EA" w:rsidP="007C0ED2">
      <w:pPr>
        <w:pStyle w:val="aa"/>
        <w:tabs>
          <w:tab w:val="left" w:pos="178"/>
        </w:tabs>
        <w:adjustRightInd w:val="0"/>
        <w:snapToGrid w:val="0"/>
        <w:spacing w:beforeLines="15" w:before="36" w:line="276" w:lineRule="auto"/>
        <w:jc w:val="both"/>
        <w:rPr>
          <w:rFonts w:eastAsia="宋体"/>
          <w:snapToGrid w:val="0"/>
          <w:sz w:val="21"/>
          <w:szCs w:val="21"/>
        </w:rPr>
      </w:pPr>
      <w:r w:rsidRPr="007C0ED2">
        <w:rPr>
          <w:rFonts w:eastAsia="宋体"/>
          <w:snapToGrid w:val="0"/>
          <w:color w:val="000000"/>
          <w:sz w:val="21"/>
          <w:szCs w:val="21"/>
          <w:u w:val="none"/>
          <w:vertAlign w:val="superscript"/>
        </w:rPr>
        <w:t>10</w:t>
      </w:r>
      <w:r w:rsidR="0052255A" w:rsidRPr="007C0ED2">
        <w:rPr>
          <w:rFonts w:eastAsia="宋体"/>
          <w:snapToGrid w:val="0"/>
          <w:color w:val="000000"/>
          <w:sz w:val="21"/>
          <w:szCs w:val="21"/>
          <w:u w:val="none"/>
        </w:rPr>
        <w:t xml:space="preserve"> </w:t>
      </w:r>
      <w:hyperlink r:id="rId29" w:history="1">
        <w:r w:rsidR="00E4268D" w:rsidRPr="007C0ED2">
          <w:rPr>
            <w:rStyle w:val="af2"/>
            <w:rFonts w:eastAsia="宋体"/>
            <w:snapToGrid w:val="0"/>
            <w:sz w:val="21"/>
            <w:szCs w:val="21"/>
          </w:rPr>
          <w:t>https://www.fda.gov/regulatorv-information/search-fda-guidance-documents/guidance-industrv-pvrogen-</w:t>
        </w:r>
        <w:r w:rsidR="00E4268D" w:rsidRPr="007C0ED2">
          <w:rPr>
            <w:rStyle w:val="af2"/>
            <w:rFonts w:eastAsia="宋体"/>
            <w:snapToGrid w:val="0"/>
            <w:sz w:val="21"/>
            <w:szCs w:val="21"/>
            <w:lang w:eastAsia="zh-CN"/>
          </w:rPr>
          <w:t xml:space="preserve"> </w:t>
        </w:r>
        <w:r w:rsidR="00E4268D" w:rsidRPr="007C0ED2">
          <w:rPr>
            <w:rStyle w:val="af2"/>
            <w:rFonts w:eastAsia="宋体"/>
            <w:snapToGrid w:val="0"/>
            <w:sz w:val="21"/>
            <w:szCs w:val="21"/>
          </w:rPr>
          <w:t>and-endotoxins-testing-questions-and-answers</w:t>
        </w:r>
      </w:hyperlink>
    </w:p>
    <w:p w14:paraId="770348CA" w14:textId="77777777" w:rsidR="00E4268D" w:rsidRPr="007C0ED2" w:rsidRDefault="00E4268D" w:rsidP="007C0ED2">
      <w:pPr>
        <w:pStyle w:val="aa"/>
        <w:tabs>
          <w:tab w:val="left" w:pos="173"/>
        </w:tabs>
        <w:adjustRightInd w:val="0"/>
        <w:snapToGrid w:val="0"/>
        <w:spacing w:beforeLines="15" w:before="36" w:line="276" w:lineRule="auto"/>
        <w:jc w:val="both"/>
        <w:rPr>
          <w:rFonts w:eastAsia="宋体"/>
          <w:snapToGrid w:val="0"/>
          <w:sz w:val="21"/>
          <w:szCs w:val="21"/>
        </w:rPr>
      </w:pPr>
      <w:bookmarkStart w:id="10" w:name="bookmark31"/>
      <w:bookmarkStart w:id="11" w:name="bookmark32"/>
      <w:r w:rsidRPr="007C0ED2">
        <w:rPr>
          <w:rFonts w:eastAsia="宋体"/>
          <w:snapToGrid w:val="0"/>
          <w:color w:val="000000"/>
          <w:sz w:val="21"/>
          <w:szCs w:val="21"/>
          <w:u w:val="none"/>
          <w:vertAlign w:val="superscript"/>
        </w:rPr>
        <w:t>11</w:t>
      </w:r>
      <w:hyperlink r:id="rId30" w:history="1">
        <w:r w:rsidR="007C0ED2" w:rsidRPr="007F29FF">
          <w:rPr>
            <w:rStyle w:val="af2"/>
            <w:rFonts w:eastAsia="宋体"/>
            <w:snapToGrid w:val="0"/>
            <w:sz w:val="21"/>
            <w:szCs w:val="21"/>
          </w:rPr>
          <w:t>https://www.fda.gov/regulatory-information/search-fda-guidance-documents/use-international-standard-iso-</w:t>
        </w:r>
      </w:hyperlink>
      <w:hyperlink r:id="rId31" w:history="1">
        <w:r w:rsidRPr="007C0ED2">
          <w:rPr>
            <w:rFonts w:eastAsia="宋体"/>
            <w:snapToGrid w:val="0"/>
            <w:sz w:val="21"/>
            <w:szCs w:val="21"/>
          </w:rPr>
          <w:t>10993-1-biological-evaluation-medical-devices-part-1-evaluation-and</w:t>
        </w:r>
        <w:bookmarkEnd w:id="10"/>
        <w:bookmarkEnd w:id="11"/>
      </w:hyperlink>
    </w:p>
    <w:p w14:paraId="540C67BD" w14:textId="77777777" w:rsidR="00E4268D" w:rsidRPr="007C0ED2" w:rsidRDefault="00E4268D" w:rsidP="007C0ED2">
      <w:pPr>
        <w:rPr>
          <w:rFonts w:ascii="Times New Roman" w:eastAsia="宋体" w:hAnsi="Times New Roman" w:cs="Times New Roman"/>
          <w:snapToGrid w:val="0"/>
          <w:lang w:eastAsia="zh-CN"/>
        </w:rPr>
      </w:pPr>
      <w:r w:rsidRPr="007C0ED2">
        <w:rPr>
          <w:rFonts w:ascii="Times New Roman" w:eastAsia="宋体" w:hAnsi="Times New Roman" w:cs="宋体"/>
          <w:b/>
          <w:i/>
        </w:rPr>
        <w:br w:type="page"/>
      </w:r>
    </w:p>
    <w:p w14:paraId="7AF4AF53" w14:textId="320E9F58"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lastRenderedPageBreak/>
        <w:t>外周动脉粥样</w:t>
      </w:r>
      <w:r w:rsidR="008D24C3">
        <w:rPr>
          <w:rFonts w:ascii="Times New Roman" w:eastAsia="宋体" w:hAnsi="Times New Roman" w:cs="宋体"/>
          <w:lang w:eastAsia="zh-CN"/>
        </w:rPr>
        <w:t>斑块旋切</w:t>
      </w:r>
      <w:r w:rsidRPr="007C0ED2">
        <w:rPr>
          <w:rFonts w:ascii="Times New Roman" w:eastAsia="宋体" w:hAnsi="Times New Roman" w:cs="宋体"/>
          <w:lang w:eastAsia="zh-CN"/>
        </w:rPr>
        <w:t>术器械应标记为</w:t>
      </w:r>
      <w:r w:rsidRPr="007C0ED2">
        <w:rPr>
          <w:rFonts w:ascii="Times New Roman" w:eastAsia="宋体" w:hAnsi="Times New Roman" w:cs="宋体"/>
          <w:lang w:eastAsia="zh-CN"/>
        </w:rPr>
        <w:t>“</w:t>
      </w:r>
      <w:r w:rsidRPr="007C0ED2">
        <w:rPr>
          <w:rFonts w:ascii="Times New Roman" w:eastAsia="宋体" w:hAnsi="Times New Roman" w:cs="宋体"/>
          <w:lang w:eastAsia="zh-CN"/>
        </w:rPr>
        <w:t>非热原</w:t>
      </w:r>
      <w:r w:rsidRPr="007C0ED2">
        <w:rPr>
          <w:rFonts w:ascii="Times New Roman" w:eastAsia="宋体" w:hAnsi="Times New Roman" w:cs="宋体"/>
          <w:lang w:eastAsia="zh-CN"/>
        </w:rPr>
        <w:t>”</w:t>
      </w:r>
      <w:r w:rsidRPr="007C0ED2">
        <w:rPr>
          <w:rFonts w:ascii="Times New Roman" w:eastAsia="宋体" w:hAnsi="Times New Roman" w:cs="宋体"/>
          <w:lang w:eastAsia="zh-CN"/>
        </w:rPr>
        <w:t>，因为它们与循环血液直接接触。建议说明细菌内毒素和物质</w:t>
      </w:r>
      <w:proofErr w:type="gramStart"/>
      <w:r w:rsidRPr="007C0ED2">
        <w:rPr>
          <w:rFonts w:ascii="Times New Roman" w:eastAsia="宋体" w:hAnsi="Times New Roman" w:cs="宋体"/>
          <w:lang w:eastAsia="zh-CN"/>
        </w:rPr>
        <w:t>介</w:t>
      </w:r>
      <w:proofErr w:type="gramEnd"/>
      <w:r w:rsidRPr="007C0ED2">
        <w:rPr>
          <w:rFonts w:ascii="Times New Roman" w:eastAsia="宋体" w:hAnsi="Times New Roman" w:cs="宋体"/>
          <w:lang w:eastAsia="zh-CN"/>
        </w:rPr>
        <w:t>导的热原性。与心血管系统接触的器械应符合</w:t>
      </w:r>
      <w:r w:rsidRPr="007C0ED2">
        <w:rPr>
          <w:rFonts w:ascii="Times New Roman" w:eastAsia="宋体" w:hAnsi="Times New Roman" w:cs="宋体"/>
          <w:lang w:eastAsia="zh-CN"/>
        </w:rPr>
        <w:t>FDA</w:t>
      </w:r>
      <w:r w:rsidRPr="007C0ED2">
        <w:rPr>
          <w:rFonts w:ascii="Times New Roman" w:eastAsia="宋体" w:hAnsi="Times New Roman" w:cs="宋体"/>
          <w:lang w:eastAsia="zh-CN"/>
        </w:rPr>
        <w:t>指南《</w:t>
      </w:r>
      <w:r w:rsidRPr="007C0ED2">
        <w:rPr>
          <w:rFonts w:ascii="Times New Roman" w:eastAsia="宋体" w:hAnsi="Times New Roman" w:cs="宋体"/>
          <w:color w:val="0000FF"/>
          <w:u w:val="single"/>
          <w:lang w:eastAsia="zh-CN"/>
        </w:rPr>
        <w:t>无菌器械上市前通知（</w:t>
      </w:r>
      <w:r w:rsidRPr="007C0ED2">
        <w:rPr>
          <w:rFonts w:ascii="Times New Roman" w:eastAsia="宋体" w:hAnsi="Times New Roman" w:cs="宋体"/>
          <w:color w:val="0000FF"/>
          <w:u w:val="single"/>
          <w:lang w:eastAsia="zh-CN"/>
        </w:rPr>
        <w:t>510(k)</w:t>
      </w:r>
      <w:r w:rsidRPr="007C0ED2">
        <w:rPr>
          <w:rFonts w:ascii="Times New Roman" w:eastAsia="宋体" w:hAnsi="Times New Roman" w:cs="宋体"/>
          <w:color w:val="0000FF"/>
          <w:u w:val="single"/>
          <w:lang w:eastAsia="zh-CN"/>
        </w:rPr>
        <w:t>）申请中无菌信息的申请和审核</w:t>
      </w:r>
      <w:r w:rsidRPr="007C0ED2">
        <w:rPr>
          <w:rFonts w:ascii="Times New Roman" w:eastAsia="宋体" w:hAnsi="Times New Roman" w:cs="宋体"/>
          <w:u w:val="single"/>
          <w:lang w:eastAsia="zh-CN"/>
        </w:rPr>
        <w:t>》</w:t>
      </w:r>
      <w:r w:rsidRPr="007C0ED2">
        <w:rPr>
          <w:rFonts w:ascii="Times New Roman" w:eastAsia="宋体" w:hAnsi="Times New Roman" w:cs="宋体"/>
          <w:vertAlign w:val="superscript"/>
          <w:lang w:eastAsia="zh-CN"/>
        </w:rPr>
        <w:t>12</w:t>
      </w:r>
      <w:r w:rsidRPr="007C0ED2">
        <w:rPr>
          <w:rFonts w:ascii="Times New Roman" w:eastAsia="宋体" w:hAnsi="Times New Roman" w:cs="宋体"/>
          <w:lang w:eastAsia="zh-CN"/>
        </w:rPr>
        <w:t>中讨论的热原限值标准。</w:t>
      </w:r>
    </w:p>
    <w:p w14:paraId="17F6F20D" w14:textId="77777777" w:rsidR="00EA42FA" w:rsidRPr="007C0ED2" w:rsidRDefault="00E312EA" w:rsidP="007C0ED2">
      <w:pPr>
        <w:pStyle w:val="25"/>
        <w:rPr>
          <w:rFonts w:eastAsia="宋体"/>
          <w:lang w:eastAsia="zh-CN"/>
        </w:rPr>
      </w:pPr>
      <w:bookmarkStart w:id="12" w:name="_Toc91869506"/>
      <w:r w:rsidRPr="007C0ED2">
        <w:rPr>
          <w:rFonts w:eastAsia="宋体" w:cs="宋体"/>
          <w:lang w:eastAsia="zh-CN"/>
        </w:rPr>
        <w:t>J.</w:t>
      </w:r>
      <w:r w:rsidRPr="007C0ED2">
        <w:rPr>
          <w:rFonts w:eastAsia="宋体" w:cs="宋体"/>
          <w:lang w:eastAsia="zh-CN"/>
        </w:rPr>
        <w:tab/>
      </w:r>
      <w:r w:rsidRPr="007C0ED2">
        <w:rPr>
          <w:rFonts w:eastAsia="宋体" w:cs="宋体"/>
          <w:lang w:eastAsia="zh-CN"/>
        </w:rPr>
        <w:t>非临床性能试验</w:t>
      </w:r>
      <w:bookmarkEnd w:id="12"/>
    </w:p>
    <w:p w14:paraId="77B0899A" w14:textId="77777777" w:rsidR="00EA42FA" w:rsidRPr="007C0ED2" w:rsidRDefault="00E312EA" w:rsidP="007C0ED2">
      <w:pPr>
        <w:pStyle w:val="31"/>
        <w:rPr>
          <w:rFonts w:eastAsia="宋体"/>
          <w:lang w:eastAsia="zh-CN"/>
        </w:rPr>
      </w:pPr>
      <w:bookmarkStart w:id="13" w:name="_Toc91869507"/>
      <w:r w:rsidRPr="007C0ED2">
        <w:rPr>
          <w:rFonts w:eastAsia="宋体" w:cs="宋体"/>
          <w:lang w:eastAsia="zh-CN"/>
        </w:rPr>
        <w:t>（</w:t>
      </w:r>
      <w:r w:rsidRPr="007C0ED2">
        <w:rPr>
          <w:rFonts w:eastAsia="宋体" w:cs="宋体"/>
          <w:lang w:eastAsia="zh-CN"/>
        </w:rPr>
        <w:t>5</w:t>
      </w:r>
      <w:r w:rsidRPr="007C0ED2">
        <w:rPr>
          <w:rFonts w:eastAsia="宋体" w:cs="宋体"/>
          <w:lang w:eastAsia="zh-CN"/>
        </w:rPr>
        <w:t>）工程部</w:t>
      </w:r>
      <w:bookmarkEnd w:id="13"/>
    </w:p>
    <w:p w14:paraId="4A9BD194" w14:textId="77777777" w:rsidR="00EA42FA" w:rsidRPr="007C0ED2" w:rsidRDefault="00E312EA" w:rsidP="007C0ED2">
      <w:pPr>
        <w:pStyle w:val="4"/>
        <w:rPr>
          <w:rFonts w:eastAsia="宋体"/>
          <w:lang w:eastAsia="zh-CN"/>
        </w:rPr>
      </w:pPr>
      <w:r w:rsidRPr="007C0ED2">
        <w:rPr>
          <w:rFonts w:eastAsia="宋体" w:cs="宋体"/>
          <w:lang w:eastAsia="zh-CN"/>
        </w:rPr>
        <w:t>b.</w:t>
      </w:r>
      <w:r w:rsidRPr="007C0ED2">
        <w:rPr>
          <w:rFonts w:eastAsia="宋体" w:cs="宋体"/>
          <w:lang w:eastAsia="zh-CN"/>
        </w:rPr>
        <w:t>模拟使用试验</w:t>
      </w:r>
    </w:p>
    <w:p w14:paraId="56C405B0"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意义</w:t>
      </w:r>
      <w:r w:rsidRPr="007C0ED2">
        <w:rPr>
          <w:rFonts w:ascii="Times New Roman" w:eastAsia="宋体" w:hAnsi="Times New Roman" w:cs="宋体"/>
          <w:lang w:eastAsia="zh-CN"/>
        </w:rPr>
        <w:t>：在模拟使用模型中使用该器械，结合其他介入器械（视情况而定），可以提供比单独的实验室性能试验更多的关于其性能的临床相关信息。此外，当按照预期或根据推荐使用说明（包括准备、递送、使用、收回和拆卸技术）使用时，器械应安全可靠地运行。未能按预期运行可能会导致手术时间延长、器械损坏或患者受伤。</w:t>
      </w:r>
    </w:p>
    <w:p w14:paraId="391B127F"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建议</w:t>
      </w:r>
      <w:r w:rsidRPr="007C0ED2">
        <w:rPr>
          <w:rFonts w:ascii="Times New Roman" w:eastAsia="宋体" w:hAnsi="Times New Roman" w:cs="宋体"/>
          <w:lang w:eastAsia="zh-CN"/>
        </w:rPr>
        <w:t>：在模拟使用试验期间，</w:t>
      </w:r>
      <w:proofErr w:type="gramStart"/>
      <w:r w:rsidRPr="007C0ED2">
        <w:rPr>
          <w:rFonts w:ascii="Times New Roman" w:eastAsia="宋体" w:hAnsi="Times New Roman" w:cs="宋体"/>
          <w:lang w:eastAsia="zh-CN"/>
        </w:rPr>
        <w:t>应评价</w:t>
      </w:r>
      <w:proofErr w:type="gramEnd"/>
      <w:r w:rsidRPr="007C0ED2">
        <w:rPr>
          <w:rFonts w:ascii="Times New Roman" w:eastAsia="宋体" w:hAnsi="Times New Roman" w:cs="宋体"/>
          <w:lang w:eastAsia="zh-CN"/>
        </w:rPr>
        <w:t>以下属性：</w:t>
      </w:r>
    </w:p>
    <w:p w14:paraId="5EA158A5" w14:textId="77777777"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当与适用的辅助器械（如导管、引导导管、栓塞保护器械）结合使用时，器械的完整性和性能不受影响。</w:t>
      </w:r>
    </w:p>
    <w:p w14:paraId="6ED288DB" w14:textId="7603C490"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该器械可通过预定穿刺点（如股</w:t>
      </w:r>
      <w:r w:rsidR="00405EF2">
        <w:rPr>
          <w:rFonts w:ascii="Times New Roman" w:eastAsia="宋体" w:hAnsi="Times New Roman" w:cs="宋体" w:hint="eastAsia"/>
          <w:lang w:eastAsia="zh-CN"/>
        </w:rPr>
        <w:t>动脉</w:t>
      </w:r>
      <w:r w:rsidRPr="007C0ED2">
        <w:rPr>
          <w:rFonts w:ascii="Times New Roman" w:eastAsia="宋体" w:hAnsi="Times New Roman" w:cs="宋体"/>
          <w:lang w:eastAsia="zh-CN"/>
        </w:rPr>
        <w:t>穿刺点）递送，而不会造成血管损伤。</w:t>
      </w:r>
    </w:p>
    <w:p w14:paraId="1DD92E60" w14:textId="4434AE6E"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该器械与预期和</w:t>
      </w:r>
      <w:r w:rsidR="00716A7E">
        <w:rPr>
          <w:rFonts w:ascii="Times New Roman" w:eastAsia="宋体" w:hAnsi="Times New Roman" w:cs="宋体"/>
          <w:lang w:eastAsia="zh-CN"/>
        </w:rPr>
        <w:t>贵公司器械</w:t>
      </w:r>
      <w:r w:rsidRPr="007C0ED2">
        <w:rPr>
          <w:rFonts w:ascii="Times New Roman" w:eastAsia="宋体" w:hAnsi="Times New Roman" w:cs="宋体"/>
          <w:lang w:eastAsia="zh-CN"/>
        </w:rPr>
        <w:t>一起使用的材料和附件（例如，导</w:t>
      </w:r>
      <w:r w:rsidR="00405EF2">
        <w:rPr>
          <w:rFonts w:ascii="Times New Roman" w:eastAsia="宋体" w:hAnsi="Times New Roman" w:cs="宋体" w:hint="eastAsia"/>
          <w:lang w:eastAsia="zh-CN"/>
        </w:rPr>
        <w:t>丝</w:t>
      </w:r>
      <w:r w:rsidRPr="007C0ED2">
        <w:rPr>
          <w:rFonts w:ascii="Times New Roman" w:eastAsia="宋体" w:hAnsi="Times New Roman" w:cs="宋体"/>
          <w:lang w:eastAsia="zh-CN"/>
        </w:rPr>
        <w:t>、</w:t>
      </w:r>
      <w:r w:rsidR="00405EF2">
        <w:rPr>
          <w:rFonts w:ascii="Times New Roman" w:eastAsia="宋体" w:hAnsi="Times New Roman" w:cs="宋体" w:hint="eastAsia"/>
          <w:lang w:eastAsia="zh-CN"/>
        </w:rPr>
        <w:t>鞘管</w:t>
      </w:r>
      <w:r w:rsidRPr="007C0ED2">
        <w:rPr>
          <w:rFonts w:ascii="Times New Roman" w:eastAsia="宋体" w:hAnsi="Times New Roman" w:cs="宋体"/>
          <w:lang w:eastAsia="zh-CN"/>
        </w:rPr>
        <w:t>）兼容。</w:t>
      </w:r>
    </w:p>
    <w:p w14:paraId="2FD4D33F" w14:textId="77777777"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该器械在使用前可适当准备。</w:t>
      </w:r>
    </w:p>
    <w:p w14:paraId="12B8DE79" w14:textId="77777777"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该器械能够顺利跟踪迂回路径和病变，以证明其易用性。该器械应具有适当的灵活性，以在</w:t>
      </w:r>
      <w:proofErr w:type="gramStart"/>
      <w:r w:rsidRPr="007C0ED2">
        <w:rPr>
          <w:rFonts w:ascii="Times New Roman" w:eastAsia="宋体" w:hAnsi="Times New Roman" w:cs="宋体"/>
          <w:lang w:eastAsia="zh-CN"/>
        </w:rPr>
        <w:t>不</w:t>
      </w:r>
      <w:proofErr w:type="gramEnd"/>
      <w:r w:rsidRPr="007C0ED2">
        <w:rPr>
          <w:rFonts w:ascii="Times New Roman" w:eastAsia="宋体" w:hAnsi="Times New Roman" w:cs="宋体"/>
          <w:lang w:eastAsia="zh-CN"/>
        </w:rPr>
        <w:t>扭结或损坏的情况下穿过模拟使用模型（带斑块）。</w:t>
      </w:r>
    </w:p>
    <w:p w14:paraId="593B7F7A" w14:textId="1119421C"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该器械（例如，远端组件、导管管体、切割组件）能够在递送前、使用期间（</w:t>
      </w:r>
      <w:r w:rsidR="0046126C">
        <w:rPr>
          <w:rFonts w:ascii="Times New Roman" w:eastAsia="宋体" w:hAnsi="Times New Roman" w:cs="宋体" w:hint="eastAsia"/>
          <w:lang w:eastAsia="zh-CN"/>
        </w:rPr>
        <w:t>通过预期转速和功能模式所实现的标识转速下</w:t>
      </w:r>
      <w:r w:rsidRPr="007C0ED2">
        <w:rPr>
          <w:rFonts w:ascii="Times New Roman" w:eastAsia="宋体" w:hAnsi="Times New Roman" w:cs="宋体"/>
          <w:lang w:eastAsia="zh-CN"/>
        </w:rPr>
        <w:t>）以及撤回期间保持结构完整性。</w:t>
      </w:r>
    </w:p>
    <w:p w14:paraId="5A965C03" w14:textId="77777777" w:rsidR="00EA42FA" w:rsidRPr="007C0ED2" w:rsidRDefault="00E312EA" w:rsidP="007C0ED2">
      <w:pPr>
        <w:numPr>
          <w:ilvl w:val="0"/>
          <w:numId w:val="3"/>
        </w:numPr>
        <w:adjustRightInd w:val="0"/>
        <w:snapToGrid w:val="0"/>
        <w:spacing w:beforeLines="50" w:before="120" w:line="300" w:lineRule="auto"/>
        <w:ind w:left="851"/>
        <w:jc w:val="both"/>
        <w:rPr>
          <w:rFonts w:ascii="Times New Roman" w:eastAsia="宋体" w:hAnsi="Times New Roman" w:cs="Times New Roman"/>
          <w:snapToGrid w:val="0"/>
        </w:rPr>
      </w:pPr>
      <w:r w:rsidRPr="007C0ED2">
        <w:rPr>
          <w:rFonts w:ascii="Times New Roman" w:eastAsia="宋体" w:hAnsi="Times New Roman" w:cs="宋体"/>
          <w:lang w:eastAsia="zh-CN"/>
        </w:rPr>
        <w:t>导管远端组件（如导管尖端）可在预期的临床周期数下承受对斑块的持续冲击，这可以通过适当的视觉评估来证明。如果您的远端组件也用作冲洗工具，则应确定远端组件可承受的组织切除周期数。</w:t>
      </w:r>
      <w:proofErr w:type="spellStart"/>
      <w:r w:rsidRPr="007C0ED2">
        <w:rPr>
          <w:rFonts w:ascii="Times New Roman" w:eastAsia="宋体" w:hAnsi="Times New Roman" w:cs="宋体"/>
        </w:rPr>
        <w:t>还应评估导管是否存在可能的远端组件脱离</w:t>
      </w:r>
      <w:proofErr w:type="spellEnd"/>
      <w:r w:rsidRPr="007C0ED2">
        <w:rPr>
          <w:rFonts w:ascii="Times New Roman" w:eastAsia="宋体" w:hAnsi="Times New Roman" w:cs="宋体"/>
        </w:rPr>
        <w:t>。</w:t>
      </w:r>
    </w:p>
    <w:p w14:paraId="5554C01F" w14:textId="77777777" w:rsidR="007C0ED2" w:rsidRDefault="007C0ED2" w:rsidP="007C0ED2">
      <w:pPr>
        <w:adjustRightInd w:val="0"/>
        <w:snapToGrid w:val="0"/>
        <w:spacing w:beforeLines="50" w:before="120" w:line="300" w:lineRule="auto"/>
        <w:jc w:val="both"/>
        <w:rPr>
          <w:rFonts w:ascii="Times New Roman" w:eastAsia="宋体" w:hAnsi="Times New Roman" w:cs="宋体"/>
          <w:lang w:eastAsia="zh-CN"/>
        </w:rPr>
      </w:pPr>
    </w:p>
    <w:p w14:paraId="2F5B47B8" w14:textId="77777777" w:rsidR="007C0ED2" w:rsidRDefault="007C0ED2" w:rsidP="007C0ED2">
      <w:pPr>
        <w:adjustRightInd w:val="0"/>
        <w:snapToGrid w:val="0"/>
        <w:spacing w:beforeLines="50" w:before="120" w:line="300" w:lineRule="auto"/>
        <w:jc w:val="both"/>
        <w:rPr>
          <w:rFonts w:ascii="Times New Roman" w:eastAsia="宋体" w:hAnsi="Times New Roman" w:cs="宋体"/>
          <w:lang w:eastAsia="zh-CN"/>
        </w:rPr>
      </w:pPr>
    </w:p>
    <w:p w14:paraId="5BDB2B3E" w14:textId="77777777" w:rsidR="00E4268D" w:rsidRPr="007C0ED2" w:rsidRDefault="00E4268D" w:rsidP="007C0ED2">
      <w:pPr>
        <w:adjustRightInd w:val="0"/>
        <w:snapToGrid w:val="0"/>
        <w:spacing w:beforeLines="50" w:before="120" w:line="300" w:lineRule="auto"/>
        <w:jc w:val="both"/>
        <w:rPr>
          <w:rFonts w:ascii="Times New Roman" w:eastAsia="宋体" w:hAnsi="Times New Roman" w:cs="Times New Roman"/>
          <w:snapToGrid w:val="0"/>
        </w:rPr>
      </w:pPr>
      <w:r w:rsidRPr="007C0ED2">
        <w:rPr>
          <w:rFonts w:ascii="Times New Roman" w:eastAsia="宋体" w:hAnsi="Times New Roman" w:cs="宋体"/>
        </w:rPr>
        <w:t>___________________</w:t>
      </w:r>
    </w:p>
    <w:p w14:paraId="0216DBB8" w14:textId="77777777" w:rsidR="00EA42FA" w:rsidRPr="007C0ED2" w:rsidRDefault="00E312EA" w:rsidP="007C0ED2">
      <w:pPr>
        <w:pStyle w:val="aa"/>
        <w:tabs>
          <w:tab w:val="left" w:pos="178"/>
        </w:tabs>
        <w:adjustRightInd w:val="0"/>
        <w:snapToGrid w:val="0"/>
        <w:spacing w:beforeLines="15" w:before="36" w:line="276" w:lineRule="auto"/>
        <w:jc w:val="both"/>
        <w:rPr>
          <w:rFonts w:eastAsia="宋体"/>
          <w:snapToGrid w:val="0"/>
          <w:sz w:val="21"/>
          <w:szCs w:val="21"/>
        </w:rPr>
      </w:pPr>
      <w:r w:rsidRPr="007C0ED2">
        <w:rPr>
          <w:rFonts w:eastAsia="宋体"/>
          <w:snapToGrid w:val="0"/>
          <w:color w:val="000000"/>
          <w:sz w:val="21"/>
          <w:szCs w:val="21"/>
          <w:u w:val="none"/>
          <w:vertAlign w:val="superscript"/>
        </w:rPr>
        <w:t>12</w:t>
      </w:r>
      <w:hyperlink r:id="rId32" w:history="1">
        <w:r w:rsidR="007C0ED2" w:rsidRPr="007F29FF">
          <w:rPr>
            <w:rStyle w:val="af2"/>
            <w:rFonts w:eastAsia="宋体"/>
            <w:snapToGrid w:val="0"/>
            <w:sz w:val="21"/>
            <w:szCs w:val="21"/>
          </w:rPr>
          <w:t>https://www.fda.gov/regulatorv-information/search-fda-guidance-documents/submission-and-review-sterility-</w:t>
        </w:r>
      </w:hyperlink>
      <w:hyperlink r:id="rId33" w:history="1">
        <w:r w:rsidRPr="007C0ED2">
          <w:rPr>
            <w:rFonts w:eastAsia="宋体"/>
            <w:snapToGrid w:val="0"/>
            <w:sz w:val="21"/>
            <w:szCs w:val="21"/>
          </w:rPr>
          <w:t>information-premarket-notification-510k-submissions-devices-labeled</w:t>
        </w:r>
      </w:hyperlink>
    </w:p>
    <w:p w14:paraId="41F7CE6D" w14:textId="77777777" w:rsidR="00E4268D" w:rsidRPr="007C0ED2" w:rsidRDefault="00E4268D" w:rsidP="007C0ED2">
      <w:pPr>
        <w:rPr>
          <w:rFonts w:ascii="Times New Roman" w:eastAsia="宋体" w:hAnsi="Times New Roman" w:cs="Times New Roman"/>
          <w:snapToGrid w:val="0"/>
          <w:lang w:eastAsia="zh-CN"/>
        </w:rPr>
      </w:pPr>
      <w:r w:rsidRPr="007C0ED2">
        <w:rPr>
          <w:rFonts w:ascii="Times New Roman" w:eastAsia="宋体" w:hAnsi="Times New Roman" w:cs="宋体"/>
          <w:b/>
          <w:i/>
        </w:rPr>
        <w:br w:type="page"/>
      </w:r>
    </w:p>
    <w:p w14:paraId="5AB7085C" w14:textId="77777777" w:rsidR="00EA42FA" w:rsidRPr="007C0ED2" w:rsidRDefault="00E312EA" w:rsidP="007C0ED2">
      <w:pPr>
        <w:numPr>
          <w:ilvl w:val="0"/>
          <w:numId w:val="5"/>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lastRenderedPageBreak/>
        <w:t>器械应在适当的成像制导下可视化。您应在试验前后说明器械的任何变更（例如缺陷、扭结、碎片）。</w:t>
      </w:r>
    </w:p>
    <w:p w14:paraId="3AC89D52" w14:textId="413AA778" w:rsidR="00EA42FA" w:rsidRPr="007C0ED2" w:rsidRDefault="00E312EA" w:rsidP="007C0ED2">
      <w:pPr>
        <w:numPr>
          <w:ilvl w:val="0"/>
          <w:numId w:val="5"/>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如果</w:t>
      </w:r>
      <w:r w:rsidR="00716A7E">
        <w:rPr>
          <w:rFonts w:ascii="Times New Roman" w:eastAsia="宋体" w:hAnsi="Times New Roman" w:cs="宋体"/>
          <w:lang w:eastAsia="zh-CN"/>
        </w:rPr>
        <w:t>贵公司器械</w:t>
      </w:r>
      <w:r w:rsidRPr="007C0ED2">
        <w:rPr>
          <w:rFonts w:ascii="Times New Roman" w:eastAsia="宋体" w:hAnsi="Times New Roman" w:cs="宋体"/>
          <w:lang w:eastAsia="zh-CN"/>
        </w:rPr>
        <w:t>包含涂层，本机构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提供足够放大的图像，以充分表征涂层覆盖范围和潜在缺陷。除了标准目视检查（如</w:t>
      </w:r>
      <w:r w:rsidRPr="007C0ED2">
        <w:rPr>
          <w:rFonts w:ascii="Times New Roman" w:eastAsia="宋体" w:hAnsi="Times New Roman" w:cs="宋体"/>
          <w:lang w:eastAsia="zh-CN"/>
        </w:rPr>
        <w:t>2.5X</w:t>
      </w:r>
      <w:r w:rsidRPr="007C0ED2">
        <w:rPr>
          <w:rFonts w:ascii="Times New Roman" w:eastAsia="宋体" w:hAnsi="Times New Roman" w:cs="宋体"/>
          <w:lang w:eastAsia="zh-CN"/>
        </w:rPr>
        <w:t>）外，还请在更高的放大倍数（如</w:t>
      </w:r>
      <w:r w:rsidRPr="007C0ED2">
        <w:rPr>
          <w:rFonts w:ascii="Times New Roman" w:eastAsia="宋体" w:hAnsi="Times New Roman" w:cs="宋体"/>
          <w:lang w:eastAsia="zh-CN"/>
        </w:rPr>
        <w:t>40-500X</w:t>
      </w:r>
      <w:r w:rsidRPr="007C0ED2">
        <w:rPr>
          <w:rFonts w:ascii="Times New Roman" w:eastAsia="宋体" w:hAnsi="Times New Roman" w:cs="宋体"/>
          <w:lang w:eastAsia="zh-CN"/>
        </w:rPr>
        <w:t>）下进行涂层检查，以清楚地识别和表征涂层中的任何缺陷。应</w:t>
      </w:r>
      <w:r w:rsidR="006D729C">
        <w:rPr>
          <w:rFonts w:ascii="Times New Roman" w:eastAsia="宋体" w:hAnsi="Times New Roman" w:cs="宋体" w:hint="eastAsia"/>
          <w:lang w:eastAsia="zh-CN"/>
        </w:rPr>
        <w:t>分析</w:t>
      </w:r>
      <w:r w:rsidRPr="007C0ED2">
        <w:rPr>
          <w:rFonts w:ascii="Times New Roman" w:eastAsia="宋体" w:hAnsi="Times New Roman" w:cs="宋体"/>
          <w:lang w:eastAsia="zh-CN"/>
        </w:rPr>
        <w:t>涂层的任何</w:t>
      </w:r>
      <w:r w:rsidR="006D729C">
        <w:rPr>
          <w:rFonts w:ascii="Times New Roman" w:eastAsia="宋体" w:hAnsi="Times New Roman" w:cs="宋体" w:hint="eastAsia"/>
          <w:lang w:eastAsia="zh-CN"/>
        </w:rPr>
        <w:t>变化</w:t>
      </w:r>
      <w:r w:rsidRPr="007C0ED2">
        <w:rPr>
          <w:rFonts w:ascii="Times New Roman" w:eastAsia="宋体" w:hAnsi="Times New Roman" w:cs="宋体"/>
          <w:lang w:eastAsia="zh-CN"/>
        </w:rPr>
        <w:t>（例如，均匀性降低、分层、裂纹）。请参考</w:t>
      </w:r>
      <w:r w:rsidRPr="007C0ED2">
        <w:rPr>
          <w:rFonts w:ascii="Times New Roman" w:eastAsia="宋体" w:hAnsi="Times New Roman" w:cs="宋体"/>
          <w:b/>
          <w:lang w:eastAsia="zh-CN"/>
        </w:rPr>
        <w:t>错误</w:t>
      </w:r>
      <w:r w:rsidRPr="007C0ED2">
        <w:rPr>
          <w:rFonts w:ascii="Times New Roman" w:eastAsia="宋体" w:hAnsi="Times New Roman" w:cs="宋体"/>
          <w:lang w:eastAsia="zh-CN"/>
        </w:rPr>
        <w:t>章节！</w:t>
      </w:r>
      <w:r w:rsidRPr="007C0ED2">
        <w:rPr>
          <w:rFonts w:ascii="Times New Roman" w:eastAsia="宋体" w:hAnsi="Times New Roman" w:cs="宋体"/>
          <w:b/>
          <w:lang w:eastAsia="zh-CN"/>
        </w:rPr>
        <w:t>未找到参考来源</w:t>
      </w:r>
      <w:r w:rsidRPr="007C0ED2">
        <w:rPr>
          <w:rFonts w:ascii="Times New Roman" w:eastAsia="宋体" w:hAnsi="Times New Roman" w:cs="宋体"/>
          <w:lang w:eastAsia="zh-CN"/>
        </w:rPr>
        <w:t>。更多详细信息。</w:t>
      </w:r>
    </w:p>
    <w:p w14:paraId="3D481BD8" w14:textId="64B157D3" w:rsidR="00EA42FA" w:rsidRPr="007C0ED2" w:rsidRDefault="00E312EA" w:rsidP="007C0ED2">
      <w:pPr>
        <w:numPr>
          <w:ilvl w:val="0"/>
          <w:numId w:val="5"/>
        </w:numPr>
        <w:adjustRightInd w:val="0"/>
        <w:snapToGrid w:val="0"/>
        <w:spacing w:beforeLines="50" w:before="120" w:line="300" w:lineRule="auto"/>
        <w:ind w:left="851"/>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如果</w:t>
      </w:r>
      <w:r w:rsidR="00716A7E">
        <w:rPr>
          <w:rFonts w:ascii="Times New Roman" w:eastAsia="宋体" w:hAnsi="Times New Roman" w:cs="宋体"/>
          <w:lang w:eastAsia="zh-CN"/>
        </w:rPr>
        <w:t>贵公司器械</w:t>
      </w:r>
      <w:r w:rsidRPr="007C0ED2">
        <w:rPr>
          <w:rFonts w:ascii="Times New Roman" w:eastAsia="宋体" w:hAnsi="Times New Roman" w:cs="宋体"/>
          <w:lang w:eastAsia="zh-CN"/>
        </w:rPr>
        <w:t>包含软件，本机构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在模拟使用试验期间验证软件组件的使用。请参见上文</w:t>
      </w:r>
      <w:r w:rsidRPr="007C0ED2">
        <w:rPr>
          <w:rFonts w:ascii="Times New Roman" w:eastAsia="宋体" w:hAnsi="Times New Roman" w:cs="宋体"/>
          <w:lang w:eastAsia="zh-CN"/>
        </w:rPr>
        <w:t>C</w:t>
      </w:r>
      <w:r w:rsidRPr="007C0ED2">
        <w:rPr>
          <w:rFonts w:ascii="Times New Roman" w:eastAsia="宋体" w:hAnsi="Times New Roman" w:cs="宋体"/>
          <w:lang w:eastAsia="zh-CN"/>
        </w:rPr>
        <w:t>章节。</w:t>
      </w:r>
    </w:p>
    <w:p w14:paraId="12610B22" w14:textId="77777777" w:rsidR="00EA42FA" w:rsidRPr="007C0ED2" w:rsidRDefault="00E312EA" w:rsidP="007C0ED2">
      <w:pPr>
        <w:pStyle w:val="4"/>
        <w:rPr>
          <w:rFonts w:eastAsia="宋体"/>
        </w:rPr>
      </w:pPr>
      <w:r w:rsidRPr="007C0ED2">
        <w:rPr>
          <w:rFonts w:eastAsia="宋体" w:cs="宋体"/>
        </w:rPr>
        <w:t>l.</w:t>
      </w:r>
      <w:r w:rsidRPr="007C0ED2">
        <w:rPr>
          <w:rFonts w:eastAsia="宋体" w:cs="宋体"/>
        </w:rPr>
        <w:tab/>
      </w:r>
      <w:proofErr w:type="spellStart"/>
      <w:r w:rsidRPr="007C0ED2">
        <w:rPr>
          <w:rFonts w:eastAsia="宋体" w:cs="宋体"/>
        </w:rPr>
        <w:t>清除和收集碎片</w:t>
      </w:r>
      <w:proofErr w:type="spellEnd"/>
    </w:p>
    <w:p w14:paraId="2FF4CCC7"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意义</w:t>
      </w:r>
      <w:r w:rsidRPr="007C0ED2">
        <w:rPr>
          <w:rFonts w:ascii="Times New Roman" w:eastAsia="宋体" w:hAnsi="Times New Roman" w:cs="宋体"/>
          <w:lang w:eastAsia="zh-CN"/>
        </w:rPr>
        <w:t>：碎片清除不充分可能导致碎片堆积，从而导致器械故障和</w:t>
      </w:r>
      <w:r w:rsidRPr="007C0ED2">
        <w:rPr>
          <w:rFonts w:ascii="Times New Roman" w:eastAsia="宋体" w:hAnsi="Times New Roman" w:cs="宋体"/>
          <w:lang w:eastAsia="zh-CN"/>
        </w:rPr>
        <w:t>/</w:t>
      </w:r>
      <w:r w:rsidRPr="007C0ED2">
        <w:rPr>
          <w:rFonts w:ascii="Times New Roman" w:eastAsia="宋体" w:hAnsi="Times New Roman" w:cs="宋体"/>
          <w:lang w:eastAsia="zh-CN"/>
        </w:rPr>
        <w:t>或碎片栓塞。</w:t>
      </w:r>
    </w:p>
    <w:p w14:paraId="5D60B553" w14:textId="02378DD9"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建议</w:t>
      </w:r>
      <w:r w:rsidRPr="007C0ED2">
        <w:rPr>
          <w:rFonts w:ascii="Times New Roman" w:eastAsia="宋体" w:hAnsi="Times New Roman" w:cs="宋体"/>
          <w:lang w:eastAsia="zh-CN"/>
        </w:rPr>
        <w:t>：如果适用，建议通过定量和</w:t>
      </w:r>
      <w:r w:rsidRPr="007C0ED2">
        <w:rPr>
          <w:rFonts w:ascii="Times New Roman" w:eastAsia="宋体" w:hAnsi="Times New Roman" w:cs="宋体"/>
          <w:lang w:eastAsia="zh-CN"/>
        </w:rPr>
        <w:t>/</w:t>
      </w:r>
      <w:r w:rsidRPr="007C0ED2">
        <w:rPr>
          <w:rFonts w:ascii="Times New Roman" w:eastAsia="宋体" w:hAnsi="Times New Roman" w:cs="宋体"/>
          <w:lang w:eastAsia="zh-CN"/>
        </w:rPr>
        <w:t>或定性方法评估疾病模型（即</w:t>
      </w:r>
      <w:r w:rsidR="006D729C">
        <w:rPr>
          <w:rFonts w:ascii="Times New Roman" w:eastAsia="宋体" w:hAnsi="Times New Roman" w:cs="宋体" w:hint="eastAsia"/>
          <w:lang w:eastAsia="zh-CN"/>
        </w:rPr>
        <w:t>台架</w:t>
      </w:r>
      <w:r w:rsidRPr="007C0ED2">
        <w:rPr>
          <w:rFonts w:ascii="Times New Roman" w:eastAsia="宋体" w:hAnsi="Times New Roman" w:cs="宋体"/>
          <w:lang w:eastAsia="zh-CN"/>
        </w:rPr>
        <w:t>模型、动物模型或尸体模型）中切除机制的有效性。</w:t>
      </w:r>
    </w:p>
    <w:p w14:paraId="6219127C" w14:textId="77777777" w:rsidR="00EA42FA" w:rsidRPr="007C0ED2" w:rsidRDefault="00E312EA" w:rsidP="007C0ED2">
      <w:pPr>
        <w:pStyle w:val="4"/>
        <w:rPr>
          <w:rFonts w:eastAsia="宋体"/>
          <w:lang w:eastAsia="zh-CN"/>
        </w:rPr>
      </w:pPr>
      <w:r w:rsidRPr="007C0ED2">
        <w:rPr>
          <w:rFonts w:eastAsia="宋体" w:cs="宋体"/>
          <w:lang w:eastAsia="zh-CN"/>
        </w:rPr>
        <w:t>o.</w:t>
      </w:r>
      <w:r w:rsidRPr="007C0ED2">
        <w:rPr>
          <w:rFonts w:eastAsia="宋体" w:cs="宋体"/>
          <w:lang w:eastAsia="zh-CN"/>
        </w:rPr>
        <w:tab/>
      </w:r>
      <w:r w:rsidRPr="007C0ED2">
        <w:rPr>
          <w:rFonts w:eastAsia="宋体" w:cs="宋体"/>
          <w:lang w:eastAsia="zh-CN"/>
        </w:rPr>
        <w:t>轨道试验</w:t>
      </w:r>
    </w:p>
    <w:p w14:paraId="76E6F702" w14:textId="28497CD9"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意义</w:t>
      </w:r>
      <w:r w:rsidRPr="007C0ED2">
        <w:rPr>
          <w:rFonts w:ascii="Times New Roman" w:eastAsia="宋体" w:hAnsi="Times New Roman" w:cs="宋体"/>
          <w:lang w:eastAsia="zh-CN"/>
        </w:rPr>
        <w:t>：对于</w:t>
      </w:r>
      <w:proofErr w:type="gramStart"/>
      <w:r w:rsidRPr="007C0ED2">
        <w:rPr>
          <w:rFonts w:ascii="Times New Roman" w:eastAsia="宋体" w:hAnsi="Times New Roman" w:cs="宋体"/>
          <w:lang w:eastAsia="zh-CN"/>
        </w:rPr>
        <w:t>循</w:t>
      </w:r>
      <w:proofErr w:type="gramEnd"/>
      <w:r w:rsidRPr="007C0ED2">
        <w:rPr>
          <w:rFonts w:ascii="Times New Roman" w:eastAsia="宋体" w:hAnsi="Times New Roman" w:cs="宋体"/>
          <w:lang w:eastAsia="zh-CN"/>
        </w:rPr>
        <w:t>轨式</w:t>
      </w:r>
      <w:r w:rsidR="008D24C3">
        <w:rPr>
          <w:rFonts w:ascii="Times New Roman" w:eastAsia="宋体" w:hAnsi="Times New Roman" w:cs="宋体"/>
          <w:lang w:eastAsia="zh-CN"/>
        </w:rPr>
        <w:t>斑块旋切</w:t>
      </w:r>
      <w:r w:rsidRPr="007C0ED2">
        <w:rPr>
          <w:rFonts w:ascii="Times New Roman" w:eastAsia="宋体" w:hAnsi="Times New Roman" w:cs="宋体"/>
          <w:lang w:eastAsia="zh-CN"/>
        </w:rPr>
        <w:t>术系统，最大</w:t>
      </w:r>
      <w:proofErr w:type="gramStart"/>
      <w:r w:rsidRPr="007C0ED2">
        <w:rPr>
          <w:rFonts w:ascii="Times New Roman" w:eastAsia="宋体" w:hAnsi="Times New Roman" w:cs="宋体"/>
          <w:lang w:eastAsia="zh-CN"/>
        </w:rPr>
        <w:t>循</w:t>
      </w:r>
      <w:proofErr w:type="gramEnd"/>
      <w:r w:rsidRPr="007C0ED2">
        <w:rPr>
          <w:rFonts w:ascii="Times New Roman" w:eastAsia="宋体" w:hAnsi="Times New Roman" w:cs="宋体"/>
          <w:lang w:eastAsia="zh-CN"/>
        </w:rPr>
        <w:t>轨式直径取决于斑块硬度、旋转部件直径、转速（</w:t>
      </w:r>
      <w:r w:rsidRPr="007C0ED2">
        <w:rPr>
          <w:rFonts w:ascii="Times New Roman" w:eastAsia="宋体" w:hAnsi="Times New Roman" w:cs="宋体"/>
          <w:lang w:eastAsia="zh-CN"/>
        </w:rPr>
        <w:t>rpm</w:t>
      </w:r>
      <w:r w:rsidRPr="007C0ED2">
        <w:rPr>
          <w:rFonts w:ascii="Times New Roman" w:eastAsia="宋体" w:hAnsi="Times New Roman" w:cs="宋体"/>
          <w:lang w:eastAsia="zh-CN"/>
        </w:rPr>
        <w:t>）和通过病灶的次数。速度不足可能导致器械故障、治疗时间延长和</w:t>
      </w:r>
      <w:r w:rsidRPr="007C0ED2">
        <w:rPr>
          <w:rFonts w:ascii="Times New Roman" w:eastAsia="宋体" w:hAnsi="Times New Roman" w:cs="宋体"/>
          <w:lang w:eastAsia="zh-CN"/>
        </w:rPr>
        <w:t>/</w:t>
      </w:r>
      <w:r w:rsidRPr="007C0ED2">
        <w:rPr>
          <w:rFonts w:ascii="Times New Roman" w:eastAsia="宋体" w:hAnsi="Times New Roman" w:cs="宋体"/>
          <w:lang w:eastAsia="zh-CN"/>
        </w:rPr>
        <w:t>或血管损伤。</w:t>
      </w:r>
    </w:p>
    <w:p w14:paraId="159F115F" w14:textId="4FE73238"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建议</w:t>
      </w:r>
      <w:r w:rsidRPr="007C0ED2">
        <w:rPr>
          <w:rFonts w:ascii="Times New Roman" w:eastAsia="宋体" w:hAnsi="Times New Roman" w:cs="宋体"/>
          <w:lang w:eastAsia="zh-CN"/>
        </w:rPr>
        <w:t>：本机构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在包含斑块模型的模拟使用模型中以标签中指定的速度进行轨道试验。此外，本机构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为验收标准提供临床</w:t>
      </w:r>
      <w:r w:rsidRPr="007C0ED2">
        <w:rPr>
          <w:rFonts w:ascii="Times New Roman" w:eastAsia="宋体" w:hAnsi="Times New Roman" w:cs="宋体"/>
          <w:lang w:eastAsia="zh-CN"/>
        </w:rPr>
        <w:t>/</w:t>
      </w:r>
      <w:r w:rsidRPr="007C0ED2">
        <w:rPr>
          <w:rFonts w:ascii="Times New Roman" w:eastAsia="宋体" w:hAnsi="Times New Roman" w:cs="宋体"/>
          <w:lang w:eastAsia="zh-CN"/>
        </w:rPr>
        <w:t>科学依据，并证明在您指定的器械预期运行时间内以预定速度创建的轨道不会造成血管损伤。此外，</w:t>
      </w:r>
      <w:r w:rsidR="00716A7E">
        <w:rPr>
          <w:rFonts w:ascii="Times New Roman" w:eastAsia="宋体" w:hAnsi="Times New Roman" w:cs="宋体"/>
          <w:lang w:eastAsia="zh-CN"/>
        </w:rPr>
        <w:t>建议</w:t>
      </w:r>
      <w:r w:rsidRPr="007C0ED2">
        <w:rPr>
          <w:rFonts w:ascii="Times New Roman" w:eastAsia="宋体" w:hAnsi="Times New Roman" w:cs="宋体"/>
          <w:lang w:eastAsia="zh-CN"/>
        </w:rPr>
        <w:t>在器械使用说明书（</w:t>
      </w:r>
      <w:r w:rsidRPr="007C0ED2">
        <w:rPr>
          <w:rFonts w:ascii="Times New Roman" w:eastAsia="宋体" w:hAnsi="Times New Roman" w:cs="宋体"/>
          <w:lang w:eastAsia="zh-CN"/>
        </w:rPr>
        <w:t>IFU</w:t>
      </w:r>
      <w:r w:rsidRPr="007C0ED2">
        <w:rPr>
          <w:rFonts w:ascii="Times New Roman" w:eastAsia="宋体" w:hAnsi="Times New Roman" w:cs="宋体"/>
          <w:lang w:eastAsia="zh-CN"/>
        </w:rPr>
        <w:t>）中包含轨道性能数据（例如，描述每个器械尺寸和速度的典型轨道直径与运行持续时间（在模拟损伤中测量）的参考图）。</w:t>
      </w:r>
    </w:p>
    <w:p w14:paraId="126A36EA" w14:textId="77777777" w:rsidR="00EA42FA" w:rsidRPr="007C0ED2" w:rsidRDefault="00E312EA" w:rsidP="007C0ED2">
      <w:pPr>
        <w:pStyle w:val="4"/>
        <w:rPr>
          <w:rFonts w:eastAsia="宋体"/>
          <w:lang w:eastAsia="zh-CN"/>
        </w:rPr>
      </w:pPr>
      <w:r w:rsidRPr="007C0ED2">
        <w:rPr>
          <w:rFonts w:eastAsia="宋体" w:cs="宋体"/>
          <w:lang w:eastAsia="zh-CN"/>
        </w:rPr>
        <w:t>r.</w:t>
      </w:r>
      <w:r w:rsidRPr="007C0ED2">
        <w:rPr>
          <w:rFonts w:eastAsia="宋体" w:cs="宋体"/>
          <w:lang w:eastAsia="zh-CN"/>
        </w:rPr>
        <w:tab/>
      </w:r>
      <w:r w:rsidRPr="007C0ED2">
        <w:rPr>
          <w:rFonts w:eastAsia="宋体" w:cs="宋体"/>
          <w:lang w:eastAsia="zh-CN"/>
        </w:rPr>
        <w:t>颗粒物评价</w:t>
      </w:r>
    </w:p>
    <w:p w14:paraId="0FC97AD7" w14:textId="77777777" w:rsidR="00E4268D"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t>重要性</w:t>
      </w:r>
      <w:r w:rsidRPr="007C0ED2">
        <w:rPr>
          <w:rFonts w:ascii="Times New Roman" w:eastAsia="宋体" w:hAnsi="Times New Roman" w:cs="宋体"/>
          <w:lang w:eastAsia="zh-CN"/>
        </w:rPr>
        <w:t>：在临床使用期间，器械产生的微粒可能会导致严重的不良事件。如果您的涂层完整性评价发现了可能引起其他临床问题的涂层缺陷，则可能需要进行颗粒评价以解决潜在的安全性问题。</w:t>
      </w:r>
      <w:r w:rsidRPr="007C0ED2">
        <w:rPr>
          <w:rFonts w:ascii="Times New Roman" w:eastAsia="宋体" w:hAnsi="Times New Roman" w:cs="宋体"/>
          <w:lang w:eastAsia="zh-CN"/>
        </w:rPr>
        <w:br w:type="page"/>
      </w:r>
    </w:p>
    <w:p w14:paraId="3F7A36B0"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u w:val="single"/>
          <w:lang w:eastAsia="zh-CN"/>
        </w:rPr>
        <w:lastRenderedPageBreak/>
        <w:t>建议</w:t>
      </w:r>
      <w:r w:rsidRPr="007C0ED2">
        <w:rPr>
          <w:rFonts w:ascii="Times New Roman" w:eastAsia="宋体" w:hAnsi="Times New Roman" w:cs="宋体"/>
          <w:lang w:eastAsia="zh-CN"/>
        </w:rPr>
        <w:t>：如果器械有涂层，为了准确说明器械使用过程中产生的微粒，应在模拟使用后对微粒进行表征并解释数据。</w:t>
      </w:r>
    </w:p>
    <w:p w14:paraId="4E90DAB3" w14:textId="77777777" w:rsidR="00EA42FA" w:rsidRPr="007C0ED2" w:rsidRDefault="00E312EA" w:rsidP="007C0ED2">
      <w:pPr>
        <w:pStyle w:val="13"/>
        <w:rPr>
          <w:rFonts w:eastAsia="宋体"/>
          <w:lang w:eastAsia="zh-CN"/>
        </w:rPr>
      </w:pPr>
      <w:bookmarkStart w:id="14" w:name="_Toc91869508"/>
      <w:r w:rsidRPr="007C0ED2">
        <w:rPr>
          <w:rFonts w:eastAsia="宋体" w:cs="宋体"/>
          <w:lang w:eastAsia="zh-CN"/>
        </w:rPr>
        <w:t>供试品</w:t>
      </w:r>
      <w:bookmarkEnd w:id="14"/>
    </w:p>
    <w:p w14:paraId="2622D9EC" w14:textId="1B72A112"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建议对经过所有制造过程（包括灭菌）的成品进行所有试验。您应为每个试验的样本量提供科学依据或统计学依据。本机构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实施抽样计划，以检查多批次产品（</w:t>
      </w:r>
      <w:r w:rsidR="00ED731E">
        <w:rPr>
          <w:rFonts w:ascii="Times New Roman" w:eastAsia="宋体" w:hAnsi="Times New Roman" w:cs="宋体" w:hint="eastAsia"/>
          <w:lang w:eastAsia="zh-CN"/>
        </w:rPr>
        <w:t>≥</w:t>
      </w:r>
      <w:r w:rsidRPr="007C0ED2">
        <w:rPr>
          <w:rFonts w:ascii="Times New Roman" w:eastAsia="宋体" w:hAnsi="Times New Roman" w:cs="宋体"/>
          <w:lang w:eastAsia="zh-CN"/>
        </w:rPr>
        <w:t>3</w:t>
      </w:r>
      <w:r w:rsidRPr="007C0ED2">
        <w:rPr>
          <w:rFonts w:ascii="Times New Roman" w:eastAsia="宋体" w:hAnsi="Times New Roman" w:cs="宋体"/>
          <w:lang w:eastAsia="zh-CN"/>
        </w:rPr>
        <w:t>）来评估批次间和批次内的可变性。您应对申报的整个产品矩阵的极值和适当的中间尺寸进行试验。</w:t>
      </w:r>
    </w:p>
    <w:p w14:paraId="220F04DC" w14:textId="77777777" w:rsidR="00EA42FA" w:rsidRPr="007C0ED2" w:rsidRDefault="00E312EA" w:rsidP="007C0ED2">
      <w:pPr>
        <w:pStyle w:val="13"/>
        <w:rPr>
          <w:rFonts w:eastAsia="宋体"/>
          <w:lang w:eastAsia="zh-CN"/>
        </w:rPr>
      </w:pPr>
      <w:bookmarkStart w:id="15" w:name="_Toc91869509"/>
      <w:r w:rsidRPr="007C0ED2">
        <w:rPr>
          <w:rFonts w:eastAsia="宋体" w:cs="宋体"/>
          <w:lang w:eastAsia="zh-CN"/>
        </w:rPr>
        <w:t>试验方法</w:t>
      </w:r>
      <w:bookmarkEnd w:id="15"/>
    </w:p>
    <w:p w14:paraId="353A2265" w14:textId="2D4A4CFC" w:rsidR="00EA42FA" w:rsidRPr="007C0ED2" w:rsidRDefault="00716A7E" w:rsidP="007C0ED2">
      <w:pPr>
        <w:adjustRightInd w:val="0"/>
        <w:snapToGrid w:val="0"/>
        <w:spacing w:beforeLines="50" w:before="120" w:line="300" w:lineRule="auto"/>
        <w:jc w:val="both"/>
        <w:rPr>
          <w:rFonts w:ascii="Times New Roman" w:eastAsia="宋体" w:hAnsi="Times New Roman" w:cs="Times New Roman"/>
          <w:snapToGrid w:val="0"/>
          <w:lang w:eastAsia="zh-CN"/>
        </w:rPr>
      </w:pPr>
      <w:r>
        <w:rPr>
          <w:rFonts w:ascii="Times New Roman" w:eastAsia="宋体" w:hAnsi="Times New Roman" w:cs="宋体"/>
          <w:lang w:eastAsia="zh-CN"/>
        </w:rPr>
        <w:t>建议</w:t>
      </w:r>
      <w:r w:rsidR="00E312EA" w:rsidRPr="007C0ED2">
        <w:rPr>
          <w:rFonts w:ascii="Times New Roman" w:eastAsia="宋体" w:hAnsi="Times New Roman" w:cs="宋体"/>
          <w:lang w:eastAsia="zh-CN"/>
        </w:rPr>
        <w:t>评估整个粥样</w:t>
      </w:r>
      <w:r w:rsidR="008D24C3">
        <w:rPr>
          <w:rFonts w:ascii="Times New Roman" w:eastAsia="宋体" w:hAnsi="Times New Roman" w:cs="宋体"/>
          <w:lang w:eastAsia="zh-CN"/>
        </w:rPr>
        <w:t>斑块旋切</w:t>
      </w:r>
      <w:r w:rsidR="00E312EA" w:rsidRPr="007C0ED2">
        <w:rPr>
          <w:rFonts w:ascii="Times New Roman" w:eastAsia="宋体" w:hAnsi="Times New Roman" w:cs="宋体"/>
          <w:lang w:eastAsia="zh-CN"/>
        </w:rPr>
        <w:t>术器械产生的微粒，包括预期在临床过程中使用的辅助器械。导管应通过弯曲路径夹具进行跟踪（如上文</w:t>
      </w:r>
      <w:r w:rsidR="00E312EA" w:rsidRPr="007C0ED2">
        <w:rPr>
          <w:rFonts w:ascii="Times New Roman" w:eastAsia="宋体" w:hAnsi="Times New Roman" w:cs="宋体"/>
          <w:lang w:eastAsia="zh-CN"/>
        </w:rPr>
        <w:t>J(4)</w:t>
      </w:r>
      <w:r w:rsidR="00E312EA" w:rsidRPr="007C0ED2">
        <w:rPr>
          <w:rFonts w:ascii="Times New Roman" w:eastAsia="宋体" w:hAnsi="Times New Roman" w:cs="宋体"/>
          <w:lang w:eastAsia="zh-CN"/>
        </w:rPr>
        <w:t>模拟使用模型和</w:t>
      </w:r>
      <w:r w:rsidR="00E312EA" w:rsidRPr="007C0ED2">
        <w:rPr>
          <w:rFonts w:ascii="Times New Roman" w:eastAsia="宋体" w:hAnsi="Times New Roman" w:cs="宋体"/>
          <w:lang w:eastAsia="zh-CN"/>
        </w:rPr>
        <w:t>J(5) b</w:t>
      </w:r>
      <w:r w:rsidR="00E312EA" w:rsidRPr="007C0ED2">
        <w:rPr>
          <w:rFonts w:ascii="Times New Roman" w:eastAsia="宋体" w:hAnsi="Times New Roman" w:cs="宋体"/>
          <w:lang w:eastAsia="zh-CN"/>
        </w:rPr>
        <w:t>模拟使用试验部分所述）。当递送至相关部位时，器械应与血管模型直接接触，而无需在器械与血管模型之间使用其他涂层、润滑剂、鞘管或保护层。为确保测量可能进入血流的微粒总数，导管插入试验夹具中</w:t>
      </w:r>
      <w:r w:rsidR="00ED731E">
        <w:rPr>
          <w:rFonts w:ascii="Times New Roman" w:eastAsia="宋体" w:hAnsi="Times New Roman" w:cs="宋体" w:hint="eastAsia"/>
          <w:lang w:eastAsia="zh-CN"/>
        </w:rPr>
        <w:t>的程度应和</w:t>
      </w:r>
      <w:r w:rsidR="00E312EA" w:rsidRPr="007C0ED2">
        <w:rPr>
          <w:rFonts w:ascii="Times New Roman" w:eastAsia="宋体" w:hAnsi="Times New Roman" w:cs="宋体"/>
          <w:lang w:eastAsia="zh-CN"/>
        </w:rPr>
        <w:t>其在临床使用中的插入程度</w:t>
      </w:r>
      <w:r w:rsidR="00ED731E">
        <w:rPr>
          <w:rFonts w:ascii="Times New Roman" w:eastAsia="宋体" w:hAnsi="Times New Roman" w:cs="宋体" w:hint="eastAsia"/>
          <w:lang w:eastAsia="zh-CN"/>
        </w:rPr>
        <w:t>相同</w:t>
      </w:r>
      <w:r w:rsidR="00E312EA" w:rsidRPr="007C0ED2">
        <w:rPr>
          <w:rFonts w:ascii="Times New Roman" w:eastAsia="宋体" w:hAnsi="Times New Roman" w:cs="宋体"/>
          <w:lang w:eastAsia="zh-CN"/>
        </w:rPr>
        <w:t>。</w:t>
      </w:r>
    </w:p>
    <w:p w14:paraId="1246588E"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建议在模拟血液流动的连续流动条件下，使用经验证的方法（例如，光线遮蔽、光线折射）对每次评估时产生的微粒数量进行量化，并通过大小和数量进行表征。具体而言，本机构建议报告以下尺寸范围内的颗粒物总数：</w:t>
      </w:r>
      <w:r w:rsidRPr="007C0ED2">
        <w:rPr>
          <w:rFonts w:ascii="Times New Roman" w:eastAsia="宋体" w:hAnsi="Times New Roman" w:cs="宋体"/>
          <w:lang w:eastAsia="zh-CN"/>
        </w:rPr>
        <w:t xml:space="preserve">≥ 10 </w:t>
      </w:r>
      <w:proofErr w:type="spellStart"/>
      <w:r w:rsidRPr="007C0ED2">
        <w:rPr>
          <w:rFonts w:ascii="Times New Roman" w:eastAsia="宋体" w:hAnsi="Times New Roman" w:cs="宋体"/>
        </w:rPr>
        <w:t>μ</w:t>
      </w:r>
      <w:r w:rsidRPr="007C0ED2">
        <w:rPr>
          <w:rFonts w:ascii="Times New Roman" w:eastAsia="宋体" w:hAnsi="Times New Roman" w:cs="宋体"/>
          <w:lang w:eastAsia="zh-CN"/>
        </w:rPr>
        <w:t>m</w:t>
      </w:r>
      <w:proofErr w:type="spellEnd"/>
      <w:r w:rsidRPr="007C0ED2">
        <w:rPr>
          <w:rFonts w:ascii="Times New Roman" w:eastAsia="宋体" w:hAnsi="Times New Roman" w:cs="宋体"/>
          <w:lang w:eastAsia="zh-CN"/>
        </w:rPr>
        <w:t>，</w:t>
      </w:r>
      <w:r w:rsidRPr="007C0ED2">
        <w:rPr>
          <w:rFonts w:ascii="Times New Roman" w:eastAsia="宋体" w:hAnsi="Times New Roman" w:cs="宋体"/>
          <w:lang w:eastAsia="zh-CN"/>
        </w:rPr>
        <w:t xml:space="preserve">≥ 25 </w:t>
      </w:r>
      <w:proofErr w:type="spellStart"/>
      <w:r w:rsidRPr="007C0ED2">
        <w:rPr>
          <w:rFonts w:ascii="Times New Roman" w:eastAsia="宋体" w:hAnsi="Times New Roman" w:cs="宋体"/>
        </w:rPr>
        <w:t>μ</w:t>
      </w:r>
      <w:r w:rsidRPr="007C0ED2">
        <w:rPr>
          <w:rFonts w:ascii="Times New Roman" w:eastAsia="宋体" w:hAnsi="Times New Roman" w:cs="宋体"/>
          <w:lang w:eastAsia="zh-CN"/>
        </w:rPr>
        <w:t>m</w:t>
      </w:r>
      <w:proofErr w:type="spellEnd"/>
      <w:r w:rsidRPr="007C0ED2">
        <w:rPr>
          <w:rFonts w:ascii="Times New Roman" w:eastAsia="宋体" w:hAnsi="Times New Roman" w:cs="宋体"/>
          <w:lang w:eastAsia="zh-CN"/>
        </w:rPr>
        <w:t>，并且处于最大尺寸时，确认产生</w:t>
      </w:r>
      <w:r w:rsidRPr="007C0ED2">
        <w:rPr>
          <w:rFonts w:ascii="Times New Roman" w:eastAsia="宋体" w:hAnsi="Times New Roman" w:cs="宋体"/>
          <w:lang w:eastAsia="zh-CN"/>
        </w:rPr>
        <w:t>≥ 75%</w:t>
      </w:r>
      <w:r w:rsidRPr="007C0ED2">
        <w:rPr>
          <w:rFonts w:ascii="Times New Roman" w:eastAsia="宋体" w:hAnsi="Times New Roman" w:cs="宋体"/>
          <w:lang w:eastAsia="zh-CN"/>
        </w:rPr>
        <w:t>的回收率。至少，最大尺寸应</w:t>
      </w:r>
      <w:r w:rsidRPr="007C0ED2">
        <w:rPr>
          <w:rFonts w:ascii="Times New Roman" w:eastAsia="宋体" w:hAnsi="Times New Roman" w:cs="宋体"/>
          <w:lang w:eastAsia="zh-CN"/>
        </w:rPr>
        <w:t xml:space="preserve">≥ 50 </w:t>
      </w:r>
      <w:proofErr w:type="spellStart"/>
      <w:r w:rsidRPr="007C0ED2">
        <w:rPr>
          <w:rFonts w:ascii="Times New Roman" w:eastAsia="宋体" w:hAnsi="Times New Roman" w:cs="宋体"/>
        </w:rPr>
        <w:t>μ</w:t>
      </w:r>
      <w:r w:rsidRPr="007C0ED2">
        <w:rPr>
          <w:rFonts w:ascii="Times New Roman" w:eastAsia="宋体" w:hAnsi="Times New Roman" w:cs="宋体"/>
          <w:lang w:eastAsia="zh-CN"/>
        </w:rPr>
        <w:t>m</w:t>
      </w:r>
      <w:proofErr w:type="spellEnd"/>
      <w:r w:rsidRPr="007C0ED2">
        <w:rPr>
          <w:rFonts w:ascii="Times New Roman" w:eastAsia="宋体" w:hAnsi="Times New Roman" w:cs="宋体"/>
          <w:lang w:eastAsia="zh-CN"/>
        </w:rPr>
        <w:t>。</w:t>
      </w:r>
    </w:p>
    <w:p w14:paraId="2FC00D96" w14:textId="4785AA72"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还应采取适当的预防措施，以确保在微粒计数和尺寸确定过程中使微粒悬浮，从而最大限度地减少聚集和试验系统中的其他假象。</w:t>
      </w:r>
      <w:r w:rsidR="00716A7E">
        <w:rPr>
          <w:rFonts w:ascii="Times New Roman" w:eastAsia="宋体" w:hAnsi="Times New Roman" w:cs="宋体"/>
          <w:lang w:eastAsia="zh-CN"/>
        </w:rPr>
        <w:t>建议</w:t>
      </w:r>
      <w:r w:rsidRPr="007C0ED2">
        <w:rPr>
          <w:rFonts w:ascii="Times New Roman" w:eastAsia="宋体" w:hAnsi="Times New Roman" w:cs="宋体"/>
          <w:lang w:eastAsia="zh-CN"/>
        </w:rPr>
        <w:t>测量模拟使用器械过程中产生的微粒</w:t>
      </w:r>
      <w:proofErr w:type="gramStart"/>
      <w:r w:rsidRPr="007C0ED2">
        <w:rPr>
          <w:rFonts w:ascii="Times New Roman" w:eastAsia="宋体" w:hAnsi="Times New Roman" w:cs="宋体"/>
          <w:lang w:eastAsia="zh-CN"/>
        </w:rPr>
        <w:t>数</w:t>
      </w:r>
      <w:r w:rsidR="00C52525">
        <w:rPr>
          <w:rFonts w:ascii="Times New Roman" w:eastAsia="宋体" w:hAnsi="Times New Roman" w:cs="宋体" w:hint="eastAsia"/>
          <w:lang w:eastAsia="zh-CN"/>
        </w:rPr>
        <w:t>全部</w:t>
      </w:r>
      <w:proofErr w:type="gramEnd"/>
      <w:r w:rsidR="00C52525">
        <w:rPr>
          <w:rFonts w:ascii="Times New Roman" w:eastAsia="宋体" w:hAnsi="Times New Roman" w:cs="宋体" w:hint="eastAsia"/>
          <w:lang w:eastAsia="zh-CN"/>
        </w:rPr>
        <w:t>数</w:t>
      </w:r>
      <w:r w:rsidRPr="007C0ED2">
        <w:rPr>
          <w:rFonts w:ascii="Times New Roman" w:eastAsia="宋体" w:hAnsi="Times New Roman" w:cs="宋体"/>
          <w:lang w:eastAsia="zh-CN"/>
        </w:rPr>
        <w:t>量和大小。</w:t>
      </w:r>
      <w:r w:rsidR="00716A7E">
        <w:rPr>
          <w:rFonts w:ascii="Times New Roman" w:eastAsia="宋体" w:hAnsi="Times New Roman" w:cs="宋体"/>
          <w:lang w:eastAsia="zh-CN"/>
        </w:rPr>
        <w:t>建议</w:t>
      </w:r>
      <w:r w:rsidRPr="007C0ED2">
        <w:rPr>
          <w:rFonts w:ascii="Times New Roman" w:eastAsia="宋体" w:hAnsi="Times New Roman" w:cs="宋体"/>
          <w:lang w:eastAsia="zh-CN"/>
        </w:rPr>
        <w:t>在最坏的使用条件下进行微粒评估。例如，对于预期用于</w:t>
      </w:r>
      <w:r w:rsidRPr="007C0ED2">
        <w:rPr>
          <w:rFonts w:ascii="Times New Roman" w:eastAsia="宋体" w:hAnsi="Times New Roman" w:cs="宋体"/>
          <w:lang w:eastAsia="zh-CN"/>
        </w:rPr>
        <w:t>ISR</w:t>
      </w:r>
      <w:r w:rsidRPr="007C0ED2">
        <w:rPr>
          <w:rFonts w:ascii="Times New Roman" w:eastAsia="宋体" w:hAnsi="Times New Roman" w:cs="宋体"/>
          <w:lang w:eastAsia="zh-CN"/>
        </w:rPr>
        <w:t>的器械，本机构</w:t>
      </w:r>
      <w:r w:rsidR="00716A7E">
        <w:rPr>
          <w:rFonts w:ascii="Times New Roman" w:eastAsia="宋体" w:hAnsi="Times New Roman" w:cs="宋体"/>
          <w:lang w:eastAsia="zh-CN"/>
        </w:rPr>
        <w:t>建议</w:t>
      </w:r>
      <w:r w:rsidRPr="007C0ED2">
        <w:rPr>
          <w:rFonts w:ascii="Times New Roman" w:eastAsia="宋体" w:hAnsi="Times New Roman" w:cs="宋体"/>
          <w:lang w:eastAsia="zh-CN"/>
        </w:rPr>
        <w:t>评价颗粒物的数量和尺寸，这些颗粒物产生于跟踪器械通过弯曲路径夹具并将器械放置在模拟血管中的支架内。</w:t>
      </w:r>
    </w:p>
    <w:p w14:paraId="75D610B3" w14:textId="77777777" w:rsidR="00EA42FA" w:rsidRPr="007C0ED2" w:rsidRDefault="00E312EA" w:rsidP="007C0ED2">
      <w:pPr>
        <w:pStyle w:val="13"/>
        <w:rPr>
          <w:rFonts w:eastAsia="宋体"/>
          <w:lang w:eastAsia="zh-CN"/>
        </w:rPr>
      </w:pPr>
      <w:bookmarkStart w:id="16" w:name="_Toc91869510"/>
      <w:r w:rsidRPr="007C0ED2">
        <w:rPr>
          <w:rFonts w:eastAsia="宋体" w:cs="宋体"/>
          <w:lang w:eastAsia="zh-CN"/>
        </w:rPr>
        <w:t>方法确认</w:t>
      </w:r>
      <w:bookmarkEnd w:id="16"/>
    </w:p>
    <w:p w14:paraId="304BA1BB" w14:textId="16782708"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t>您应该描述并验证粒子计数和大小</w:t>
      </w:r>
      <w:r w:rsidR="00C52525">
        <w:rPr>
          <w:rFonts w:ascii="Times New Roman" w:eastAsia="宋体" w:hAnsi="Times New Roman" w:cs="宋体" w:hint="eastAsia"/>
          <w:lang w:eastAsia="zh-CN"/>
        </w:rPr>
        <w:t>测量</w:t>
      </w:r>
      <w:r w:rsidRPr="007C0ED2">
        <w:rPr>
          <w:rFonts w:ascii="Times New Roman" w:eastAsia="宋体" w:hAnsi="Times New Roman" w:cs="宋体"/>
          <w:lang w:eastAsia="zh-CN"/>
        </w:rPr>
        <w:t>方法。</w:t>
      </w:r>
      <w:r w:rsidR="00716A7E">
        <w:rPr>
          <w:rFonts w:ascii="Times New Roman" w:eastAsia="宋体" w:hAnsi="Times New Roman" w:cs="宋体"/>
          <w:lang w:eastAsia="zh-CN"/>
        </w:rPr>
        <w:t>建议</w:t>
      </w:r>
      <w:r w:rsidRPr="007C0ED2">
        <w:rPr>
          <w:rFonts w:ascii="Times New Roman" w:eastAsia="宋体" w:hAnsi="Times New Roman" w:cs="宋体"/>
          <w:lang w:eastAsia="zh-CN"/>
        </w:rPr>
        <w:t>在试验设置中引入已知数量的各种大小的微粒，并量化回收的微粒数量。回收的微粒数应接近人为引入系统的微粒数。对于要验证的系统，应证明</w:t>
      </w:r>
      <w:r w:rsidRPr="007C0ED2">
        <w:rPr>
          <w:rFonts w:ascii="Times New Roman" w:eastAsia="宋体" w:hAnsi="Times New Roman" w:cs="宋体"/>
          <w:lang w:eastAsia="zh-CN"/>
        </w:rPr>
        <w:t xml:space="preserve">≥ 10 </w:t>
      </w:r>
      <w:proofErr w:type="spellStart"/>
      <w:r w:rsidRPr="007C0ED2">
        <w:rPr>
          <w:rFonts w:ascii="Times New Roman" w:eastAsia="宋体" w:hAnsi="Times New Roman" w:cs="宋体"/>
        </w:rPr>
        <w:t>μ</w:t>
      </w:r>
      <w:r w:rsidRPr="007C0ED2">
        <w:rPr>
          <w:rFonts w:ascii="Times New Roman" w:eastAsia="宋体" w:hAnsi="Times New Roman" w:cs="宋体"/>
          <w:lang w:eastAsia="zh-CN"/>
        </w:rPr>
        <w:t>m</w:t>
      </w:r>
      <w:proofErr w:type="spellEnd"/>
      <w:r w:rsidRPr="007C0ED2">
        <w:rPr>
          <w:rFonts w:ascii="Times New Roman" w:eastAsia="宋体" w:hAnsi="Times New Roman" w:cs="宋体"/>
          <w:lang w:eastAsia="zh-CN"/>
        </w:rPr>
        <w:t>和</w:t>
      </w:r>
      <w:r w:rsidRPr="007C0ED2">
        <w:rPr>
          <w:rFonts w:ascii="Times New Roman" w:eastAsia="宋体" w:hAnsi="Times New Roman" w:cs="宋体"/>
          <w:lang w:eastAsia="zh-CN"/>
        </w:rPr>
        <w:t xml:space="preserve">≥ 25 </w:t>
      </w:r>
      <w:proofErr w:type="spellStart"/>
      <w:r w:rsidRPr="007C0ED2">
        <w:rPr>
          <w:rFonts w:ascii="Times New Roman" w:eastAsia="宋体" w:hAnsi="Times New Roman" w:cs="宋体"/>
        </w:rPr>
        <w:t>μ</w:t>
      </w:r>
      <w:r w:rsidRPr="007C0ED2">
        <w:rPr>
          <w:rFonts w:ascii="Times New Roman" w:eastAsia="宋体" w:hAnsi="Times New Roman" w:cs="宋体"/>
          <w:lang w:eastAsia="zh-CN"/>
        </w:rPr>
        <w:t>m</w:t>
      </w:r>
      <w:proofErr w:type="spellEnd"/>
      <w:r w:rsidRPr="007C0ED2">
        <w:rPr>
          <w:rFonts w:ascii="Times New Roman" w:eastAsia="宋体" w:hAnsi="Times New Roman" w:cs="宋体"/>
          <w:lang w:eastAsia="zh-CN"/>
        </w:rPr>
        <w:t>的尺寸范围具有</w:t>
      </w:r>
      <w:r w:rsidRPr="007C0ED2">
        <w:rPr>
          <w:rFonts w:ascii="Times New Roman" w:eastAsia="宋体" w:hAnsi="Times New Roman" w:cs="宋体"/>
          <w:lang w:eastAsia="zh-CN"/>
        </w:rPr>
        <w:t>≥ 90%</w:t>
      </w:r>
      <w:r w:rsidRPr="007C0ED2">
        <w:rPr>
          <w:rFonts w:ascii="Times New Roman" w:eastAsia="宋体" w:hAnsi="Times New Roman" w:cs="宋体"/>
          <w:lang w:eastAsia="zh-CN"/>
        </w:rPr>
        <w:t>的回收率。</w:t>
      </w:r>
    </w:p>
    <w:p w14:paraId="608862C4" w14:textId="77777777" w:rsidR="00E4268D" w:rsidRPr="007C0ED2" w:rsidRDefault="00E4268D" w:rsidP="007C0ED2">
      <w:pPr>
        <w:rPr>
          <w:rFonts w:ascii="Times New Roman" w:eastAsia="宋体" w:hAnsi="Times New Roman" w:cs="Times New Roman"/>
          <w:b/>
          <w:bCs/>
          <w:i/>
          <w:iCs/>
          <w:snapToGrid w:val="0"/>
          <w:lang w:eastAsia="zh-CN"/>
        </w:rPr>
      </w:pPr>
      <w:r w:rsidRPr="007C0ED2">
        <w:rPr>
          <w:rFonts w:ascii="Times New Roman" w:eastAsia="宋体" w:hAnsi="Times New Roman" w:cs="宋体"/>
          <w:lang w:eastAsia="zh-CN"/>
        </w:rPr>
        <w:br w:type="page"/>
      </w:r>
    </w:p>
    <w:p w14:paraId="6B41DF41" w14:textId="77777777" w:rsidR="00EA42FA" w:rsidRPr="007C0ED2" w:rsidRDefault="00E312EA" w:rsidP="007C0ED2">
      <w:pPr>
        <w:adjustRightInd w:val="0"/>
        <w:snapToGrid w:val="0"/>
        <w:spacing w:beforeLines="50" w:before="120" w:line="300" w:lineRule="auto"/>
        <w:jc w:val="both"/>
        <w:rPr>
          <w:rFonts w:ascii="Times New Roman" w:eastAsia="宋体" w:hAnsi="Times New Roman" w:cs="Times New Roman"/>
          <w:snapToGrid w:val="0"/>
          <w:lang w:eastAsia="zh-CN"/>
        </w:rPr>
      </w:pPr>
      <w:r w:rsidRPr="007C0ED2">
        <w:rPr>
          <w:rFonts w:ascii="Times New Roman" w:eastAsia="宋体" w:hAnsi="Times New Roman" w:cs="宋体"/>
          <w:lang w:eastAsia="zh-CN"/>
        </w:rPr>
        <w:lastRenderedPageBreak/>
        <w:t>您应提供临床论述，解释微粒评估结果和相关涂层完整性评估结果不会引起任何安全问题的原因。如果微粒评估呈现出安全问题，则化学表征可能适合于确定微粒来源。</w:t>
      </w:r>
    </w:p>
    <w:sectPr w:rsidR="00EA42FA" w:rsidRPr="007C0ED2" w:rsidSect="00577D04">
      <w:footerReference w:type="default" r:id="rId34"/>
      <w:pgSz w:w="11907" w:h="16839" w:code="9"/>
      <w:pgMar w:top="1418" w:right="1418" w:bottom="1418" w:left="1418"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31BC" w14:textId="77777777" w:rsidR="00740FDA" w:rsidRDefault="00740FDA">
      <w:r>
        <w:separator/>
      </w:r>
    </w:p>
  </w:endnote>
  <w:endnote w:type="continuationSeparator" w:id="0">
    <w:p w14:paraId="6138E1CE" w14:textId="77777777" w:rsidR="00740FDA" w:rsidRDefault="0074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D3B7" w14:textId="77777777" w:rsidR="00577D04" w:rsidRPr="007C0ED2" w:rsidRDefault="00577D04" w:rsidP="00577D04">
    <w:pPr>
      <w:pStyle w:val="ad"/>
      <w:jc w:val="right"/>
      <w:rPr>
        <w:rFonts w:ascii="Times New Roman" w:eastAsia="宋体" w:hAnsi="Times New Roman" w:cs="Times New Roman"/>
        <w:sz w:val="21"/>
        <w:szCs w:val="21"/>
      </w:rPr>
    </w:pPr>
    <w:r w:rsidRPr="00501227">
      <w:rPr>
        <w:rFonts w:ascii="Times New Roman" w:hAnsi="Times New Roman" w:cs="Times New Roman"/>
        <w:vanish/>
        <w:sz w:val="21"/>
        <w:szCs w:val="21"/>
      </w:rPr>
      <w:fldChar w:fldCharType="begin"/>
    </w:r>
    <w:r w:rsidRPr="00501227">
      <w:rPr>
        <w:rFonts w:ascii="Times New Roman" w:hAnsi="Times New Roman" w:cs="Times New Roman"/>
        <w:vanish/>
        <w:sz w:val="21"/>
        <w:szCs w:val="21"/>
      </w:rPr>
      <w:instrText>PAGE   \* MERGEFORMAT</w:instrText>
    </w:r>
    <w:r w:rsidRPr="00501227">
      <w:rPr>
        <w:rFonts w:ascii="Times New Roman" w:hAnsi="Times New Roman" w:cs="Times New Roman"/>
        <w:vanish/>
        <w:sz w:val="21"/>
        <w:szCs w:val="21"/>
      </w:rPr>
      <w:fldChar w:fldCharType="separate"/>
    </w:r>
    <w:r w:rsidR="00C563AB" w:rsidRPr="00C563AB">
      <w:rPr>
        <w:rFonts w:ascii="Times New Roman" w:eastAsia="宋体" w:hAnsi="Times New Roman" w:cs="Times New Roman"/>
        <w:noProof/>
        <w:sz w:val="21"/>
        <w:szCs w:val="21"/>
        <w:lang w:val="zh-CN" w:eastAsia="zh-CN"/>
      </w:rPr>
      <w:t>6</w:t>
    </w:r>
    <w:r w:rsidRPr="00501227">
      <w:rPr>
        <w:rFonts w:ascii="Times New Roman" w:hAnsi="Times New Roman" w:cs="Times New Roman"/>
        <w:vanish/>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E08C" w14:textId="77777777" w:rsidR="00740FDA" w:rsidRDefault="00740FDA">
      <w:r>
        <w:separator/>
      </w:r>
    </w:p>
  </w:footnote>
  <w:footnote w:type="continuationSeparator" w:id="0">
    <w:p w14:paraId="4CB42315" w14:textId="77777777" w:rsidR="00740FDA" w:rsidRDefault="00740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F7E" w14:textId="28CED5C7" w:rsidR="00F856AA" w:rsidRPr="00E33B50" w:rsidRDefault="0076171F" w:rsidP="00E043EA">
    <w:pPr>
      <w:pStyle w:val="a4"/>
      <w:adjustRightInd w:val="0"/>
      <w:snapToGrid w:val="0"/>
      <w:spacing w:beforeLines="50" w:before="120" w:line="300" w:lineRule="auto"/>
      <w:jc w:val="center"/>
      <w:rPr>
        <w:rFonts w:eastAsia="宋体"/>
        <w:snapToGrid w:val="0"/>
        <w:sz w:val="21"/>
        <w:szCs w:val="21"/>
        <w:lang w:eastAsia="zh-CN"/>
      </w:rPr>
    </w:pPr>
    <w:r w:rsidRPr="0076171F">
      <w:rPr>
        <w:rFonts w:eastAsia="宋体" w:cs="宋体" w:hint="eastAsia"/>
        <w:sz w:val="21"/>
        <w:lang w:eastAsia="zh-CN"/>
      </w:rPr>
      <w:t>所含建议不具约束力</w:t>
    </w:r>
  </w:p>
  <w:p w14:paraId="19170981" w14:textId="77777777" w:rsidR="0052255A" w:rsidRPr="007C0ED2" w:rsidRDefault="0052255A" w:rsidP="0052255A">
    <w:pPr>
      <w:adjustRightInd w:val="0"/>
      <w:snapToGrid w:val="0"/>
      <w:spacing w:beforeLines="50" w:before="120" w:line="300" w:lineRule="auto"/>
      <w:jc w:val="center"/>
      <w:rPr>
        <w:rFonts w:ascii="Times New Roman" w:eastAsia="宋体" w:hAnsi="Times New Roman" w:cs="Times New Roman"/>
        <w:b/>
        <w:bCs/>
        <w:i/>
        <w:iCs/>
        <w:snapToGrid w:val="0"/>
        <w:sz w:val="21"/>
        <w:szCs w:val="21"/>
        <w:lang w:eastAsia="zh-CN"/>
      </w:rPr>
    </w:pPr>
    <w:r w:rsidRPr="007C0ED2">
      <w:rPr>
        <w:rFonts w:ascii="Times New Roman" w:eastAsia="宋体" w:hAnsi="Times New Roman" w:cs="宋体"/>
        <w:b/>
        <w:i/>
        <w:sz w:val="21"/>
        <w:lang w:eastAsia="zh-CN"/>
      </w:rPr>
      <w:t>草案</w:t>
    </w:r>
    <w:r w:rsidRPr="007C0ED2">
      <w:rPr>
        <w:rFonts w:ascii="Times New Roman" w:eastAsia="宋体" w:hAnsi="Times New Roman" w:cs="宋体"/>
        <w:b/>
        <w:i/>
        <w:sz w:val="21"/>
        <w:lang w:eastAsia="zh-CN"/>
      </w:rPr>
      <w:t>—</w:t>
    </w:r>
    <w:r w:rsidRPr="007C0ED2">
      <w:rPr>
        <w:rFonts w:ascii="Times New Roman" w:eastAsia="宋体" w:hAnsi="Times New Roman" w:cs="宋体"/>
        <w:b/>
        <w:i/>
        <w:sz w:val="21"/>
        <w:lang w:eastAsia="zh-CN"/>
      </w:rPr>
      <w:t>非执行版</w:t>
    </w:r>
  </w:p>
  <w:p w14:paraId="23D46864" w14:textId="77777777" w:rsidR="0052255A" w:rsidRPr="007C0ED2" w:rsidRDefault="0052255A" w:rsidP="0052255A">
    <w:pPr>
      <w:pStyle w:val="ab"/>
      <w:pBdr>
        <w:bottom w:val="none" w:sz="0" w:space="0" w:color="auto"/>
      </w:pBdr>
      <w:rPr>
        <w:rFonts w:ascii="Times New Roman" w:eastAsia="宋体" w:hAnsi="Times New Roman" w:cs="Times New Roman"/>
        <w:sz w:val="21"/>
        <w:szCs w:val="21"/>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6E32"/>
    <w:multiLevelType w:val="hybridMultilevel"/>
    <w:tmpl w:val="72A23884"/>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E8E1BD5"/>
    <w:multiLevelType w:val="multilevel"/>
    <w:tmpl w:val="EA08D8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7F6F66"/>
    <w:multiLevelType w:val="hybridMultilevel"/>
    <w:tmpl w:val="DC2E8658"/>
    <w:lvl w:ilvl="0" w:tplc="A808ECB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EB4989"/>
    <w:multiLevelType w:val="hybridMultilevel"/>
    <w:tmpl w:val="F31C2614"/>
    <w:lvl w:ilvl="0" w:tplc="2216F614">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10F52C6"/>
    <w:multiLevelType w:val="hybridMultilevel"/>
    <w:tmpl w:val="560C8658"/>
    <w:lvl w:ilvl="0" w:tplc="029EE2DA">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897713"/>
    <w:multiLevelType w:val="multilevel"/>
    <w:tmpl w:val="F1FE5E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357046">
    <w:abstractNumId w:val="1"/>
  </w:num>
  <w:num w:numId="2" w16cid:durableId="1920362877">
    <w:abstractNumId w:val="5"/>
  </w:num>
  <w:num w:numId="3" w16cid:durableId="482284844">
    <w:abstractNumId w:val="0"/>
  </w:num>
  <w:num w:numId="4" w16cid:durableId="1085104413">
    <w:abstractNumId w:val="3"/>
  </w:num>
  <w:num w:numId="5" w16cid:durableId="1900356888">
    <w:abstractNumId w:val="2"/>
  </w:num>
  <w:num w:numId="6" w16cid:durableId="1476951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2FA"/>
    <w:rsid w:val="00064548"/>
    <w:rsid w:val="00082A2C"/>
    <w:rsid w:val="00171AFA"/>
    <w:rsid w:val="00190562"/>
    <w:rsid w:val="00257F43"/>
    <w:rsid w:val="002D1F2B"/>
    <w:rsid w:val="002D2E19"/>
    <w:rsid w:val="00405EF2"/>
    <w:rsid w:val="0046126C"/>
    <w:rsid w:val="00496F51"/>
    <w:rsid w:val="004B7E46"/>
    <w:rsid w:val="00501227"/>
    <w:rsid w:val="00505C2E"/>
    <w:rsid w:val="0052255A"/>
    <w:rsid w:val="00577D04"/>
    <w:rsid w:val="005B3F36"/>
    <w:rsid w:val="005D7E27"/>
    <w:rsid w:val="006415AD"/>
    <w:rsid w:val="00692E5D"/>
    <w:rsid w:val="0069349A"/>
    <w:rsid w:val="006D729C"/>
    <w:rsid w:val="006E6666"/>
    <w:rsid w:val="00716A7E"/>
    <w:rsid w:val="00740FDA"/>
    <w:rsid w:val="0076171F"/>
    <w:rsid w:val="007C0ED2"/>
    <w:rsid w:val="00807AB7"/>
    <w:rsid w:val="00834F3C"/>
    <w:rsid w:val="008D24C3"/>
    <w:rsid w:val="00925EEE"/>
    <w:rsid w:val="009642BC"/>
    <w:rsid w:val="009F66C6"/>
    <w:rsid w:val="00B47F05"/>
    <w:rsid w:val="00C52525"/>
    <w:rsid w:val="00C563AB"/>
    <w:rsid w:val="00D005E5"/>
    <w:rsid w:val="00D039DC"/>
    <w:rsid w:val="00D90449"/>
    <w:rsid w:val="00DC0A7A"/>
    <w:rsid w:val="00DD2A2F"/>
    <w:rsid w:val="00DD34DC"/>
    <w:rsid w:val="00E043EA"/>
    <w:rsid w:val="00E21C99"/>
    <w:rsid w:val="00E312EA"/>
    <w:rsid w:val="00E4268D"/>
    <w:rsid w:val="00EA42FA"/>
    <w:rsid w:val="00EC4DB9"/>
    <w:rsid w:val="00ED731E"/>
    <w:rsid w:val="00EE2FEF"/>
    <w:rsid w:val="00F60468"/>
    <w:rsid w:val="00F856AA"/>
    <w:rsid w:val="00FA4FFF"/>
    <w:rsid w:val="00FB527F"/>
    <w:rsid w:val="00FF3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B3D80"/>
  <w15:docId w15:val="{3AB47575-C3B2-430B-A607-66DCD8E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E4268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426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426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页眉或页脚_"/>
    <w:basedOn w:val="a0"/>
    <w:link w:val="a4"/>
    <w:rPr>
      <w:rFonts w:ascii="Times New Roman" w:eastAsia="Times New Roman" w:hAnsi="Times New Roman" w:cs="Times New Roman"/>
      <w:b/>
      <w:bCs/>
      <w:i/>
      <w:iCs/>
      <w:smallCaps w:val="0"/>
      <w:strike w:val="0"/>
      <w:u w:val="none"/>
      <w:shd w:val="clear" w:color="auto" w:fill="auto"/>
    </w:rPr>
  </w:style>
  <w:style w:type="character" w:customStyle="1" w:styleId="a5">
    <w:name w:val="其他_"/>
    <w:basedOn w:val="a0"/>
    <w:link w:val="a6"/>
    <w:rPr>
      <w:rFonts w:ascii="Times New Roman" w:eastAsia="Times New Roman" w:hAnsi="Times New Roman" w:cs="Times New Roman"/>
      <w:b w:val="0"/>
      <w:bCs w:val="0"/>
      <w:i w:val="0"/>
      <w:iCs w:val="0"/>
      <w:smallCaps w:val="0"/>
      <w:strike w:val="0"/>
      <w:u w:val="none"/>
      <w:shd w:val="clear" w:color="auto" w:fill="auto"/>
    </w:rPr>
  </w:style>
  <w:style w:type="character" w:customStyle="1" w:styleId="a7">
    <w:name w:val="目录_"/>
    <w:basedOn w:val="a0"/>
    <w:link w:val="a8"/>
    <w:rPr>
      <w:rFonts w:ascii="Times New Roman" w:eastAsia="Times New Roman" w:hAnsi="Times New Roman" w:cs="Times New Roman"/>
      <w:b w:val="0"/>
      <w:bCs w:val="0"/>
      <w:i w:val="0"/>
      <w:iCs w:val="0"/>
      <w:smallCaps w:val="0"/>
      <w:strike w:val="0"/>
      <w:u w:val="none"/>
      <w:shd w:val="clear" w:color="auto" w:fill="auto"/>
    </w:rPr>
  </w:style>
  <w:style w:type="character" w:customStyle="1" w:styleId="a9">
    <w:name w:val="脚注_"/>
    <w:basedOn w:val="a0"/>
    <w:link w:val="aa"/>
    <w:rPr>
      <w:rFonts w:ascii="Times New Roman" w:eastAsia="Times New Roman" w:hAnsi="Times New Roman" w:cs="Times New Roman"/>
      <w:b w:val="0"/>
      <w:bCs w:val="0"/>
      <w:i w:val="0"/>
      <w:iCs w:val="0"/>
      <w:smallCaps w:val="0"/>
      <w:strike w:val="0"/>
      <w:color w:val="0000FF"/>
      <w:sz w:val="20"/>
      <w:szCs w:val="20"/>
      <w:u w:val="single"/>
      <w:shd w:val="clear" w:color="auto" w:fill="auto"/>
    </w:rPr>
  </w:style>
  <w:style w:type="character" w:customStyle="1" w:styleId="11">
    <w:name w:val="标题 #1_"/>
    <w:basedOn w:val="a0"/>
    <w:link w:val="1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标题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22">
    <w:name w:val="页眉或页脚 (2)"/>
    <w:basedOn w:val="a"/>
    <w:link w:val="21"/>
    <w:rPr>
      <w:rFonts w:ascii="Times New Roman" w:eastAsia="Times New Roman" w:hAnsi="Times New Roman" w:cs="Times New Roman"/>
      <w:sz w:val="20"/>
      <w:szCs w:val="20"/>
    </w:rPr>
  </w:style>
  <w:style w:type="paragraph" w:customStyle="1" w:styleId="a4">
    <w:name w:val="页眉或页脚"/>
    <w:basedOn w:val="a"/>
    <w:link w:val="a3"/>
    <w:pPr>
      <w:jc w:val="right"/>
    </w:pPr>
    <w:rPr>
      <w:rFonts w:ascii="Times New Roman" w:eastAsia="Times New Roman" w:hAnsi="Times New Roman" w:cs="Times New Roman"/>
      <w:b/>
      <w:bCs/>
      <w:i/>
      <w:iCs/>
    </w:rPr>
  </w:style>
  <w:style w:type="paragraph" w:customStyle="1" w:styleId="a6">
    <w:name w:val="其他"/>
    <w:basedOn w:val="a"/>
    <w:link w:val="a5"/>
    <w:pPr>
      <w:spacing w:after="220"/>
    </w:pPr>
    <w:rPr>
      <w:rFonts w:ascii="Times New Roman" w:eastAsia="Times New Roman" w:hAnsi="Times New Roman" w:cs="Times New Roman"/>
    </w:rPr>
  </w:style>
  <w:style w:type="paragraph" w:customStyle="1" w:styleId="a8">
    <w:name w:val="目录"/>
    <w:basedOn w:val="a"/>
    <w:link w:val="a7"/>
    <w:pPr>
      <w:spacing w:after="60"/>
      <w:ind w:firstLine="130"/>
    </w:pPr>
    <w:rPr>
      <w:rFonts w:ascii="Times New Roman" w:eastAsia="Times New Roman" w:hAnsi="Times New Roman" w:cs="Times New Roman"/>
    </w:rPr>
  </w:style>
  <w:style w:type="paragraph" w:customStyle="1" w:styleId="aa">
    <w:name w:val="脚注"/>
    <w:basedOn w:val="a"/>
    <w:link w:val="a9"/>
    <w:rPr>
      <w:rFonts w:ascii="Times New Roman" w:eastAsia="Times New Roman" w:hAnsi="Times New Roman" w:cs="Times New Roman"/>
      <w:color w:val="0000FF"/>
      <w:sz w:val="20"/>
      <w:szCs w:val="20"/>
      <w:u w:val="single"/>
    </w:rPr>
  </w:style>
  <w:style w:type="paragraph" w:customStyle="1" w:styleId="12">
    <w:name w:val="标题 #1"/>
    <w:basedOn w:val="a"/>
    <w:link w:val="11"/>
    <w:pPr>
      <w:spacing w:after="80"/>
      <w:outlineLvl w:val="0"/>
    </w:pPr>
    <w:rPr>
      <w:rFonts w:ascii="Times New Roman" w:eastAsia="Times New Roman" w:hAnsi="Times New Roman" w:cs="Times New Roman"/>
      <w:b/>
      <w:bCs/>
      <w:sz w:val="36"/>
      <w:szCs w:val="36"/>
    </w:rPr>
  </w:style>
  <w:style w:type="paragraph" w:customStyle="1" w:styleId="24">
    <w:name w:val="标题 #2"/>
    <w:basedOn w:val="a"/>
    <w:link w:val="23"/>
    <w:pPr>
      <w:ind w:firstLine="720"/>
      <w:outlineLvl w:val="1"/>
    </w:pPr>
    <w:rPr>
      <w:rFonts w:ascii="Times New Roman" w:eastAsia="Times New Roman" w:hAnsi="Times New Roman" w:cs="Times New Roman"/>
      <w:b/>
      <w:bCs/>
      <w:sz w:val="32"/>
      <w:szCs w:val="32"/>
    </w:rPr>
  </w:style>
  <w:style w:type="paragraph" w:styleId="ab">
    <w:name w:val="header"/>
    <w:basedOn w:val="a"/>
    <w:link w:val="ac"/>
    <w:uiPriority w:val="99"/>
    <w:unhideWhenUsed/>
    <w:rsid w:val="0052255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2255A"/>
    <w:rPr>
      <w:color w:val="000000"/>
      <w:sz w:val="18"/>
      <w:szCs w:val="18"/>
    </w:rPr>
  </w:style>
  <w:style w:type="paragraph" w:styleId="ad">
    <w:name w:val="footer"/>
    <w:basedOn w:val="a"/>
    <w:link w:val="ae"/>
    <w:uiPriority w:val="99"/>
    <w:unhideWhenUsed/>
    <w:rsid w:val="0052255A"/>
    <w:pPr>
      <w:tabs>
        <w:tab w:val="center" w:pos="4153"/>
        <w:tab w:val="right" w:pos="8306"/>
      </w:tabs>
      <w:snapToGrid w:val="0"/>
    </w:pPr>
    <w:rPr>
      <w:sz w:val="18"/>
      <w:szCs w:val="18"/>
    </w:rPr>
  </w:style>
  <w:style w:type="character" w:customStyle="1" w:styleId="ae">
    <w:name w:val="页脚 字符"/>
    <w:basedOn w:val="a0"/>
    <w:link w:val="ad"/>
    <w:uiPriority w:val="99"/>
    <w:rsid w:val="0052255A"/>
    <w:rPr>
      <w:color w:val="000000"/>
      <w:sz w:val="18"/>
      <w:szCs w:val="18"/>
    </w:rPr>
  </w:style>
  <w:style w:type="table" w:styleId="af">
    <w:name w:val="Table Grid"/>
    <w:basedOn w:val="a1"/>
    <w:uiPriority w:val="59"/>
    <w:rsid w:val="0052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2255A"/>
    <w:rPr>
      <w:sz w:val="18"/>
      <w:szCs w:val="18"/>
    </w:rPr>
  </w:style>
  <w:style w:type="character" w:customStyle="1" w:styleId="af1">
    <w:name w:val="批注框文本 字符"/>
    <w:basedOn w:val="a0"/>
    <w:link w:val="af0"/>
    <w:uiPriority w:val="99"/>
    <w:semiHidden/>
    <w:rsid w:val="0052255A"/>
    <w:rPr>
      <w:color w:val="000000"/>
      <w:sz w:val="18"/>
      <w:szCs w:val="18"/>
    </w:rPr>
  </w:style>
  <w:style w:type="paragraph" w:customStyle="1" w:styleId="13">
    <w:name w:val="样式1"/>
    <w:basedOn w:val="12"/>
    <w:link w:val="1Char"/>
    <w:qFormat/>
    <w:rsid w:val="0052255A"/>
    <w:pPr>
      <w:tabs>
        <w:tab w:val="left" w:pos="567"/>
      </w:tabs>
      <w:adjustRightInd w:val="0"/>
      <w:snapToGrid w:val="0"/>
      <w:spacing w:beforeLines="50" w:before="120" w:after="0" w:line="300" w:lineRule="auto"/>
      <w:jc w:val="both"/>
    </w:pPr>
    <w:rPr>
      <w:snapToGrid w:val="0"/>
      <w:sz w:val="32"/>
      <w:szCs w:val="32"/>
    </w:rPr>
  </w:style>
  <w:style w:type="character" w:styleId="af2">
    <w:name w:val="Hyperlink"/>
    <w:basedOn w:val="a0"/>
    <w:uiPriority w:val="99"/>
    <w:unhideWhenUsed/>
    <w:rsid w:val="0052255A"/>
    <w:rPr>
      <w:color w:val="0000FF" w:themeColor="hyperlink"/>
      <w:u w:val="single"/>
    </w:rPr>
  </w:style>
  <w:style w:type="character" w:customStyle="1" w:styleId="1Char">
    <w:name w:val="样式1 Char"/>
    <w:basedOn w:val="11"/>
    <w:link w:val="13"/>
    <w:rsid w:val="0052255A"/>
    <w:rPr>
      <w:rFonts w:ascii="Times New Roman" w:eastAsia="Times New Roman" w:hAnsi="Times New Roman" w:cs="Times New Roman"/>
      <w:b/>
      <w:bCs/>
      <w:i w:val="0"/>
      <w:iCs w:val="0"/>
      <w:smallCaps w:val="0"/>
      <w:strike w:val="0"/>
      <w:snapToGrid w:val="0"/>
      <w:color w:val="000000"/>
      <w:sz w:val="32"/>
      <w:szCs w:val="32"/>
      <w:u w:val="none"/>
      <w:shd w:val="clear" w:color="auto" w:fill="auto"/>
    </w:rPr>
  </w:style>
  <w:style w:type="paragraph" w:customStyle="1" w:styleId="25">
    <w:name w:val="样式2"/>
    <w:basedOn w:val="a"/>
    <w:link w:val="2Char"/>
    <w:qFormat/>
    <w:rsid w:val="00577D04"/>
    <w:pPr>
      <w:tabs>
        <w:tab w:val="left" w:pos="993"/>
      </w:tabs>
      <w:adjustRightInd w:val="0"/>
      <w:snapToGrid w:val="0"/>
      <w:spacing w:beforeLines="50" w:before="120" w:line="300" w:lineRule="auto"/>
      <w:ind w:leftChars="236" w:left="566"/>
      <w:jc w:val="both"/>
    </w:pPr>
    <w:rPr>
      <w:rFonts w:ascii="Times New Roman" w:eastAsia="Times New Roman" w:hAnsi="Times New Roman" w:cs="Times New Roman"/>
      <w:b/>
      <w:bCs/>
      <w:snapToGrid w:val="0"/>
      <w:sz w:val="28"/>
      <w:szCs w:val="28"/>
    </w:rPr>
  </w:style>
  <w:style w:type="character" w:customStyle="1" w:styleId="2Char">
    <w:name w:val="样式2 Char"/>
    <w:basedOn w:val="a0"/>
    <w:link w:val="25"/>
    <w:rsid w:val="00577D04"/>
    <w:rPr>
      <w:rFonts w:ascii="Times New Roman" w:eastAsia="Times New Roman" w:hAnsi="Times New Roman" w:cs="Times New Roman"/>
      <w:b/>
      <w:bCs/>
      <w:i w:val="0"/>
      <w:iCs w:val="0"/>
      <w:smallCaps w:val="0"/>
      <w:strike w:val="0"/>
      <w:snapToGrid w:val="0"/>
      <w:color w:val="000000"/>
      <w:sz w:val="28"/>
      <w:szCs w:val="28"/>
      <w:u w:val="none"/>
      <w:shd w:val="clear" w:color="auto" w:fill="auto"/>
    </w:rPr>
  </w:style>
  <w:style w:type="paragraph" w:customStyle="1" w:styleId="31">
    <w:name w:val="样式3"/>
    <w:basedOn w:val="a"/>
    <w:link w:val="3Char"/>
    <w:qFormat/>
    <w:rsid w:val="00577D04"/>
    <w:pPr>
      <w:adjustRightInd w:val="0"/>
      <w:snapToGrid w:val="0"/>
      <w:spacing w:beforeLines="50" w:before="120" w:line="300" w:lineRule="auto"/>
      <w:ind w:leftChars="531" w:left="1274"/>
      <w:jc w:val="both"/>
    </w:pPr>
    <w:rPr>
      <w:rFonts w:ascii="Times New Roman" w:eastAsia="Times New Roman" w:hAnsi="Times New Roman" w:cs="Times New Roman"/>
      <w:b/>
      <w:bCs/>
      <w:snapToGrid w:val="0"/>
    </w:rPr>
  </w:style>
  <w:style w:type="character" w:customStyle="1" w:styleId="10">
    <w:name w:val="标题 1 字符"/>
    <w:basedOn w:val="a0"/>
    <w:link w:val="1"/>
    <w:uiPriority w:val="9"/>
    <w:rsid w:val="00E4268D"/>
    <w:rPr>
      <w:b/>
      <w:bCs/>
      <w:color w:val="000000"/>
      <w:kern w:val="44"/>
      <w:sz w:val="44"/>
      <w:szCs w:val="44"/>
    </w:rPr>
  </w:style>
  <w:style w:type="character" w:customStyle="1" w:styleId="3Char">
    <w:name w:val="样式3 Char"/>
    <w:basedOn w:val="a0"/>
    <w:link w:val="31"/>
    <w:rsid w:val="00577D04"/>
    <w:rPr>
      <w:rFonts w:ascii="Times New Roman" w:eastAsia="Times New Roman" w:hAnsi="Times New Roman" w:cs="Times New Roman"/>
      <w:b/>
      <w:bCs/>
      <w:i w:val="0"/>
      <w:iCs w:val="0"/>
      <w:smallCaps w:val="0"/>
      <w:strike w:val="0"/>
      <w:snapToGrid w:val="0"/>
      <w:color w:val="000000"/>
      <w:u w:val="none"/>
      <w:shd w:val="clear" w:color="auto" w:fill="auto"/>
    </w:rPr>
  </w:style>
  <w:style w:type="character" w:customStyle="1" w:styleId="20">
    <w:name w:val="标题 2 字符"/>
    <w:basedOn w:val="a0"/>
    <w:link w:val="2"/>
    <w:uiPriority w:val="9"/>
    <w:semiHidden/>
    <w:rsid w:val="00E4268D"/>
    <w:rPr>
      <w:rFonts w:asciiTheme="majorHAnsi" w:eastAsiaTheme="majorEastAsia" w:hAnsiTheme="majorHAnsi" w:cstheme="majorBidi"/>
      <w:b/>
      <w:bCs/>
      <w:color w:val="000000"/>
      <w:sz w:val="32"/>
      <w:szCs w:val="32"/>
    </w:rPr>
  </w:style>
  <w:style w:type="character" w:customStyle="1" w:styleId="30">
    <w:name w:val="标题 3 字符"/>
    <w:basedOn w:val="a0"/>
    <w:link w:val="3"/>
    <w:uiPriority w:val="9"/>
    <w:semiHidden/>
    <w:rsid w:val="00E4268D"/>
    <w:rPr>
      <w:b/>
      <w:bCs/>
      <w:color w:val="000000"/>
      <w:sz w:val="32"/>
      <w:szCs w:val="32"/>
    </w:rPr>
  </w:style>
  <w:style w:type="paragraph" w:customStyle="1" w:styleId="4">
    <w:name w:val="样式4"/>
    <w:basedOn w:val="31"/>
    <w:link w:val="4Char"/>
    <w:qFormat/>
    <w:rsid w:val="00E4268D"/>
    <w:pPr>
      <w:ind w:leftChars="827" w:left="1985"/>
    </w:pPr>
  </w:style>
  <w:style w:type="paragraph" w:styleId="TOC1">
    <w:name w:val="toc 1"/>
    <w:basedOn w:val="a"/>
    <w:next w:val="a"/>
    <w:autoRedefine/>
    <w:uiPriority w:val="39"/>
    <w:unhideWhenUsed/>
    <w:rsid w:val="00E4268D"/>
  </w:style>
  <w:style w:type="character" w:customStyle="1" w:styleId="4Char">
    <w:name w:val="样式4 Char"/>
    <w:basedOn w:val="3Char"/>
    <w:link w:val="4"/>
    <w:rsid w:val="00E4268D"/>
    <w:rPr>
      <w:rFonts w:ascii="Times New Roman" w:eastAsia="Times New Roman" w:hAnsi="Times New Roman" w:cs="Times New Roman"/>
      <w:b/>
      <w:bCs/>
      <w:i w:val="0"/>
      <w:iCs w:val="0"/>
      <w:smallCaps w:val="0"/>
      <w:strike w:val="0"/>
      <w:snapToGrid w:val="0"/>
      <w:color w:val="000000"/>
      <w:u w:val="none"/>
      <w:shd w:val="clear" w:color="auto" w:fill="auto"/>
    </w:rPr>
  </w:style>
  <w:style w:type="paragraph" w:styleId="TOC2">
    <w:name w:val="toc 2"/>
    <w:basedOn w:val="a"/>
    <w:next w:val="a"/>
    <w:autoRedefine/>
    <w:uiPriority w:val="39"/>
    <w:unhideWhenUsed/>
    <w:rsid w:val="00E4268D"/>
    <w:pPr>
      <w:tabs>
        <w:tab w:val="left" w:pos="851"/>
        <w:tab w:val="right" w:leader="dot" w:pos="9061"/>
      </w:tabs>
      <w:adjustRightInd w:val="0"/>
      <w:snapToGrid w:val="0"/>
      <w:spacing w:beforeLines="50" w:before="120" w:line="300" w:lineRule="auto"/>
      <w:ind w:leftChars="200" w:left="480"/>
    </w:pPr>
  </w:style>
  <w:style w:type="paragraph" w:styleId="TOC3">
    <w:name w:val="toc 3"/>
    <w:basedOn w:val="a"/>
    <w:next w:val="a"/>
    <w:autoRedefine/>
    <w:uiPriority w:val="39"/>
    <w:unhideWhenUsed/>
    <w:rsid w:val="00E4268D"/>
    <w:pPr>
      <w:ind w:leftChars="400" w:left="840"/>
    </w:pPr>
  </w:style>
  <w:style w:type="paragraph" w:styleId="af3">
    <w:name w:val="List Paragraph"/>
    <w:basedOn w:val="a"/>
    <w:uiPriority w:val="34"/>
    <w:qFormat/>
    <w:rsid w:val="00E043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data.fda.gov/scripts/cdrh/cfdocs/cfStandards/search.cfm" TargetMode="External"/><Relationship Id="rId18" Type="http://schemas.openxmlformats.org/officeDocument/2006/relationships/hyperlink" Target="https://www.fda.gov/regulatory-information/search-fda-guidance-documents/deciding-when-submit-510k-software-change-existing-device" TargetMode="External"/><Relationship Id="rId26" Type="http://schemas.openxmlformats.org/officeDocument/2006/relationships/hyperlink" Target="https://www.fda.gov/regulatory-information/search-fda-guidance-documents/cybersecurity-networked-medical-devices-containing-shelf-ots-software" TargetMode="External"/><Relationship Id="rId3" Type="http://schemas.openxmlformats.org/officeDocument/2006/relationships/styles" Target="styles.xml"/><Relationship Id="rId21" Type="http://schemas.openxmlformats.org/officeDocument/2006/relationships/hyperlink" Target="https://www.fda.gov/regulatory-information/search-fda-guidance-documents/cybersecurity-networked-medical-devices-containing-shelf-ots-softwar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da.gov/regulatory-information/search-fda-guidance-documents/peripheral-vascular-atherectomy-devices-premarket-notification-510k-submissions" TargetMode="External"/><Relationship Id="rId17" Type="http://schemas.openxmlformats.org/officeDocument/2006/relationships/hyperlink" Target="https://www.fda.gov/regulatory-information/search-fda-guidance-documents/guidance-content-premarket-submissions-software-contained-medical-devices" TargetMode="External"/><Relationship Id="rId25" Type="http://schemas.openxmlformats.org/officeDocument/2006/relationships/hyperlink" Target="https://www.fda.gov/regulatorv-information/search-fda-guidance-documents/cvbersecurity-networked-medical-" TargetMode="External"/><Relationship Id="rId33" Type="http://schemas.openxmlformats.org/officeDocument/2006/relationships/hyperlink" Target="https://www.fda.gov/regulatory-information/search-fda-guidance-documents/submission-and-review-sterility-information-premarket-notification-510k-submissions-devices-labeled" TargetMode="External"/><Relationship Id="rId2" Type="http://schemas.openxmlformats.org/officeDocument/2006/relationships/numbering" Target="numbering.xml"/><Relationship Id="rId16" Type="http://schemas.openxmlformats.org/officeDocument/2006/relationships/hyperlink" Target="https://www.fda.gov/regulatory-information/search-fda-guidance-documents/guidance-content-premarket-submissions-software-contained-medical-devices" TargetMode="External"/><Relationship Id="rId20" Type="http://schemas.openxmlformats.org/officeDocument/2006/relationships/hyperlink" Target="https://www.fda.gov/regulatory-information/search-fda-guidance-documents/shelf-software-use-medical-devices" TargetMode="External"/><Relationship Id="rId29" Type="http://schemas.openxmlformats.org/officeDocument/2006/relationships/hyperlink" Target="https://www.fda.gov/regulatorv-information/search-fda-guidance-documents/guidance-industrv-pvrogen-%20and-endotoxins-testing-questions-and-answ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regulatory-information/search-fda-guidance-documents/peripheral-vascular-atherectomy-" TargetMode="External"/><Relationship Id="rId24" Type="http://schemas.openxmlformats.org/officeDocument/2006/relationships/hyperlink" Target="https://www.fda.gov/regulatorv-information/search-fda-guidance-documents/shelf-software-use-medical-%20devices" TargetMode="External"/><Relationship Id="rId32" Type="http://schemas.openxmlformats.org/officeDocument/2006/relationships/hyperlink" Target="https://www.fda.gov/regulatorv-information/search-fda-guidance-documents/submission-and-review-sterility-" TargetMode="External"/><Relationship Id="rId5" Type="http://schemas.openxmlformats.org/officeDocument/2006/relationships/webSettings" Target="webSettings.xml"/><Relationship Id="rId15" Type="http://schemas.openxmlformats.org/officeDocument/2006/relationships/hyperlink" Target="https://www.fda.gov/regulatory-information/search-fda-guidance-documents/appropriate-use-voluntary-consensus-standards-premarket-submissions-medical-devices" TargetMode="External"/><Relationship Id="rId23" Type="http://schemas.openxmlformats.org/officeDocument/2006/relationships/hyperlink" Target="https://www.fda.gov/regulatory-information/search-fda-guidance-documents/content-premarket-submissions-management-cybersecurity-medical-devices-0" TargetMode="External"/><Relationship Id="rId28" Type="http://schemas.openxmlformats.org/officeDocument/2006/relationships/hyperlink" Target="https://www.fda.gov/regulatory-information/search-fda-guidance-documents/design-considerations-and-pre-market-submission-recommendations-interoperable-medical-device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fda.gov/regulatory-information/search-fda-guidance-documents/deciding-when-submit-510k-software-change-existing-device" TargetMode="External"/><Relationship Id="rId31" Type="http://schemas.openxmlformats.org/officeDocument/2006/relationships/hyperlink" Target="https://www.fda.gov/regulatory-information/search-fda-guidance-documents/use-international-standard-iso-10993-1-biological-evaluation-medical-devices-part-1-evaluation-an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da.gov/regulatorv-information/search-fda-guidance-documents/appropriate-use-voluntarv-consensus-" TargetMode="External"/><Relationship Id="rId22" Type="http://schemas.openxmlformats.org/officeDocument/2006/relationships/hyperlink" Target="https://www.fda.gov/regulatory-information/search-fda-guidance-documents/content-premarket-submissions-" TargetMode="External"/><Relationship Id="rId27" Type="http://schemas.openxmlformats.org/officeDocument/2006/relationships/hyperlink" Target="https://www.fda.gov/regulatorv-information/search-fda-guidance-documents/design-considerations-and-pre-" TargetMode="External"/><Relationship Id="rId30" Type="http://schemas.openxmlformats.org/officeDocument/2006/relationships/hyperlink" Target="https://www.fda.gov/regulatory-information/search-fda-guidance-documents/use-international-standard-iso-" TargetMode="External"/><Relationship Id="rId35" Type="http://schemas.openxmlformats.org/officeDocument/2006/relationships/fontTable" Target="fontTable.xml"/><Relationship Id="rId8" Type="http://schemas.openxmlformats.org/officeDocument/2006/relationships/hyperlink" Target="https://www.regulation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3D0D-5463-4747-9375-8F680F01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Updates for Peripheral Vascular Atherectomy Devices - Premarket Notification [510(k)] Submissions - Draft Guidance for Industry and Food and Drug Administration Staff</dc:title>
  <dc:subject/>
  <dc:creator>CDRH</dc:creator>
  <cp:keywords/>
  <dc:description/>
  <cp:lastModifiedBy>文 霏</cp:lastModifiedBy>
  <cp:revision>20</cp:revision>
  <dcterms:created xsi:type="dcterms:W3CDTF">2021-11-11T09:16:00Z</dcterms:created>
  <dcterms:modified xsi:type="dcterms:W3CDTF">2022-10-10T02:14:00Z</dcterms:modified>
</cp:coreProperties>
</file>