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2" w:space="1"/>
        </w:pBdr>
        <w:snapToGrid w:val="0"/>
        <w:spacing w:after="312" w:afterLines="100"/>
        <w:jc w:val="center"/>
        <w:rPr>
          <w:rFonts w:ascii="Times New Roman" w:hAnsi="Times New Roman" w:eastAsia="宋体" w:cs="Times New Roman"/>
          <w:b/>
          <w:bCs/>
          <w:sz w:val="52"/>
          <w:szCs w:val="52"/>
        </w:rPr>
      </w:pPr>
      <w:bookmarkStart w:id="0" w:name="OLE_LINK1"/>
      <w:bookmarkStart w:id="1" w:name="OLE_LINK2"/>
      <w:bookmarkStart w:id="13" w:name="_GoBack"/>
      <w:r>
        <w:rPr>
          <w:rFonts w:ascii="Times New Roman" w:hAnsi="Times New Roman" w:eastAsia="宋体" w:cs="Times New Roman"/>
          <w:b/>
          <w:bCs/>
          <w:sz w:val="52"/>
          <w:szCs w:val="52"/>
        </w:rPr>
        <w:t>临床实验室改进修正案分类的</w:t>
      </w:r>
      <w:r>
        <w:rPr>
          <w:rFonts w:hint="eastAsia" w:ascii="Times New Roman" w:hAnsi="Times New Roman" w:eastAsia="宋体" w:cs="Times New Roman"/>
          <w:b/>
          <w:bCs/>
          <w:sz w:val="52"/>
          <w:szCs w:val="52"/>
        </w:rPr>
        <w:br w:type="textWrapping"/>
      </w:r>
      <w:r>
        <w:rPr>
          <w:rFonts w:ascii="Times New Roman" w:hAnsi="Times New Roman" w:eastAsia="宋体" w:cs="Times New Roman"/>
          <w:b/>
          <w:bCs/>
          <w:sz w:val="52"/>
          <w:szCs w:val="52"/>
        </w:rPr>
        <w:t>管理程序</w:t>
      </w:r>
      <w:bookmarkEnd w:id="13"/>
    </w:p>
    <w:p>
      <w:pPr>
        <w:pBdr>
          <w:bottom w:val="single" w:color="auto" w:sz="2" w:space="1"/>
        </w:pBdr>
        <w:snapToGrid w:val="0"/>
        <w:spacing w:after="312" w:afterLines="100"/>
        <w:jc w:val="center"/>
        <w:rPr>
          <w:rFonts w:ascii="Times New Roman" w:hAnsi="Times New Roman" w:eastAsia="宋体" w:cs="Times New Roman"/>
          <w:b/>
          <w:sz w:val="2"/>
          <w:szCs w:val="2"/>
        </w:rPr>
      </w:pPr>
    </w:p>
    <w:bookmarkEnd w:id="0"/>
    <w:bookmarkEnd w:id="1"/>
    <w:p>
      <w:pPr>
        <w:snapToGrid w:val="0"/>
        <w:spacing w:after="312" w:afterLines="100"/>
        <w:jc w:val="center"/>
        <w:rPr>
          <w:rFonts w:ascii="Times New Roman" w:hAnsi="Times New Roman" w:eastAsia="宋体" w:cs="Times New Roman"/>
          <w:b/>
          <w:sz w:val="52"/>
          <w:szCs w:val="52"/>
        </w:rPr>
      </w:pPr>
      <w:r>
        <w:rPr>
          <w:rFonts w:ascii="Times New Roman" w:hAnsi="Times New Roman" w:eastAsia="宋体" w:cs="Times New Roman"/>
          <w:b/>
          <w:bCs/>
          <w:sz w:val="52"/>
          <w:szCs w:val="52"/>
        </w:rPr>
        <w:t>行业和美国食品药品监督管理局</w:t>
      </w:r>
      <w:r>
        <w:rPr>
          <w:rFonts w:hint="eastAsia" w:ascii="Times New Roman" w:hAnsi="Times New Roman" w:eastAsia="宋体" w:cs="Times New Roman"/>
          <w:b/>
          <w:bCs/>
          <w:sz w:val="52"/>
          <w:szCs w:val="52"/>
        </w:rPr>
        <w:br w:type="textWrapping"/>
      </w:r>
      <w:r>
        <w:rPr>
          <w:rFonts w:ascii="Times New Roman" w:hAnsi="Times New Roman" w:eastAsia="宋体" w:cs="Times New Roman"/>
          <w:b/>
          <w:bCs/>
          <w:sz w:val="52"/>
          <w:szCs w:val="52"/>
        </w:rPr>
        <w:t>工作人员指南</w:t>
      </w:r>
    </w:p>
    <w:p>
      <w:pPr>
        <w:snapToGrid w:val="0"/>
        <w:spacing w:after="312" w:afterLines="100"/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文件发布日期：2017年10月2日</w:t>
      </w:r>
    </w:p>
    <w:p>
      <w:pPr>
        <w:snapToGrid w:val="0"/>
        <w:spacing w:after="312" w:afterLines="100"/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本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文件取代2014年3月12日发布的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br w:type="textWrapping"/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《临床实验室改进修正案分类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的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管理程序》指南。</w:t>
      </w:r>
    </w:p>
    <w:tbl>
      <w:tblPr>
        <w:tblStyle w:val="11"/>
        <w:tblW w:w="473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9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snapToGrid w:val="0"/>
              <w:ind w:left="105" w:leftChars="50" w:right="105" w:rightChars="50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除非显示当前有效的OMB控制编号，否则监管机构不得进行或发起信息收集，</w:t>
            </w:r>
            <w:r>
              <w:rPr>
                <w:rFonts w:hint="eastAsia" w:ascii="Times New Roman" w:hAnsi="Times New Roman" w:eastAsia="宋体" w:cs="Times New Roman"/>
                <w:szCs w:val="15"/>
              </w:rPr>
              <w:t>也不得要求个人针对信息收集给出回应</w:t>
            </w:r>
            <w:r>
              <w:rPr>
                <w:rFonts w:ascii="Times New Roman" w:hAnsi="Times New Roman" w:eastAsia="宋体" w:cs="Times New Roman"/>
                <w:szCs w:val="15"/>
              </w:rPr>
              <w:t>。本次信息收集的OMB控制编号为0910-0607（</w:t>
            </w:r>
            <w:r>
              <w:rPr>
                <w:rFonts w:hint="eastAsia" w:ascii="Times New Roman" w:hAnsi="Times New Roman" w:eastAsia="宋体" w:cs="Times New Roman"/>
                <w:szCs w:val="15"/>
              </w:rPr>
              <w:t>失效日期：</w:t>
            </w:r>
            <w:r>
              <w:rPr>
                <w:rFonts w:ascii="Times New Roman" w:hAnsi="Times New Roman" w:eastAsia="宋体" w:cs="Times New Roman"/>
                <w:szCs w:val="15"/>
              </w:rPr>
              <w:t>2019年12月31日）。</w:t>
            </w:r>
          </w:p>
          <w:p>
            <w:pPr>
              <w:snapToGrid w:val="0"/>
              <w:ind w:left="105" w:leftChars="50" w:right="105" w:rightChars="50"/>
              <w:rPr>
                <w:rFonts w:ascii="Times New Roman" w:hAnsi="Times New Roman" w:eastAsia="宋体" w:cs="Times New Roman"/>
                <w:szCs w:val="15"/>
              </w:rPr>
            </w:pPr>
          </w:p>
        </w:tc>
      </w:tr>
    </w:tbl>
    <w:p>
      <w:pPr>
        <w:snapToGrid w:val="0"/>
        <w:spacing w:before="312" w:beforeLines="100"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参见本</w:t>
      </w:r>
      <w:r>
        <w:rPr>
          <w:rFonts w:ascii="Times New Roman" w:hAnsi="Times New Roman" w:eastAsia="宋体" w:cs="Times New Roman"/>
          <w:sz w:val="24"/>
          <w:szCs w:val="24"/>
        </w:rPr>
        <w:t>指南第IV节中的</w:t>
      </w:r>
      <w:r>
        <w:rPr>
          <w:rFonts w:hint="eastAsia" w:ascii="Times New Roman" w:hAnsi="Times New Roman" w:eastAsia="宋体" w:cs="Times New Roman"/>
          <w:sz w:val="24"/>
          <w:szCs w:val="24"/>
        </w:rPr>
        <w:t>其他</w:t>
      </w:r>
      <w:r>
        <w:rPr>
          <w:rFonts w:ascii="Times New Roman" w:hAnsi="Times New Roman" w:eastAsia="宋体" w:cs="Times New Roman"/>
          <w:sz w:val="24"/>
          <w:szCs w:val="24"/>
        </w:rPr>
        <w:t>PRA声明。</w:t>
      </w:r>
    </w:p>
    <w:p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如对</w:t>
      </w:r>
      <w:r>
        <w:rPr>
          <w:rFonts w:ascii="Times New Roman" w:hAnsi="Times New Roman" w:eastAsia="宋体" w:cs="Times New Roman"/>
          <w:sz w:val="24"/>
          <w:szCs w:val="24"/>
        </w:rPr>
        <w:t>本文件</w:t>
      </w:r>
      <w:r>
        <w:rPr>
          <w:rFonts w:hint="eastAsia" w:ascii="Times New Roman" w:hAnsi="Times New Roman" w:eastAsia="宋体" w:cs="Times New Roman"/>
          <w:sz w:val="24"/>
          <w:szCs w:val="24"/>
        </w:rPr>
        <w:t>有任何</w:t>
      </w:r>
      <w:r>
        <w:rPr>
          <w:rFonts w:ascii="Times New Roman" w:hAnsi="Times New Roman" w:eastAsia="宋体" w:cs="Times New Roman"/>
          <w:sz w:val="24"/>
          <w:szCs w:val="24"/>
        </w:rPr>
        <w:t>疑问，请致电240-402-6169联系Peter Tobin或发送电子邮件至</w:t>
      </w:r>
      <w:r>
        <w:fldChar w:fldCharType="begin"/>
      </w:r>
      <w:r>
        <w:instrText xml:space="preserve"> HYPERLINK "邮箱：peter.tobin@fda.hhs.gov" </w:instrText>
      </w:r>
      <w:r>
        <w:fldChar w:fldCharType="separate"/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t>peter.tobin@fda.hhs.gov</w:t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t>，或致电301-796-5711联系</w:t>
      </w:r>
      <w:r>
        <w:rPr>
          <w:rFonts w:hint="eastAsia" w:ascii="Times New Roman" w:hAnsi="Times New Roman" w:eastAsia="宋体" w:cs="Times New Roman"/>
          <w:sz w:val="24"/>
          <w:szCs w:val="24"/>
        </w:rPr>
        <w:t>体外诊断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与</w:t>
      </w:r>
      <w:r>
        <w:rPr>
          <w:rFonts w:hint="eastAsia" w:ascii="Times New Roman" w:hAnsi="Times New Roman" w:eastAsia="宋体" w:cs="Times New Roman"/>
          <w:sz w:val="24"/>
          <w:szCs w:val="24"/>
        </w:rPr>
        <w:t>放射健康办公室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>
      <w:pPr>
        <w:snapToGrid w:val="0"/>
        <w:spacing w:after="312" w:afterLines="1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after="312" w:afterLines="1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after="312" w:afterLines="1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after="312" w:afterLines="100"/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3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576"/>
        <w:gridCol w:w="5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853" w:type="pct"/>
            <w:vAlign w:val="center"/>
          </w:tcPr>
          <w:p>
            <w:pPr>
              <w:snapToGrid w:val="0"/>
              <w:spacing w:after="62" w:afterLines="20"/>
              <w:jc w:val="right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drawing>
                <wp:inline distT="0" distB="0" distL="0" distR="0">
                  <wp:extent cx="2179320" cy="601980"/>
                  <wp:effectExtent l="1905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pct"/>
          </w:tcPr>
          <w:p>
            <w:pPr>
              <w:snapToGrid w:val="0"/>
              <w:spacing w:after="62" w:afterLines="20"/>
              <w:jc w:val="right"/>
              <w:rPr>
                <w:rFonts w:ascii="Times New Roman" w:hAnsi="Times New Roman" w:eastAsia="宋体" w:cs="Times New Roman"/>
                <w:b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15"/>
              </w:rPr>
              <w:t>美国卫生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15"/>
              </w:rPr>
              <w:t>与</w:t>
            </w:r>
            <w:r>
              <w:rPr>
                <w:rFonts w:ascii="Times New Roman" w:hAnsi="Times New Roman" w:eastAsia="宋体" w:cs="Times New Roman"/>
                <w:b/>
                <w:bCs/>
                <w:szCs w:val="15"/>
              </w:rPr>
              <w:t>公众服务部</w:t>
            </w:r>
          </w:p>
          <w:p>
            <w:pPr>
              <w:snapToGrid w:val="0"/>
              <w:spacing w:after="62" w:afterLines="20"/>
              <w:jc w:val="right"/>
              <w:rPr>
                <w:rFonts w:ascii="Times New Roman" w:hAnsi="Times New Roman" w:eastAsia="宋体" w:cs="Times New Roman"/>
                <w:b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15"/>
              </w:rPr>
              <w:t>美国食品药品监督管理局</w:t>
            </w:r>
          </w:p>
          <w:p>
            <w:pPr>
              <w:snapToGrid w:val="0"/>
              <w:spacing w:after="62" w:afterLines="20"/>
              <w:jc w:val="right"/>
              <w:rPr>
                <w:rFonts w:ascii="Times New Roman" w:hAnsi="Times New Roman" w:eastAsia="宋体" w:cs="Times New Roman"/>
                <w:b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15"/>
              </w:rPr>
              <w:t>医疗器械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15"/>
              </w:rPr>
              <w:t>和</w:t>
            </w:r>
            <w:r>
              <w:rPr>
                <w:rFonts w:ascii="Times New Roman" w:hAnsi="Times New Roman" w:eastAsia="宋体" w:cs="Times New Roman"/>
                <w:b/>
                <w:bCs/>
                <w:szCs w:val="15"/>
              </w:rPr>
              <w:t>放射健康中心</w:t>
            </w:r>
          </w:p>
          <w:p>
            <w:pPr>
              <w:snapToGrid w:val="0"/>
              <w:spacing w:after="62" w:afterLines="20"/>
              <w:jc w:val="right"/>
              <w:rPr>
                <w:rFonts w:ascii="Times New Roman" w:hAnsi="Times New Roman" w:eastAsia="宋体" w:cs="Times New Roman"/>
                <w:b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15"/>
              </w:rPr>
              <w:t>体外诊断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15"/>
                <w:highlight w:val="none"/>
              </w:rPr>
              <w:t>与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15"/>
              </w:rPr>
              <w:t>放射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15"/>
                <w:highlight w:val="none"/>
              </w:rPr>
              <w:t>健康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15"/>
              </w:rPr>
              <w:t>办公室</w:t>
            </w:r>
          </w:p>
        </w:tc>
      </w:tr>
    </w:tbl>
    <w:p>
      <w:pPr>
        <w:snapToGrid w:val="0"/>
        <w:spacing w:after="312" w:afterLines="100"/>
        <w:rPr>
          <w:rFonts w:ascii="Times New Roman" w:hAnsi="Times New Roman" w:eastAsia="宋体" w:cs="Times New Roman"/>
          <w:b/>
          <w:sz w:val="32"/>
          <w:szCs w:val="32"/>
        </w:rPr>
        <w:sectPr>
          <w:headerReference r:id="rId4" w:type="default"/>
          <w:pgSz w:w="11906" w:h="16838"/>
          <w:pgMar w:top="1134" w:right="1134" w:bottom="1134" w:left="1418" w:header="567" w:footer="567" w:gutter="0"/>
          <w:cols w:space="425" w:num="1"/>
          <w:docGrid w:type="lines" w:linePitch="312" w:charSpace="0"/>
        </w:sectPr>
      </w:pPr>
    </w:p>
    <w:p>
      <w:pPr>
        <w:snapToGrid w:val="0"/>
        <w:spacing w:after="312" w:afterLines="100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前言</w:t>
      </w:r>
    </w:p>
    <w:p>
      <w:pPr>
        <w:snapToGrid w:val="0"/>
        <w:spacing w:after="312" w:afterLines="100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公众意见</w:t>
      </w:r>
    </w:p>
    <w:p>
      <w:pPr>
        <w:shd w:val="clear" w:color="auto" w:fill="FFFFFF"/>
        <w:snapToGrid w:val="0"/>
        <w:rPr>
          <w:rFonts w:eastAsia="宋体"/>
          <w:color w:val="000000"/>
          <w:sz w:val="24"/>
          <w:szCs w:val="24"/>
        </w:rPr>
      </w:pPr>
      <w:bookmarkStart w:id="2" w:name="_Hlk99439541"/>
      <w:r>
        <w:rPr>
          <w:sz w:val="24"/>
          <w:szCs w:val="24"/>
        </w:rPr>
        <w:t>电子版意见和建议可随时提交至</w:t>
      </w:r>
      <w:r>
        <w:rPr>
          <w:sz w:val="20"/>
          <w:szCs w:val="20"/>
        </w:rPr>
        <w:fldChar w:fldCharType="begin"/>
      </w:r>
      <w:r>
        <w:instrText xml:space="preserve"> HYPERLINK "http://www.regulations.gov/" </w:instrText>
      </w:r>
      <w:r>
        <w:rPr>
          <w:sz w:val="20"/>
          <w:szCs w:val="20"/>
        </w:rPr>
        <w:fldChar w:fldCharType="separate"/>
      </w:r>
      <w:r>
        <w:rPr>
          <w:rStyle w:val="13"/>
          <w:sz w:val="24"/>
          <w:szCs w:val="24"/>
        </w:rPr>
        <w:t>http://www.regulations.gov</w:t>
      </w:r>
      <w:r>
        <w:rPr>
          <w:rStyle w:val="13"/>
          <w:sz w:val="24"/>
          <w:szCs w:val="24"/>
        </w:rPr>
        <w:fldChar w:fldCharType="end"/>
      </w:r>
      <w:r>
        <w:rPr>
          <w:sz w:val="24"/>
          <w:szCs w:val="24"/>
        </w:rPr>
        <w:t>，供</w:t>
      </w:r>
      <w:r>
        <w:rPr>
          <w:szCs w:val="24"/>
        </w:rPr>
        <w:t>FDA审议</w:t>
      </w:r>
      <w:r>
        <w:rPr>
          <w:sz w:val="24"/>
          <w:szCs w:val="24"/>
        </w:rPr>
        <w:t>。可将书面意见提交至：美国食品药品监督管理局备案文件管理部（5630 Fishers Lane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Room 1061</w:t>
      </w:r>
      <w:r>
        <w:rPr>
          <w:rFonts w:hint="eastAsia"/>
          <w:sz w:val="24"/>
          <w:szCs w:val="24"/>
        </w:rPr>
        <w:t>，（</w:t>
      </w:r>
      <w:r>
        <w:rPr>
          <w:sz w:val="24"/>
          <w:szCs w:val="24"/>
        </w:rPr>
        <w:t>HFA-305</w:t>
      </w:r>
      <w:r>
        <w:rPr>
          <w:rFonts w:hint="eastAsia"/>
          <w:sz w:val="24"/>
          <w:szCs w:val="24"/>
        </w:rPr>
        <w:t>），</w:t>
      </w:r>
      <w:r>
        <w:rPr>
          <w:sz w:val="24"/>
          <w:szCs w:val="24"/>
        </w:rPr>
        <w:t>Rockville，MD 20852）。所有意见均应注明备案文件编号</w:t>
      </w:r>
      <w:r>
        <w:rPr>
          <w:rFonts w:ascii="Times New Roman" w:hAnsi="Times New Roman" w:eastAsia="宋体" w:cs="Times New Roman"/>
          <w:sz w:val="24"/>
          <w:szCs w:val="24"/>
        </w:rPr>
        <w:t>FDA-2008-D-0228</w:t>
      </w:r>
      <w:r>
        <w:rPr>
          <w:sz w:val="24"/>
          <w:szCs w:val="24"/>
        </w:rPr>
        <w:t>。下次修订或更新本文件前，FDA可能不会对意见采取行动。</w:t>
      </w:r>
      <w:bookmarkEnd w:id="2"/>
    </w:p>
    <w:p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after="312" w:afterLines="1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after="312" w:afterLines="100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更多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副本</w:t>
      </w:r>
    </w:p>
    <w:p>
      <w:pPr>
        <w:shd w:val="clear" w:color="auto" w:fill="FFFFFF"/>
        <w:snapToGrid w:val="0"/>
        <w:rPr>
          <w:rFonts w:eastAsia="宋体"/>
          <w:sz w:val="24"/>
          <w:szCs w:val="24"/>
        </w:rPr>
      </w:pPr>
      <w:bookmarkStart w:id="3" w:name="_Hlk99439567"/>
      <w:r>
        <w:rPr>
          <w:sz w:val="24"/>
          <w:szCs w:val="24"/>
        </w:rPr>
        <w:t>更多副本可通过互联网获取。贵司也可以通过电子邮件发送请求至</w:t>
      </w:r>
      <w:r>
        <w:rPr>
          <w:sz w:val="20"/>
          <w:szCs w:val="20"/>
        </w:rPr>
        <w:fldChar w:fldCharType="begin"/>
      </w:r>
      <w:r>
        <w:instrText xml:space="preserve"> HYPERLINK "mailto:CDRH-Guidance@fda.hhs.gov" </w:instrText>
      </w:r>
      <w:r>
        <w:rPr>
          <w:sz w:val="20"/>
          <w:szCs w:val="20"/>
        </w:rPr>
        <w:fldChar w:fldCharType="separate"/>
      </w:r>
      <w:r>
        <w:rPr>
          <w:rStyle w:val="13"/>
          <w:sz w:val="24"/>
          <w:szCs w:val="24"/>
        </w:rPr>
        <w:t>CDRH-Guidance@fda.hhs.gov</w:t>
      </w:r>
      <w:r>
        <w:rPr>
          <w:rStyle w:val="13"/>
          <w:sz w:val="24"/>
          <w:szCs w:val="24"/>
        </w:rPr>
        <w:fldChar w:fldCharType="end"/>
      </w:r>
      <w:r>
        <w:rPr>
          <w:sz w:val="24"/>
          <w:szCs w:val="24"/>
        </w:rPr>
        <w:t>获取本指南的副本。请在申请中提供文件编号</w:t>
      </w:r>
      <w:r>
        <w:rPr>
          <w:rFonts w:ascii="Times New Roman" w:hAnsi="Times New Roman" w:eastAsia="宋体" w:cs="Times New Roman"/>
          <w:sz w:val="24"/>
          <w:szCs w:val="24"/>
        </w:rPr>
        <w:t>1143</w:t>
      </w:r>
      <w:r>
        <w:rPr>
          <w:sz w:val="24"/>
          <w:szCs w:val="24"/>
        </w:rPr>
        <w:t>和完整的指南标题。</w:t>
      </w:r>
      <w:bookmarkEnd w:id="3"/>
    </w:p>
    <w:p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widowControl/>
        <w:snapToGrid w:val="0"/>
        <w:spacing w:after="312" w:afterLines="100"/>
        <w:rPr>
          <w:rFonts w:ascii="Times New Roman" w:hAnsi="Times New Roman" w:eastAsia="宋体" w:cs="Times New Roman"/>
          <w:szCs w:val="15"/>
        </w:rPr>
      </w:pPr>
      <w:r>
        <w:rPr>
          <w:rFonts w:ascii="Times New Roman" w:hAnsi="Times New Roman" w:eastAsia="宋体" w:cs="Times New Roman"/>
          <w:szCs w:val="15"/>
        </w:rPr>
        <w:br w:type="page"/>
      </w:r>
    </w:p>
    <w:p>
      <w:pPr>
        <w:snapToGrid w:val="0"/>
        <w:spacing w:after="312" w:afterLines="100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目录</w:t>
      </w:r>
    </w:p>
    <w:p>
      <w:pPr>
        <w:snapToGrid w:val="0"/>
        <w:spacing w:after="312" w:afterLines="100"/>
        <w:jc w:val="center"/>
        <w:rPr>
          <w:rFonts w:ascii="Times New Roman" w:hAnsi="Times New Roman" w:eastAsia="宋体" w:cs="Times New Roman"/>
          <w:bCs/>
          <w:sz w:val="32"/>
          <w:szCs w:val="32"/>
        </w:rPr>
      </w:pPr>
    </w:p>
    <w:p>
      <w:pPr>
        <w:snapToGrid w:val="0"/>
        <w:spacing w:after="312" w:afterLines="100"/>
        <w:jc w:val="center"/>
        <w:rPr>
          <w:rFonts w:ascii="Times New Roman" w:hAnsi="Times New Roman" w:eastAsia="宋体" w:cs="Times New Roman"/>
          <w:bCs/>
          <w:sz w:val="32"/>
          <w:szCs w:val="32"/>
        </w:rPr>
      </w:pPr>
    </w:p>
    <w:p>
      <w:pPr>
        <w:pStyle w:val="7"/>
        <w:spacing w:after="156"/>
        <w:rPr>
          <w:rFonts w:asciiTheme="minorHAnsi" w:hAnsiTheme="minorHAnsi" w:eastAsiaTheme="minorEastAsia"/>
          <w:sz w:val="21"/>
        </w:rPr>
      </w:pPr>
      <w:r>
        <w:rPr>
          <w:rFonts w:cs="Times New Roman"/>
          <w:bCs/>
          <w:sz w:val="28"/>
          <w:szCs w:val="28"/>
        </w:rPr>
        <w:fldChar w:fldCharType="begin"/>
      </w:r>
      <w:r>
        <w:rPr>
          <w:rFonts w:cs="Times New Roman"/>
          <w:bCs/>
          <w:sz w:val="28"/>
          <w:szCs w:val="28"/>
        </w:rPr>
        <w:instrText xml:space="preserve"> </w:instrText>
      </w:r>
      <w:r>
        <w:rPr>
          <w:rFonts w:hint="eastAsia" w:cs="Times New Roman"/>
          <w:bCs/>
          <w:sz w:val="28"/>
          <w:szCs w:val="28"/>
        </w:rPr>
        <w:instrText xml:space="preserve">TOC \o "1-1" \h \z \u</w:instrText>
      </w:r>
      <w:r>
        <w:rPr>
          <w:rFonts w:cs="Times New Roman"/>
          <w:bCs/>
          <w:sz w:val="28"/>
          <w:szCs w:val="28"/>
        </w:rPr>
        <w:instrText xml:space="preserve"> </w:instrText>
      </w:r>
      <w:r>
        <w:rPr>
          <w:rFonts w:cs="Times New Roman"/>
          <w:bCs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"_Toc98768928" </w:instrText>
      </w:r>
      <w:r>
        <w:fldChar w:fldCharType="separate"/>
      </w:r>
      <w:r>
        <w:rPr>
          <w:rStyle w:val="13"/>
          <w:rFonts w:cs="Times New Roman"/>
          <w:bCs/>
        </w:rPr>
        <w:t>I.</w:t>
      </w:r>
      <w:r>
        <w:rPr>
          <w:rFonts w:asciiTheme="minorHAnsi" w:hAnsiTheme="minorHAnsi" w:eastAsiaTheme="minorEastAsia"/>
          <w:sz w:val="21"/>
        </w:rPr>
        <w:tab/>
      </w:r>
      <w:r>
        <w:rPr>
          <w:rStyle w:val="13"/>
          <w:rFonts w:hint="eastAsia" w:cs="Times New Roman"/>
          <w:bCs/>
        </w:rPr>
        <w:t>引言</w:t>
      </w:r>
      <w:r>
        <w:tab/>
      </w:r>
      <w:r>
        <w:fldChar w:fldCharType="begin"/>
      </w:r>
      <w:r>
        <w:instrText xml:space="preserve"> PAGEREF _Toc98768928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7"/>
        <w:spacing w:after="156"/>
        <w:rPr>
          <w:rFonts w:asciiTheme="minorHAnsi" w:hAnsiTheme="minorHAnsi" w:eastAsiaTheme="minorEastAsia"/>
          <w:sz w:val="21"/>
        </w:rPr>
      </w:pPr>
      <w:r>
        <w:fldChar w:fldCharType="begin"/>
      </w:r>
      <w:r>
        <w:instrText xml:space="preserve"> HYPERLINK \l "_Toc98768929" </w:instrText>
      </w:r>
      <w:r>
        <w:fldChar w:fldCharType="separate"/>
      </w:r>
      <w:r>
        <w:rPr>
          <w:rStyle w:val="13"/>
          <w:rFonts w:cs="Times New Roman"/>
          <w:bCs/>
        </w:rPr>
        <w:t>II.</w:t>
      </w:r>
      <w:r>
        <w:rPr>
          <w:rFonts w:asciiTheme="minorHAnsi" w:hAnsiTheme="minorHAnsi" w:eastAsiaTheme="minorEastAsia"/>
          <w:sz w:val="21"/>
        </w:rPr>
        <w:tab/>
      </w:r>
      <w:r>
        <w:rPr>
          <w:rStyle w:val="13"/>
          <w:rFonts w:hint="eastAsia" w:cs="Times New Roman"/>
          <w:bCs/>
        </w:rPr>
        <w:t>确定临床实验室改进修正案分类的程序</w:t>
      </w:r>
      <w:r>
        <w:tab/>
      </w:r>
      <w:r>
        <w:fldChar w:fldCharType="begin"/>
      </w:r>
      <w:r>
        <w:instrText xml:space="preserve"> PAGEREF _Toc98768929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7"/>
        <w:spacing w:after="156"/>
        <w:rPr>
          <w:rFonts w:asciiTheme="minorHAnsi" w:hAnsiTheme="minorHAnsi" w:eastAsiaTheme="minorEastAsia"/>
          <w:sz w:val="21"/>
        </w:rPr>
      </w:pPr>
      <w:r>
        <w:fldChar w:fldCharType="begin"/>
      </w:r>
      <w:r>
        <w:instrText xml:space="preserve"> HYPERLINK \l "_Toc98768930" </w:instrText>
      </w:r>
      <w:r>
        <w:fldChar w:fldCharType="separate"/>
      </w:r>
      <w:r>
        <w:rPr>
          <w:rStyle w:val="13"/>
          <w:rFonts w:cs="Times New Roman"/>
          <w:bCs/>
        </w:rPr>
        <w:t>III.</w:t>
      </w:r>
      <w:r>
        <w:rPr>
          <w:rFonts w:asciiTheme="minorHAnsi" w:hAnsiTheme="minorHAnsi" w:eastAsiaTheme="minorEastAsia"/>
          <w:sz w:val="21"/>
        </w:rPr>
        <w:tab/>
      </w:r>
      <w:r>
        <w:rPr>
          <w:rStyle w:val="13"/>
          <w:rFonts w:cs="Times New Roman"/>
          <w:bCs/>
        </w:rPr>
        <w:t>CLIA</w:t>
      </w:r>
      <w:r>
        <w:rPr>
          <w:rStyle w:val="13"/>
          <w:rFonts w:hint="eastAsia" w:cs="Times New Roman"/>
          <w:bCs/>
        </w:rPr>
        <w:t>豁免方案和申请</w:t>
      </w:r>
      <w:r>
        <w:tab/>
      </w:r>
      <w:r>
        <w:fldChar w:fldCharType="begin"/>
      </w:r>
      <w:r>
        <w:instrText xml:space="preserve"> PAGEREF _Toc98768930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7"/>
        <w:spacing w:after="156"/>
        <w:rPr>
          <w:rFonts w:asciiTheme="minorHAnsi" w:hAnsiTheme="minorHAnsi" w:eastAsiaTheme="minorEastAsia"/>
          <w:sz w:val="21"/>
        </w:rPr>
      </w:pPr>
      <w:r>
        <w:fldChar w:fldCharType="begin"/>
      </w:r>
      <w:r>
        <w:instrText xml:space="preserve"> HYPERLINK \l "_Toc98768931" </w:instrText>
      </w:r>
      <w:r>
        <w:fldChar w:fldCharType="separate"/>
      </w:r>
      <w:r>
        <w:rPr>
          <w:rStyle w:val="13"/>
          <w:rFonts w:cs="Times New Roman"/>
          <w:bCs/>
        </w:rPr>
        <w:t>IV.</w:t>
      </w:r>
      <w:r>
        <w:rPr>
          <w:rFonts w:asciiTheme="minorHAnsi" w:hAnsiTheme="minorHAnsi" w:eastAsiaTheme="minorEastAsia"/>
          <w:sz w:val="21"/>
        </w:rPr>
        <w:tab/>
      </w:r>
      <w:r>
        <w:rPr>
          <w:rStyle w:val="13"/>
          <w:rFonts w:cs="Times New Roman"/>
          <w:bCs/>
        </w:rPr>
        <w:t>1995</w:t>
      </w:r>
      <w:r>
        <w:rPr>
          <w:rStyle w:val="13"/>
          <w:rFonts w:hint="eastAsia" w:cs="Times New Roman"/>
          <w:bCs/>
        </w:rPr>
        <w:t>年《文书削减法案》</w:t>
      </w:r>
      <w:r>
        <w:tab/>
      </w:r>
      <w:r>
        <w:fldChar w:fldCharType="begin"/>
      </w:r>
      <w:r>
        <w:instrText xml:space="preserve"> PAGEREF _Toc98768931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snapToGrid w:val="0"/>
        <w:spacing w:after="312" w:afterLines="1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fldChar w:fldCharType="end"/>
      </w:r>
    </w:p>
    <w:p>
      <w:pPr>
        <w:snapToGrid w:val="0"/>
        <w:spacing w:after="312" w:afterLines="100"/>
        <w:rPr>
          <w:rFonts w:ascii="Times New Roman" w:hAnsi="Times New Roman" w:eastAsia="宋体" w:cs="Times New Roman"/>
          <w:szCs w:val="15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br w:type="page"/>
      </w:r>
    </w:p>
    <w:p>
      <w:pPr>
        <w:pBdr>
          <w:bottom w:val="single" w:color="auto" w:sz="2" w:space="1"/>
        </w:pBdr>
        <w:snapToGrid w:val="0"/>
        <w:spacing w:after="312" w:afterLines="100"/>
        <w:jc w:val="center"/>
        <w:rPr>
          <w:rFonts w:ascii="Times New Roman" w:hAnsi="Times New Roman" w:eastAsia="宋体" w:cs="Times New Roman"/>
          <w:b/>
          <w:bCs/>
          <w:sz w:val="52"/>
          <w:szCs w:val="52"/>
        </w:rPr>
      </w:pPr>
      <w:r>
        <w:rPr>
          <w:rFonts w:ascii="Times New Roman" w:hAnsi="Times New Roman" w:eastAsia="宋体" w:cs="Times New Roman"/>
          <w:b/>
          <w:bCs/>
          <w:sz w:val="52"/>
          <w:szCs w:val="52"/>
        </w:rPr>
        <w:t>临床实验室改进修正案分类的</w:t>
      </w:r>
      <w:r>
        <w:rPr>
          <w:rFonts w:hint="eastAsia" w:ascii="Times New Roman" w:hAnsi="Times New Roman" w:eastAsia="宋体" w:cs="Times New Roman"/>
          <w:b/>
          <w:bCs/>
          <w:sz w:val="52"/>
          <w:szCs w:val="52"/>
        </w:rPr>
        <w:br w:type="textWrapping"/>
      </w:r>
      <w:r>
        <w:rPr>
          <w:rFonts w:ascii="Times New Roman" w:hAnsi="Times New Roman" w:eastAsia="宋体" w:cs="Times New Roman"/>
          <w:b/>
          <w:bCs/>
          <w:sz w:val="52"/>
          <w:szCs w:val="52"/>
        </w:rPr>
        <w:t>管理程序</w:t>
      </w:r>
    </w:p>
    <w:p>
      <w:pPr>
        <w:pBdr>
          <w:bottom w:val="single" w:color="auto" w:sz="2" w:space="1"/>
        </w:pBdr>
        <w:snapToGrid w:val="0"/>
        <w:spacing w:after="312" w:afterLines="100"/>
        <w:jc w:val="center"/>
        <w:rPr>
          <w:rFonts w:ascii="Times New Roman" w:hAnsi="Times New Roman" w:eastAsia="宋体" w:cs="Times New Roman"/>
          <w:b/>
          <w:sz w:val="2"/>
          <w:szCs w:val="2"/>
        </w:rPr>
      </w:pPr>
    </w:p>
    <w:p>
      <w:pPr>
        <w:snapToGrid w:val="0"/>
        <w:spacing w:after="312" w:afterLines="100"/>
        <w:jc w:val="center"/>
        <w:rPr>
          <w:rFonts w:ascii="Times New Roman" w:hAnsi="Times New Roman" w:eastAsia="宋体" w:cs="Times New Roman"/>
          <w:b/>
          <w:bCs/>
          <w:sz w:val="52"/>
          <w:szCs w:val="52"/>
        </w:rPr>
      </w:pPr>
      <w:r>
        <w:rPr>
          <w:rFonts w:ascii="Times New Roman" w:hAnsi="Times New Roman" w:eastAsia="宋体" w:cs="Times New Roman"/>
          <w:b/>
          <w:bCs/>
          <w:sz w:val="52"/>
          <w:szCs w:val="52"/>
        </w:rPr>
        <w:t>行业和美国食品药品监督管理局</w:t>
      </w:r>
      <w:r>
        <w:rPr>
          <w:rFonts w:hint="eastAsia" w:ascii="Times New Roman" w:hAnsi="Times New Roman" w:eastAsia="宋体" w:cs="Times New Roman"/>
          <w:b/>
          <w:bCs/>
          <w:sz w:val="52"/>
          <w:szCs w:val="52"/>
        </w:rPr>
        <w:br w:type="textWrapping"/>
      </w:r>
      <w:r>
        <w:rPr>
          <w:rFonts w:ascii="Times New Roman" w:hAnsi="Times New Roman" w:eastAsia="宋体" w:cs="Times New Roman"/>
          <w:b/>
          <w:bCs/>
          <w:sz w:val="52"/>
          <w:szCs w:val="52"/>
        </w:rPr>
        <w:t>工作人员指南</w:t>
      </w:r>
    </w:p>
    <w:tbl>
      <w:tblPr>
        <w:tblStyle w:val="11"/>
        <w:tblW w:w="5000" w:type="pct"/>
        <w:tblInd w:w="0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468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06" w:hRule="atLeast"/>
        </w:trPr>
        <w:tc>
          <w:tcPr>
            <w:tcW w:w="5000" w:type="pct"/>
          </w:tcPr>
          <w:p>
            <w:pPr>
              <w:snapToGrid w:val="0"/>
              <w:ind w:left="420" w:leftChars="200" w:right="105" w:rightChars="50" w:firstLine="482" w:firstLineChars="200"/>
              <w:rPr>
                <w:rFonts w:ascii="Times New Roman" w:hAnsi="Times New Roman" w:eastAsia="宋体" w:cs="Times New Roman"/>
                <w:b/>
                <w:i/>
                <w:sz w:val="24"/>
                <w:szCs w:val="24"/>
              </w:rPr>
            </w:pPr>
            <w:r>
              <w:rPr>
                <w:rFonts w:hint="eastAsia"/>
                <w:b/>
                <w:i/>
                <w:sz w:val="24"/>
              </w:rPr>
              <w:t>本指南代表美国食品药品监督管理局（</w:t>
            </w:r>
            <w:r>
              <w:rPr>
                <w:b/>
                <w:i/>
                <w:sz w:val="24"/>
              </w:rPr>
              <w:t>FDA</w:t>
            </w:r>
            <w:r>
              <w:rPr>
                <w:rFonts w:hint="eastAsia"/>
                <w:b/>
                <w:i/>
                <w:sz w:val="24"/>
              </w:rPr>
              <w:t>）对该主题的当前看法。本文件不赋予任何人任何权利，对</w:t>
            </w:r>
            <w:r>
              <w:rPr>
                <w:b/>
                <w:i/>
                <w:sz w:val="24"/>
              </w:rPr>
              <w:t>FDA</w:t>
            </w:r>
            <w:r>
              <w:rPr>
                <w:rFonts w:hint="eastAsia"/>
                <w:b/>
                <w:i/>
                <w:sz w:val="24"/>
              </w:rPr>
              <w:t>或公众不具有约束力。如果替代方法满足适用的情形和法规的要求，则贵司可使用替代方法。如需讨论替代方法，请联系标题页所列负责本指南的</w:t>
            </w:r>
            <w:r>
              <w:rPr>
                <w:b/>
                <w:i/>
                <w:sz w:val="24"/>
              </w:rPr>
              <w:t>FDA</w:t>
            </w:r>
            <w:r>
              <w:rPr>
                <w:rFonts w:hint="eastAsia"/>
                <w:b/>
                <w:i/>
                <w:sz w:val="24"/>
              </w:rPr>
              <w:t>工作人员或办公室。</w:t>
            </w:r>
          </w:p>
        </w:tc>
      </w:tr>
    </w:tbl>
    <w:p>
      <w:pPr>
        <w:snapToGrid w:val="0"/>
        <w:spacing w:after="312" w:afterLines="100"/>
        <w:ind w:left="565" w:hanging="565" w:hangingChars="201"/>
        <w:rPr>
          <w:rFonts w:ascii="Times New Roman" w:hAnsi="Times New Roman" w:eastAsia="宋体" w:cs="Times New Roman"/>
          <w:b/>
          <w:bCs/>
          <w:sz w:val="28"/>
          <w:szCs w:val="28"/>
        </w:rPr>
      </w:pPr>
      <w:bookmarkStart w:id="4" w:name="_Toc97319466"/>
    </w:p>
    <w:p>
      <w:pPr>
        <w:snapToGrid w:val="0"/>
        <w:spacing w:after="312" w:afterLines="100"/>
        <w:ind w:left="646" w:hanging="646" w:hangingChars="201"/>
        <w:outlineLvl w:val="0"/>
        <w:rPr>
          <w:rFonts w:ascii="Times New Roman" w:hAnsi="Times New Roman" w:eastAsia="宋体" w:cs="Times New Roman"/>
          <w:b/>
          <w:sz w:val="32"/>
          <w:szCs w:val="32"/>
        </w:rPr>
      </w:pPr>
      <w:bookmarkStart w:id="5" w:name="_Toc98768928"/>
      <w:r>
        <w:rPr>
          <w:rFonts w:ascii="Times New Roman" w:hAnsi="Times New Roman" w:eastAsia="宋体" w:cs="Times New Roman"/>
          <w:b/>
          <w:bCs/>
          <w:sz w:val="32"/>
          <w:szCs w:val="32"/>
        </w:rPr>
        <w:t>I.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ab/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引言</w:t>
      </w:r>
      <w:bookmarkEnd w:id="4"/>
      <w:bookmarkEnd w:id="5"/>
    </w:p>
    <w:p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1992年2月28日，美国卫生与公众服务部（DHHS）发布了实验室标准条例（57 FR 7002），以实施《1988年临床实验室改进修正案》（CLIA）（42 U.S.C. 263a）。该实施条例被编入42 CFR 493部分。</w:t>
      </w:r>
      <w:r>
        <w:rPr>
          <w:rFonts w:hint="eastAsia" w:ascii="Times New Roman" w:hAnsi="Times New Roman" w:eastAsia="宋体" w:cs="Times New Roman"/>
          <w:sz w:val="24"/>
          <w:szCs w:val="24"/>
        </w:rPr>
        <w:t>CLIA</w:t>
      </w:r>
      <w:r>
        <w:rPr>
          <w:rFonts w:ascii="Times New Roman" w:hAnsi="Times New Roman" w:eastAsia="宋体" w:cs="Times New Roman"/>
          <w:sz w:val="24"/>
          <w:szCs w:val="24"/>
        </w:rPr>
        <w:t>对</w:t>
      </w:r>
      <w:r>
        <w:rPr>
          <w:rFonts w:hint="eastAsia" w:ascii="Times New Roman" w:hAnsi="Times New Roman" w:eastAsia="宋体" w:cs="Times New Roman"/>
          <w:sz w:val="24"/>
          <w:szCs w:val="24"/>
        </w:rPr>
        <w:t>实验室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试验</w:t>
      </w:r>
      <w:r>
        <w:rPr>
          <w:rFonts w:ascii="Times New Roman" w:hAnsi="Times New Roman" w:eastAsia="宋体" w:cs="Times New Roman"/>
          <w:sz w:val="24"/>
          <w:szCs w:val="24"/>
        </w:rPr>
        <w:t>进行管理，并要求临床实验室在接受来自人体的材料以提供用于诊断、预防或治疗任何疾病或损害或评估人类健康的信息之前，必须获得</w:t>
      </w:r>
      <w:r>
        <w:rPr>
          <w:rFonts w:hint="eastAsia" w:ascii="Times New Roman" w:hAnsi="Times New Roman" w:eastAsia="宋体" w:cs="Times New Roman"/>
          <w:sz w:val="24"/>
          <w:szCs w:val="24"/>
        </w:rPr>
        <w:t>证书。</w:t>
      </w:r>
      <w:r>
        <w:rPr>
          <w:rFonts w:ascii="Times New Roman" w:hAnsi="Times New Roman" w:eastAsia="宋体" w:cs="Times New Roman"/>
          <w:sz w:val="24"/>
          <w:szCs w:val="24"/>
        </w:rPr>
        <w:t>实验室获得的</w:t>
      </w:r>
      <w:r>
        <w:rPr>
          <w:rFonts w:hint="eastAsia" w:ascii="Times New Roman" w:hAnsi="Times New Roman" w:eastAsia="宋体" w:cs="Times New Roman"/>
          <w:sz w:val="24"/>
          <w:szCs w:val="24"/>
        </w:rPr>
        <w:t>CLIA</w:t>
      </w:r>
      <w:r>
        <w:rPr>
          <w:rFonts w:ascii="Times New Roman" w:hAnsi="Times New Roman" w:eastAsia="宋体" w:cs="Times New Roman"/>
          <w:sz w:val="24"/>
          <w:szCs w:val="24"/>
        </w:rPr>
        <w:t>证书类型取决于所执行的</w:t>
      </w:r>
      <w:r>
        <w:rPr>
          <w:rFonts w:hint="eastAsia" w:ascii="Times New Roman" w:hAnsi="Times New Roman" w:eastAsia="宋体" w:cs="Times New Roman"/>
          <w:sz w:val="24"/>
          <w:szCs w:val="24"/>
        </w:rPr>
        <w:t>试验</w:t>
      </w:r>
      <w:r>
        <w:rPr>
          <w:rFonts w:ascii="Times New Roman" w:hAnsi="Times New Roman" w:eastAsia="宋体" w:cs="Times New Roman"/>
          <w:sz w:val="24"/>
          <w:szCs w:val="24"/>
        </w:rPr>
        <w:t>的复杂性。</w:t>
      </w:r>
      <w:r>
        <w:rPr>
          <w:rFonts w:hint="eastAsia" w:ascii="Times New Roman" w:hAnsi="Times New Roman" w:eastAsia="宋体" w:cs="Times New Roman"/>
          <w:sz w:val="24"/>
          <w:szCs w:val="24"/>
        </w:rPr>
        <w:t>CLIA</w:t>
      </w:r>
      <w:r>
        <w:rPr>
          <w:rFonts w:ascii="Times New Roman" w:hAnsi="Times New Roman" w:eastAsia="宋体" w:cs="Times New Roman"/>
          <w:sz w:val="24"/>
          <w:szCs w:val="24"/>
        </w:rPr>
        <w:t>法规描述了以下三个级别的试验复杂性：豁免试验、中等复杂</w:t>
      </w:r>
      <w:r>
        <w:rPr>
          <w:rFonts w:hint="eastAsia" w:ascii="Times New Roman" w:hAnsi="Times New Roman" w:eastAsia="宋体" w:cs="Times New Roman"/>
          <w:sz w:val="24"/>
          <w:szCs w:val="24"/>
        </w:rPr>
        <w:t>试验</w:t>
      </w:r>
      <w:r>
        <w:rPr>
          <w:rFonts w:ascii="Times New Roman" w:hAnsi="Times New Roman" w:eastAsia="宋体" w:cs="Times New Roman"/>
          <w:sz w:val="24"/>
          <w:szCs w:val="24"/>
        </w:rPr>
        <w:t>和高复杂</w:t>
      </w:r>
      <w:r>
        <w:rPr>
          <w:rFonts w:hint="eastAsia" w:ascii="Times New Roman" w:hAnsi="Times New Roman" w:eastAsia="宋体" w:cs="Times New Roman"/>
          <w:sz w:val="24"/>
          <w:szCs w:val="24"/>
        </w:rPr>
        <w:t>试验</w:t>
      </w:r>
      <w:r>
        <w:rPr>
          <w:rFonts w:ascii="Times New Roman" w:hAnsi="Times New Roman" w:eastAsia="宋体" w:cs="Times New Roman"/>
          <w:sz w:val="24"/>
          <w:szCs w:val="24"/>
        </w:rPr>
        <w:t>。42 CFR 493.5（a）。</w:t>
      </w:r>
    </w:p>
    <w:p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2000年1月31日，商用</w:t>
      </w:r>
      <w:r>
        <w:rPr>
          <w:rFonts w:ascii="Times New Roman" w:hAnsi="Times New Roman" w:eastAsia="宋体" w:cs="Times New Roman"/>
          <w:iCs/>
          <w:sz w:val="24"/>
          <w:szCs w:val="24"/>
        </w:rPr>
        <w:t>体外</w:t>
      </w:r>
      <w:r>
        <w:rPr>
          <w:rFonts w:ascii="Times New Roman" w:hAnsi="Times New Roman" w:eastAsia="宋体" w:cs="Times New Roman"/>
          <w:sz w:val="24"/>
          <w:szCs w:val="24"/>
        </w:rPr>
        <w:t>诊断（IVD）试验的分类责任从美国疾病防控中心（CDC）转移到美国食品药品监督管理局（FDA）医疗器械</w:t>
      </w:r>
      <w:r>
        <w:rPr>
          <w:rFonts w:hint="eastAsia" w:ascii="Times New Roman" w:hAnsi="Times New Roman" w:eastAsia="宋体" w:cs="Times New Roman"/>
          <w:sz w:val="24"/>
          <w:szCs w:val="24"/>
        </w:rPr>
        <w:t>和</w:t>
      </w:r>
      <w:r>
        <w:rPr>
          <w:rFonts w:ascii="Times New Roman" w:hAnsi="Times New Roman" w:eastAsia="宋体" w:cs="Times New Roman"/>
          <w:sz w:val="24"/>
          <w:szCs w:val="24"/>
        </w:rPr>
        <w:t>放射健康中心（CDRH）。</w:t>
      </w:r>
      <w:r>
        <w:rPr>
          <w:rStyle w:val="15"/>
          <w:rFonts w:ascii="Times New Roman" w:hAnsi="Times New Roman" w:eastAsia="宋体" w:cs="Times New Roman"/>
          <w:sz w:val="24"/>
          <w:szCs w:val="24"/>
        </w:rPr>
        <w:footnoteReference w:id="0"/>
      </w:r>
      <w:r>
        <w:rPr>
          <w:rFonts w:ascii="Times New Roman" w:hAnsi="Times New Roman" w:eastAsia="宋体" w:cs="Times New Roman"/>
          <w:sz w:val="24"/>
          <w:szCs w:val="24"/>
        </w:rPr>
        <w:t>这使得</w:t>
      </w:r>
      <w:r>
        <w:rPr>
          <w:rFonts w:hint="eastAsia" w:ascii="Times New Roman" w:hAnsi="Times New Roman" w:eastAsia="宋体" w:cs="Times New Roman"/>
          <w:sz w:val="24"/>
          <w:szCs w:val="24"/>
        </w:rPr>
        <w:t>IVD</w:t>
      </w:r>
      <w:r>
        <w:rPr>
          <w:rFonts w:ascii="Times New Roman" w:hAnsi="Times New Roman" w:eastAsia="宋体" w:cs="Times New Roman"/>
          <w:sz w:val="24"/>
          <w:szCs w:val="24"/>
        </w:rPr>
        <w:t>制造商可以向</w:t>
      </w:r>
      <w:r>
        <w:rPr>
          <w:rFonts w:hint="eastAsia" w:ascii="Times New Roman" w:hAnsi="Times New Roman" w:eastAsia="宋体" w:cs="Times New Roman"/>
          <w:sz w:val="24"/>
          <w:szCs w:val="24"/>
        </w:rPr>
        <w:t>监管</w:t>
      </w:r>
      <w:r>
        <w:rPr>
          <w:rFonts w:ascii="Times New Roman" w:hAnsi="Times New Roman" w:eastAsia="宋体" w:cs="Times New Roman"/>
          <w:sz w:val="24"/>
          <w:szCs w:val="24"/>
        </w:rPr>
        <w:t>机构提交上市前通知或试验申请以及根据</w:t>
      </w:r>
      <w:r>
        <w:rPr>
          <w:rFonts w:hint="eastAsia" w:ascii="Times New Roman" w:hAnsi="Times New Roman" w:eastAsia="宋体" w:cs="Times New Roman"/>
          <w:sz w:val="24"/>
          <w:szCs w:val="24"/>
        </w:rPr>
        <w:t>CLIA</w:t>
      </w:r>
      <w:r>
        <w:rPr>
          <w:rFonts w:ascii="Times New Roman" w:hAnsi="Times New Roman" w:eastAsia="宋体" w:cs="Times New Roman"/>
          <w:sz w:val="24"/>
          <w:szCs w:val="24"/>
        </w:rPr>
        <w:t>对这些试验进行复杂性分类的请求。根据1999年12月30日《联邦公报》的通知，FDA/CDRH对</w:t>
      </w:r>
      <w:r>
        <w:rPr>
          <w:rFonts w:hint="eastAsia" w:ascii="Times New Roman" w:hAnsi="Times New Roman" w:eastAsia="宋体" w:cs="Times New Roman"/>
          <w:sz w:val="24"/>
          <w:szCs w:val="24"/>
        </w:rPr>
        <w:t>CLIA</w:t>
      </w:r>
      <w:r>
        <w:rPr>
          <w:rFonts w:ascii="Times New Roman" w:hAnsi="Times New Roman" w:eastAsia="宋体" w:cs="Times New Roman"/>
          <w:sz w:val="24"/>
          <w:szCs w:val="24"/>
        </w:rPr>
        <w:t>复杂性分类的责任明确地适用于临床实验室器械：</w:t>
      </w:r>
    </w:p>
    <w:p>
      <w:pPr>
        <w:widowControl/>
        <w:snapToGrid w:val="0"/>
        <w:spacing w:after="312" w:afterLines="100"/>
        <w:rPr>
          <w:rFonts w:ascii="Times New Roman" w:hAnsi="Times New Roman" w:eastAsia="宋体" w:cs="Times New Roman"/>
          <w:szCs w:val="15"/>
        </w:rPr>
      </w:pPr>
      <w:r>
        <w:rPr>
          <w:rFonts w:ascii="Times New Roman" w:hAnsi="Times New Roman" w:eastAsia="宋体" w:cs="Times New Roman"/>
          <w:szCs w:val="15"/>
        </w:rPr>
        <w:br w:type="page"/>
      </w:r>
    </w:p>
    <w:p>
      <w:pPr>
        <w:pStyle w:val="34"/>
        <w:numPr>
          <w:ilvl w:val="0"/>
          <w:numId w:val="1"/>
        </w:numPr>
        <w:tabs>
          <w:tab w:val="left" w:pos="994"/>
        </w:tabs>
        <w:snapToGrid w:val="0"/>
        <w:spacing w:after="156" w:afterLines="50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正在接受CDRH的上市前审评，</w:t>
      </w:r>
    </w:p>
    <w:p>
      <w:pPr>
        <w:pStyle w:val="34"/>
        <w:numPr>
          <w:ilvl w:val="0"/>
          <w:numId w:val="1"/>
        </w:numPr>
        <w:tabs>
          <w:tab w:val="left" w:pos="994"/>
        </w:tabs>
        <w:snapToGrid w:val="0"/>
        <w:spacing w:after="156" w:afterLines="50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正在接受FDA其他</w:t>
      </w:r>
      <w:r>
        <w:rPr>
          <w:rFonts w:hint="eastAsia" w:ascii="Times New Roman" w:hAnsi="Times New Roman" w:eastAsia="宋体" w:cs="Times New Roman"/>
          <w:sz w:val="24"/>
          <w:szCs w:val="24"/>
        </w:rPr>
        <w:t>中心</w:t>
      </w:r>
      <w:r>
        <w:rPr>
          <w:rFonts w:ascii="Times New Roman" w:hAnsi="Times New Roman" w:eastAsia="宋体" w:cs="Times New Roman"/>
          <w:sz w:val="24"/>
          <w:szCs w:val="24"/>
        </w:rPr>
        <w:t>的上市前审评，</w:t>
      </w:r>
    </w:p>
    <w:p>
      <w:pPr>
        <w:pStyle w:val="34"/>
        <w:numPr>
          <w:ilvl w:val="0"/>
          <w:numId w:val="1"/>
        </w:numPr>
        <w:tabs>
          <w:tab w:val="left" w:pos="994"/>
        </w:tabs>
        <w:snapToGrid w:val="0"/>
        <w:spacing w:after="156" w:afterLines="50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豁免于上市前通知，以及</w:t>
      </w:r>
    </w:p>
    <w:p>
      <w:pPr>
        <w:pStyle w:val="34"/>
        <w:numPr>
          <w:ilvl w:val="0"/>
          <w:numId w:val="1"/>
        </w:numPr>
        <w:tabs>
          <w:tab w:val="left" w:pos="994"/>
        </w:tabs>
        <w:snapToGrid w:val="0"/>
        <w:spacing w:after="312" w:afterLines="100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是合法上市，且申办者正在寻求豁免分类。</w:t>
      </w:r>
    </w:p>
    <w:p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FDA/CDRH的一般管理程序因上述类别而有所不同，并在本文件中进行了描述。本指南还包括有关FDA内部管理程序的信息，包括CDRH的电子副本计划，该计划自愿用于</w:t>
      </w:r>
      <w:r>
        <w:rPr>
          <w:rFonts w:hint="eastAsia" w:ascii="Times New Roman" w:hAnsi="Times New Roman" w:eastAsia="宋体" w:cs="Times New Roman"/>
          <w:sz w:val="24"/>
          <w:szCs w:val="24"/>
        </w:rPr>
        <w:t>CLIA</w:t>
      </w:r>
      <w:r>
        <w:rPr>
          <w:rFonts w:ascii="Times New Roman" w:hAnsi="Times New Roman" w:eastAsia="宋体" w:cs="Times New Roman"/>
          <w:sz w:val="24"/>
          <w:szCs w:val="24"/>
        </w:rPr>
        <w:t>分类。本指南还包括适用于FDA其他中心所监督的</w:t>
      </w:r>
      <w:r>
        <w:rPr>
          <w:rFonts w:hint="eastAsia" w:ascii="Times New Roman" w:hAnsi="Times New Roman" w:eastAsia="宋体" w:cs="Times New Roman"/>
          <w:sz w:val="24"/>
          <w:szCs w:val="24"/>
        </w:rPr>
        <w:t>IVD</w:t>
      </w:r>
      <w:r>
        <w:rPr>
          <w:rFonts w:ascii="Times New Roman" w:hAnsi="Times New Roman" w:eastAsia="宋体" w:cs="Times New Roman"/>
          <w:sz w:val="24"/>
          <w:szCs w:val="24"/>
        </w:rPr>
        <w:t>的分类管理程序。</w:t>
      </w:r>
    </w:p>
    <w:p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绩效目标是最初根据《2012年医疗器械用户费用修正案》</w:t>
      </w:r>
      <w:r>
        <w:rPr>
          <w:rStyle w:val="15"/>
          <w:rFonts w:ascii="Times New Roman" w:hAnsi="Times New Roman" w:eastAsia="宋体" w:cs="Times New Roman"/>
          <w:sz w:val="24"/>
          <w:szCs w:val="24"/>
        </w:rPr>
        <w:footnoteReference w:id="1"/>
      </w:r>
      <w:r>
        <w:rPr>
          <w:rFonts w:ascii="Times New Roman" w:hAnsi="Times New Roman" w:eastAsia="宋体" w:cs="Times New Roman"/>
          <w:sz w:val="24"/>
          <w:szCs w:val="24"/>
        </w:rPr>
        <w:t>（现称为MDUFA III）协商并达成一致，用于2013财年~2017财年收到的</w:t>
      </w:r>
      <w:r>
        <w:rPr>
          <w:rFonts w:hint="eastAsia" w:ascii="Times New Roman" w:hAnsi="Times New Roman" w:eastAsia="宋体" w:cs="Times New Roman"/>
          <w:sz w:val="24"/>
          <w:szCs w:val="24"/>
        </w:rPr>
        <w:t>CLIA</w:t>
      </w:r>
      <w:r>
        <w:rPr>
          <w:rFonts w:ascii="Times New Roman" w:hAnsi="Times New Roman" w:eastAsia="宋体" w:cs="Times New Roman"/>
          <w:sz w:val="24"/>
          <w:szCs w:val="24"/>
        </w:rPr>
        <w:t>豁免申请。新的绩效目标和过程改进被纳入《2017年</w:t>
      </w:r>
      <w:r>
        <w:rPr>
          <w:rFonts w:hint="eastAsia" w:ascii="Times New Roman" w:hAnsi="Times New Roman" w:eastAsia="宋体" w:cs="Times New Roman"/>
          <w:sz w:val="24"/>
          <w:szCs w:val="24"/>
        </w:rPr>
        <w:t>FDA</w:t>
      </w:r>
      <w:r>
        <w:rPr>
          <w:rFonts w:ascii="Times New Roman" w:hAnsi="Times New Roman" w:eastAsia="宋体" w:cs="Times New Roman"/>
          <w:sz w:val="24"/>
          <w:szCs w:val="24"/>
        </w:rPr>
        <w:t>再授权法案》（以下简称为MDUFA IV）。</w:t>
      </w:r>
      <w:r>
        <w:rPr>
          <w:rStyle w:val="15"/>
          <w:rFonts w:ascii="Times New Roman" w:hAnsi="Times New Roman" w:eastAsia="宋体" w:cs="Times New Roman"/>
          <w:sz w:val="24"/>
          <w:szCs w:val="24"/>
        </w:rPr>
        <w:footnoteReference w:id="2"/>
      </w:r>
      <w:r>
        <w:rPr>
          <w:rFonts w:ascii="Times New Roman" w:hAnsi="Times New Roman" w:eastAsia="宋体" w:cs="Times New Roman"/>
          <w:sz w:val="24"/>
          <w:szCs w:val="24"/>
        </w:rPr>
        <w:t>对于2018财年~2022财年收到的</w:t>
      </w:r>
      <w:r>
        <w:rPr>
          <w:rFonts w:hint="eastAsia" w:ascii="Times New Roman" w:hAnsi="Times New Roman" w:eastAsia="宋体" w:cs="Times New Roman"/>
          <w:sz w:val="24"/>
          <w:szCs w:val="24"/>
        </w:rPr>
        <w:t>CLIA</w:t>
      </w:r>
      <w:r>
        <w:rPr>
          <w:rFonts w:ascii="Times New Roman" w:hAnsi="Times New Roman" w:eastAsia="宋体" w:cs="Times New Roman"/>
          <w:sz w:val="24"/>
          <w:szCs w:val="24"/>
        </w:rPr>
        <w:t>豁免申请，美国卫生与公众服务部部长写给美国国会的信函</w:t>
      </w:r>
      <w:r>
        <w:rPr>
          <w:rStyle w:val="15"/>
          <w:rFonts w:ascii="Times New Roman" w:hAnsi="Times New Roman" w:eastAsia="宋体" w:cs="Times New Roman"/>
          <w:sz w:val="24"/>
          <w:szCs w:val="24"/>
        </w:rPr>
        <w:footnoteReference w:id="3"/>
      </w:r>
      <w:r>
        <w:rPr>
          <w:rFonts w:ascii="Times New Roman" w:hAnsi="Times New Roman" w:eastAsia="宋体" w:cs="Times New Roman"/>
          <w:sz w:val="24"/>
          <w:szCs w:val="24"/>
        </w:rPr>
        <w:t>中概述了修订后的绩效目标和过程改进，并在下文中进一步说明。</w:t>
      </w:r>
    </w:p>
    <w:p>
      <w:pPr>
        <w:snapToGrid w:val="0"/>
        <w:spacing w:after="312" w:afterLines="100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本指南并未具体说明</w:t>
      </w:r>
      <w:r>
        <w:rPr>
          <w:rFonts w:hint="eastAsia" w:ascii="Times New Roman" w:hAnsi="Times New Roman" w:eastAsia="宋体" w:cs="Times New Roman"/>
          <w:sz w:val="24"/>
          <w:szCs w:val="24"/>
        </w:rPr>
        <w:t>CLIA</w:t>
      </w:r>
      <w:r>
        <w:rPr>
          <w:rFonts w:ascii="Times New Roman" w:hAnsi="Times New Roman" w:eastAsia="宋体" w:cs="Times New Roman"/>
          <w:sz w:val="24"/>
          <w:szCs w:val="24"/>
        </w:rPr>
        <w:t>豁免申请的建议内容。欲了解更多关于</w:t>
      </w:r>
      <w:r>
        <w:rPr>
          <w:rFonts w:hint="eastAsia" w:ascii="Times New Roman" w:hAnsi="Times New Roman" w:eastAsia="宋体" w:cs="Times New Roman"/>
          <w:sz w:val="24"/>
          <w:szCs w:val="24"/>
        </w:rPr>
        <w:t>CLIA</w:t>
      </w:r>
      <w:r>
        <w:rPr>
          <w:rFonts w:ascii="Times New Roman" w:hAnsi="Times New Roman" w:eastAsia="宋体" w:cs="Times New Roman"/>
          <w:sz w:val="24"/>
          <w:szCs w:val="24"/>
        </w:rPr>
        <w:t>豁免申请内容的信息，请参考题为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1988年临床实验室改进修正案（CLIA）体外诊断器械制造商豁免申请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的指南（</w:t>
      </w:r>
      <w:r>
        <w:fldChar w:fldCharType="begin"/>
      </w:r>
      <w:r>
        <w:instrText xml:space="preserve"> HYPERLINK "http://www.fda.gov/MedicalDevices/DeviceRegulationandGuidance/GuidanceDocuments/ucm079632.htm" </w:instrText>
      </w:r>
      <w:r>
        <w:fldChar w:fldCharType="separate"/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t>http://www.fda.gov/MedicalDevices/DeviceRegulationandGuidance/GuidanceDocuments/ucm079632.htm</w:t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t>）。</w:t>
      </w:r>
    </w:p>
    <w:p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FDA</w:t>
      </w:r>
      <w:r>
        <w:rPr>
          <w:rFonts w:hint="eastAsia" w:ascii="Times New Roman" w:hAnsi="Times New Roman" w:cs="Times New Roman"/>
          <w:sz w:val="24"/>
          <w:szCs w:val="24"/>
        </w:rPr>
        <w:t>指南文件，包括本指南，并未规定具有法律强制力的责任。相反，指南描述了</w:t>
      </w:r>
      <w:r>
        <w:rPr>
          <w:rFonts w:ascii="Times New Roman" w:hAnsi="Times New Roman" w:cs="Times New Roman"/>
          <w:sz w:val="24"/>
          <w:szCs w:val="24"/>
        </w:rPr>
        <w:t>FDA</w:t>
      </w:r>
      <w:r>
        <w:rPr>
          <w:rFonts w:hint="eastAsia" w:ascii="Times New Roman" w:hAnsi="Times New Roman" w:cs="Times New Roman"/>
          <w:sz w:val="24"/>
          <w:szCs w:val="24"/>
        </w:rPr>
        <w:t>对该主题的当前看法，除非引用了具体监管或法定要求，否则应仅视为建议。</w:t>
      </w:r>
      <w:r>
        <w:rPr>
          <w:rFonts w:ascii="Times New Roman" w:hAnsi="Times New Roman" w:cs="Times New Roman"/>
          <w:sz w:val="24"/>
          <w:szCs w:val="24"/>
        </w:rPr>
        <w:t>FDA</w:t>
      </w:r>
      <w:r>
        <w:rPr>
          <w:rFonts w:hint="eastAsia" w:ascii="Times New Roman" w:hAnsi="Times New Roman" w:cs="Times New Roman"/>
          <w:sz w:val="24"/>
          <w:szCs w:val="24"/>
        </w:rPr>
        <w:t>指南中使用的“</w:t>
      </w:r>
      <w:r>
        <w:rPr>
          <w:rFonts w:hint="eastAsia" w:ascii="Times New Roman" w:hAnsi="Times New Roman" w:cs="Times New Roman"/>
          <w:i/>
          <w:iCs/>
          <w:sz w:val="24"/>
          <w:szCs w:val="24"/>
        </w:rPr>
        <w:t>应该（</w:t>
      </w:r>
      <w:r>
        <w:rPr>
          <w:rFonts w:ascii="Times New Roman" w:hAnsi="Times New Roman" w:cs="Times New Roman"/>
          <w:i/>
          <w:iCs/>
          <w:sz w:val="24"/>
          <w:szCs w:val="24"/>
        </w:rPr>
        <w:t>should</w:t>
      </w:r>
      <w:r>
        <w:rPr>
          <w:rFonts w:hint="eastAsia" w:ascii="Times New Roman" w:hAnsi="Times New Roman" w:cs="Times New Roman"/>
          <w:i/>
          <w:iCs/>
          <w:sz w:val="24"/>
          <w:szCs w:val="24"/>
        </w:rPr>
        <w:t>）</w:t>
      </w:r>
      <w:r>
        <w:rPr>
          <w:rFonts w:hint="eastAsia" w:ascii="Times New Roman" w:hAnsi="Times New Roman" w:cs="Times New Roman"/>
          <w:sz w:val="24"/>
          <w:szCs w:val="24"/>
        </w:rPr>
        <w:t>”一词指建议或推荐</w:t>
      </w:r>
      <w:bookmarkStart w:id="6" w:name="_Hlk110850957"/>
      <w:r>
        <w:rPr>
          <w:rFonts w:hint="eastAsia"/>
          <w:sz w:val="24"/>
          <w:szCs w:val="24"/>
        </w:rPr>
        <w:t>进行某一事项，并非强制要求</w:t>
      </w:r>
      <w:bookmarkEnd w:id="6"/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widowControl/>
        <w:snapToGrid w:val="0"/>
        <w:spacing w:after="312" w:afterLines="100"/>
        <w:rPr>
          <w:rFonts w:ascii="Times New Roman" w:hAnsi="Times New Roman" w:eastAsia="宋体" w:cs="Times New Roman"/>
          <w:szCs w:val="15"/>
        </w:rPr>
      </w:pPr>
      <w:r>
        <w:rPr>
          <w:rFonts w:ascii="Times New Roman" w:hAnsi="Times New Roman" w:eastAsia="宋体" w:cs="Times New Roman"/>
          <w:szCs w:val="15"/>
        </w:rPr>
        <w:br w:type="page"/>
      </w:r>
    </w:p>
    <w:p>
      <w:pPr>
        <w:tabs>
          <w:tab w:val="left" w:pos="644"/>
        </w:tabs>
        <w:snapToGrid w:val="0"/>
        <w:spacing w:after="312" w:afterLines="100"/>
        <w:ind w:left="646" w:hanging="646" w:hangingChars="201"/>
        <w:outlineLvl w:val="0"/>
        <w:rPr>
          <w:rFonts w:ascii="Times New Roman" w:hAnsi="Times New Roman" w:eastAsia="宋体" w:cs="Times New Roman"/>
          <w:b/>
          <w:sz w:val="32"/>
          <w:szCs w:val="32"/>
        </w:rPr>
      </w:pPr>
      <w:bookmarkStart w:id="7" w:name="_Toc97319467"/>
      <w:bookmarkStart w:id="8" w:name="_Toc98768929"/>
      <w:r>
        <w:rPr>
          <w:rFonts w:ascii="Times New Roman" w:hAnsi="Times New Roman" w:eastAsia="宋体" w:cs="Times New Roman"/>
          <w:b/>
          <w:bCs/>
          <w:sz w:val="32"/>
          <w:szCs w:val="32"/>
        </w:rPr>
        <w:t>II.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ab/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确定临床实验室改进修正案分类的程序</w:t>
      </w:r>
      <w:bookmarkEnd w:id="7"/>
      <w:bookmarkEnd w:id="8"/>
    </w:p>
    <w:p>
      <w:pPr>
        <w:tabs>
          <w:tab w:val="left" w:pos="1036"/>
        </w:tabs>
        <w:snapToGrid w:val="0"/>
        <w:spacing w:after="312" w:afterLines="100"/>
        <w:ind w:left="1080" w:leftChars="300" w:hanging="450" w:hangingChars="16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A.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ab/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根据上市前审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评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对临床实验室器械分类</w:t>
      </w:r>
    </w:p>
    <w:p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FDA在审</w:t>
      </w:r>
      <w:r>
        <w:rPr>
          <w:rFonts w:hint="eastAsia" w:ascii="Times New Roman" w:hAnsi="Times New Roman" w:eastAsia="宋体" w:cs="Times New Roman"/>
          <w:sz w:val="24"/>
          <w:szCs w:val="24"/>
        </w:rPr>
        <w:t>评</w:t>
      </w:r>
      <w:r>
        <w:rPr>
          <w:rFonts w:ascii="Times New Roman" w:hAnsi="Times New Roman" w:eastAsia="宋体" w:cs="Times New Roman"/>
          <w:sz w:val="24"/>
          <w:szCs w:val="24"/>
        </w:rPr>
        <w:t>上市前申请（例如，提交的上市前通知申请（510（k））或根据《联邦食品、药品和化妆品法案》提交的上市前批准申请（PMA）或根据《公共卫生服务法案》（PHS）提交的生物制品许可申请（BLA））时</w:t>
      </w:r>
      <w:r>
        <w:rPr>
          <w:rFonts w:hint="eastAsia" w:ascii="Times New Roman" w:hAnsi="Times New Roman" w:eastAsia="宋体" w:cs="Times New Roman"/>
          <w:sz w:val="24"/>
          <w:szCs w:val="24"/>
        </w:rPr>
        <w:t>，确定IVD</w:t>
      </w:r>
      <w:r>
        <w:rPr>
          <w:rFonts w:ascii="Times New Roman" w:hAnsi="Times New Roman" w:eastAsia="宋体" w:cs="Times New Roman"/>
          <w:sz w:val="24"/>
          <w:szCs w:val="24"/>
        </w:rPr>
        <w:t>试验的CLIA分类。在CDRH收到上市申请后，FDA将自动为CLIA过程创建第二个独立的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跟踪编号，并通知申办者其CLIA记录（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CR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）编号，以及其上市前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的跟踪编号（例如510（k）（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hint="eastAsia" w:ascii="Times New Roman" w:hAnsi="Times New Roman" w:eastAsia="宋体" w:cs="Times New Roman"/>
          <w:sz w:val="24"/>
          <w:szCs w:val="24"/>
        </w:rPr>
        <w:t>K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）或PMA（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P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）编号）。如果FDA的另一个中心（例如，生物制品评</w:t>
      </w:r>
      <w:r>
        <w:rPr>
          <w:rFonts w:hint="eastAsia" w:ascii="Times New Roman" w:hAnsi="Times New Roman" w:eastAsia="宋体" w:cs="Times New Roman"/>
          <w:sz w:val="24"/>
          <w:szCs w:val="24"/>
        </w:rPr>
        <w:t>价</w:t>
      </w:r>
      <w:r>
        <w:rPr>
          <w:rFonts w:ascii="Times New Roman" w:hAnsi="Times New Roman" w:eastAsia="宋体" w:cs="Times New Roman"/>
          <w:sz w:val="24"/>
          <w:szCs w:val="24"/>
        </w:rPr>
        <w:t>和研究中心（CBER））审评上市前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，则</w:t>
      </w:r>
      <w:r>
        <w:rPr>
          <w:rFonts w:hint="eastAsia" w:ascii="Times New Roman" w:hAnsi="Times New Roman" w:eastAsia="宋体" w:cs="Times New Roman"/>
          <w:sz w:val="24"/>
          <w:szCs w:val="24"/>
        </w:rPr>
        <w:t>该</w:t>
      </w:r>
      <w:r>
        <w:rPr>
          <w:rFonts w:ascii="Times New Roman" w:hAnsi="Times New Roman" w:eastAsia="宋体" w:cs="Times New Roman"/>
          <w:sz w:val="24"/>
          <w:szCs w:val="24"/>
        </w:rPr>
        <w:t>中心将在</w:t>
      </w:r>
      <w:r>
        <w:rPr>
          <w:rFonts w:hint="eastAsia" w:ascii="Times New Roman" w:hAnsi="Times New Roman" w:eastAsia="宋体" w:cs="Times New Roman"/>
          <w:sz w:val="24"/>
          <w:szCs w:val="24"/>
        </w:rPr>
        <w:t>IVD</w:t>
      </w:r>
      <w:r>
        <w:rPr>
          <w:rFonts w:ascii="Times New Roman" w:hAnsi="Times New Roman" w:eastAsia="宋体" w:cs="Times New Roman"/>
          <w:sz w:val="24"/>
          <w:szCs w:val="24"/>
        </w:rPr>
        <w:t>试验获得许可/批准时通知CDRH。届时，FDA将自动创建一个独立的CLIA记录（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CR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）编号，以跟踪CDRH对试验的分类，并将其CLIA记录编号告知申办者。</w:t>
      </w:r>
    </w:p>
    <w:p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FDA参考42 CFR 493.17中列出的标准，通过审评上市前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中的包装说明书试验说明，确定试验的复杂性。根据42 CFR 493.15的规定，未被豁免的试验，以及未经许可或批准用于家用或非处方药使用的试验，可归类为中等或高复杂性。</w:t>
      </w:r>
    </w:p>
    <w:p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FDA将尝试在做出积极的上市决</w:t>
      </w:r>
      <w:r>
        <w:rPr>
          <w:rFonts w:hint="eastAsia" w:ascii="Times New Roman" w:hAnsi="Times New Roman" w:eastAsia="宋体" w:cs="Times New Roman"/>
          <w:sz w:val="24"/>
          <w:szCs w:val="24"/>
        </w:rPr>
        <w:t>定</w:t>
      </w:r>
      <w:r>
        <w:rPr>
          <w:rFonts w:ascii="Times New Roman" w:hAnsi="Times New Roman" w:eastAsia="宋体" w:cs="Times New Roman"/>
          <w:sz w:val="24"/>
          <w:szCs w:val="24"/>
        </w:rPr>
        <w:t>（例如，510（k）的实质等同性确定或</w:t>
      </w:r>
      <w:r>
        <w:rPr>
          <w:rFonts w:hint="eastAsia" w:ascii="Times New Roman" w:hAnsi="Times New Roman" w:eastAsia="宋体" w:cs="Times New Roman"/>
          <w:sz w:val="24"/>
          <w:szCs w:val="24"/>
        </w:rPr>
        <w:t>PMA</w:t>
      </w:r>
      <w:r>
        <w:rPr>
          <w:rFonts w:ascii="Times New Roman" w:hAnsi="Times New Roman" w:eastAsia="宋体" w:cs="Times New Roman"/>
          <w:sz w:val="24"/>
          <w:szCs w:val="24"/>
        </w:rPr>
        <w:t>的批准决定）后两周内通知申办者关于复杂性分类的信息。分类自书面通知制造商之日起生效（参见42 CFR 493.17（c）（1）（ii）条）。</w:t>
      </w:r>
    </w:p>
    <w:p>
      <w:pPr>
        <w:snapToGrid w:val="0"/>
        <w:spacing w:after="312" w:afterLines="100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IVD</w:t>
      </w:r>
      <w:r>
        <w:rPr>
          <w:rFonts w:ascii="Times New Roman" w:hAnsi="Times New Roman" w:eastAsia="宋体" w:cs="Times New Roman"/>
          <w:sz w:val="24"/>
          <w:szCs w:val="24"/>
        </w:rPr>
        <w:t>器械的CLIA分类的可搜索数据库网址：</w:t>
      </w:r>
      <w:r>
        <w:fldChar w:fldCharType="begin"/>
      </w:r>
      <w:r>
        <w:instrText xml:space="preserve"> HYPERLINK "http://www.accessdata.fda.gov/scripts/cdrh/cfdocs/cfCLIA/clia.cfm" </w:instrText>
      </w:r>
      <w:r>
        <w:fldChar w:fldCharType="separate"/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t>http://www.accessdata.fda.gov/scripts/cdrh/cfdocs/cfCLIA/clia.cfm</w:t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  <w:r>
        <w:rPr>
          <w:rFonts w:ascii="Times New Roman" w:hAnsi="Times New Roman" w:eastAsia="宋体" w:cs="Times New Roman"/>
          <w:sz w:val="24"/>
          <w:szCs w:val="24"/>
        </w:rPr>
        <w:t>FDA定期在公共CLIA数据库中发布所有分类，并参考上市前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编号。</w:t>
      </w:r>
    </w:p>
    <w:p>
      <w:pPr>
        <w:tabs>
          <w:tab w:val="left" w:pos="1036"/>
        </w:tabs>
        <w:snapToGrid w:val="0"/>
        <w:spacing w:after="312" w:afterLines="100"/>
        <w:ind w:left="1080" w:leftChars="300" w:hanging="450" w:hangingChars="16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B.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ab/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合法上市器械的分类请求</w:t>
      </w:r>
    </w:p>
    <w:p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在无需提交上市前申请但仍适合进行CLIA分类的情况下（例如，免于上市前通知的器械），制造商应向CDRH文件控制中心（地址如下）提交CLIA分类请求，其中包括一份含试验说明的试验包装说明书副本：</w:t>
      </w:r>
    </w:p>
    <w:p>
      <w:pPr>
        <w:snapToGrid w:val="0"/>
        <w:spacing w:after="156" w:afterLines="50"/>
        <w:ind w:left="1134" w:leftChars="54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美国食品药品监督管理局</w:t>
      </w:r>
    </w:p>
    <w:p>
      <w:pPr>
        <w:snapToGrid w:val="0"/>
        <w:spacing w:after="156" w:afterLines="50"/>
        <w:ind w:left="1134" w:leftChars="54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医疗器械</w:t>
      </w:r>
      <w:r>
        <w:rPr>
          <w:rFonts w:hint="eastAsia" w:ascii="Times New Roman" w:hAnsi="Times New Roman" w:eastAsia="宋体" w:cs="Times New Roman"/>
          <w:sz w:val="24"/>
          <w:szCs w:val="24"/>
        </w:rPr>
        <w:t>和</w:t>
      </w:r>
      <w:r>
        <w:rPr>
          <w:rFonts w:ascii="Times New Roman" w:hAnsi="Times New Roman" w:eastAsia="宋体" w:cs="Times New Roman"/>
          <w:sz w:val="24"/>
          <w:szCs w:val="24"/>
        </w:rPr>
        <w:t>放射健康中心</w:t>
      </w:r>
    </w:p>
    <w:p>
      <w:pPr>
        <w:snapToGrid w:val="0"/>
        <w:spacing w:after="156" w:afterLines="50"/>
        <w:ind w:left="1134" w:leftChars="54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文件邮寄中心 - WO66-G609</w:t>
      </w:r>
    </w:p>
    <w:p>
      <w:pPr>
        <w:snapToGrid w:val="0"/>
        <w:spacing w:after="156" w:afterLines="50"/>
        <w:ind w:left="1134" w:leftChars="54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10903 New Hampshire Avenue</w:t>
      </w:r>
    </w:p>
    <w:p>
      <w:pPr>
        <w:snapToGrid w:val="0"/>
        <w:spacing w:after="156" w:afterLines="50"/>
        <w:ind w:left="1134" w:leftChars="54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Silver Spring, Maryland 20993-0002</w:t>
      </w:r>
    </w:p>
    <w:p>
      <w:pPr>
        <w:widowControl/>
        <w:snapToGrid w:val="0"/>
        <w:spacing w:after="312" w:afterLines="100"/>
        <w:rPr>
          <w:rFonts w:ascii="Times New Roman" w:hAnsi="Times New Roman" w:eastAsia="宋体" w:cs="Times New Roman"/>
          <w:szCs w:val="15"/>
        </w:rPr>
      </w:pPr>
      <w:r>
        <w:rPr>
          <w:rFonts w:ascii="Times New Roman" w:hAnsi="Times New Roman" w:eastAsia="宋体" w:cs="Times New Roman"/>
          <w:szCs w:val="15"/>
        </w:rPr>
        <w:br w:type="page"/>
      </w:r>
    </w:p>
    <w:p>
      <w:pPr>
        <w:snapToGrid w:val="0"/>
        <w:spacing w:after="312" w:afterLines="100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为加快审评进度，FDA强烈鼓励电子副本申请。参见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医疗器械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电子副本计划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（</w:t>
      </w:r>
      <w:r>
        <w:fldChar w:fldCharType="begin"/>
      </w:r>
      <w:r>
        <w:instrText xml:space="preserve"> HYPERLINK "http://www.fda.gov/downloads/MedicalDevices/DeviceRegulationandGuidance/GuidanceDocu%20ments/UCM313794.pdf" </w:instrText>
      </w:r>
      <w:r>
        <w:fldChar w:fldCharType="separate"/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t>http://www.fda.gov/downloads/MedicalDevices/DeviceRegulationandGuidance/GuidanceDocu ments/UCM313794.pdf</w:t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t>）。</w:t>
      </w:r>
    </w:p>
    <w:p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FDA将为该申请指定一个独立的CLIA记录（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CR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）编号，通知申办者跟踪编号，并尝试在收到请求后30天内通知申办者关于分类的信息。FDA将在公共CLIA数据库中公布该分类，并注明CLIA记录（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CR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）编号。</w:t>
      </w:r>
    </w:p>
    <w:p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此外，FDA建议，如果已经批准或许可的器械名称发生变更，或制造商或分销商的名称发生变更，制造商应按照上述地址向CDRH文件控制中心提交更新的标签和CLIA分类请求，以确保其在公共数据库中的分类试验记录准确无误。当针对多个</w:t>
      </w:r>
      <w:r>
        <w:rPr>
          <w:rFonts w:hint="eastAsia" w:ascii="Times New Roman" w:hAnsi="Times New Roman" w:eastAsia="宋体" w:cs="Times New Roman"/>
          <w:sz w:val="24"/>
          <w:szCs w:val="24"/>
        </w:rPr>
        <w:t>IVD</w:t>
      </w:r>
      <w:r>
        <w:rPr>
          <w:rFonts w:ascii="Times New Roman" w:hAnsi="Times New Roman" w:eastAsia="宋体" w:cs="Times New Roman"/>
          <w:sz w:val="24"/>
          <w:szCs w:val="24"/>
        </w:rPr>
        <w:t>试验的名称变更进行CLIA分类请求时（例如，制造商或分销商器械名称变更）时，FDA建议使用电子表格（例如Excel）形式提交该信息。申办者可以使用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导出Excel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功能，从CLIA数据库下载当前分类试验的信息，在电子表格中的当前试验系统名称后新增一列，并在该列中输入新的试验系统名称。该电子表格可作为电子副本的一部分提供给CDRH。该申请应参考附信中提及的一份已获许可的上市申请，以加快处理新的分类信函。在收到因制造商或分销商名称变更而提出的分类请求后，FDA将为该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指定一个独立的CLIA记录（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CR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）编号，并将该跟踪编号通知申办者，且尝试在发出该请求后30天内通知申办者关于分类的信息。FDA将在公共CLIA数据库中公布该分类，并注明CLIA记录（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CR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）编号。</w:t>
      </w:r>
    </w:p>
    <w:p>
      <w:pPr>
        <w:tabs>
          <w:tab w:val="left" w:pos="644"/>
        </w:tabs>
        <w:snapToGrid w:val="0"/>
        <w:spacing w:after="312" w:afterLines="100"/>
        <w:ind w:left="646" w:hanging="646" w:hangingChars="201"/>
        <w:outlineLvl w:val="0"/>
        <w:rPr>
          <w:rFonts w:ascii="Times New Roman" w:hAnsi="Times New Roman" w:eastAsia="宋体" w:cs="Times New Roman"/>
          <w:b/>
          <w:sz w:val="32"/>
          <w:szCs w:val="32"/>
        </w:rPr>
      </w:pPr>
      <w:bookmarkStart w:id="9" w:name="_Toc97319468"/>
      <w:bookmarkStart w:id="10" w:name="_Toc98768930"/>
      <w:r>
        <w:rPr>
          <w:rFonts w:ascii="Times New Roman" w:hAnsi="Times New Roman" w:eastAsia="宋体" w:cs="Times New Roman"/>
          <w:b/>
          <w:bCs/>
          <w:sz w:val="32"/>
          <w:szCs w:val="32"/>
        </w:rPr>
        <w:t>III.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ab/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CLIA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豁免方案和申请</w:t>
      </w:r>
      <w:bookmarkEnd w:id="9"/>
      <w:bookmarkEnd w:id="10"/>
    </w:p>
    <w:p>
      <w:pPr>
        <w:snapToGrid w:val="0"/>
        <w:spacing w:after="312" w:afterLines="100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如果器械简单易用，且申办者在预期使用中心进行的研究中证明该试验是准确的，并且造成错误结果的风险不大，那么，最初归类为中等复杂程度的试验可能符合CLIA豁免的法定标准。如果被归类为中等复杂程度的试验的申办者认为其试验符合CLIA豁免的法定标准，则该试验的申办者可通过提交CLIA豁免申请，请求将该试验系统归类为豁免。此类申请应按上述地址邮寄至CDRH文件控制中心（DCC），并注明是CLIA豁免申请。请注意，所有此类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均应直接提交给CDRH，而不是负责市场审评的FDA中心。为加快审评进度，FDA强烈鼓励根据指南文件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医疗器械申请电子副本计划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提交有效的电子副本。（</w:t>
      </w:r>
      <w:r>
        <w:fldChar w:fldCharType="begin"/>
      </w:r>
      <w:r>
        <w:instrText xml:space="preserve"> HYPERLINK "http://www.fda.gov/downloads/MedicalDevices/DeviceRegulationandGuidance/GuidanceDocuments/UCM313794.pdf" </w:instrText>
      </w:r>
      <w:r>
        <w:fldChar w:fldCharType="separate"/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t>http://www.fda.gov/downloads/MedicalDevices/DeviceRegulationandGuidance/GuidanceDocuments/UCM313794.pdf</w:t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snapToGrid w:val="0"/>
        <w:spacing w:after="312" w:afterLines="100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关于CLIA豁免申请，应参考已许可/批准的上市申请（例如510（k）、</w:t>
      </w:r>
      <w:r>
        <w:rPr>
          <w:rFonts w:hint="eastAsia" w:ascii="Times New Roman" w:hAnsi="Times New Roman" w:eastAsia="宋体" w:cs="Times New Roman"/>
          <w:sz w:val="24"/>
          <w:szCs w:val="24"/>
        </w:rPr>
        <w:t>PMA</w:t>
      </w:r>
      <w:r>
        <w:rPr>
          <w:rFonts w:ascii="Times New Roman" w:hAnsi="Times New Roman" w:eastAsia="宋体" w:cs="Times New Roman"/>
          <w:sz w:val="24"/>
          <w:szCs w:val="24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</w:rPr>
        <w:t>BLA</w:t>
      </w:r>
      <w:r>
        <w:rPr>
          <w:rFonts w:ascii="Times New Roman" w:hAnsi="Times New Roman" w:eastAsia="宋体" w:cs="Times New Roman"/>
          <w:sz w:val="24"/>
          <w:szCs w:val="24"/>
        </w:rPr>
        <w:t>）。如MDUFA III和MDUFA IV承诺书所述，申请</w:t>
      </w:r>
      <w:r>
        <w:rPr>
          <w:rFonts w:hint="eastAsia" w:ascii="Times New Roman" w:hAnsi="Times New Roman" w:eastAsia="宋体" w:cs="Times New Roman"/>
          <w:sz w:val="24"/>
          <w:szCs w:val="24"/>
        </w:rPr>
        <w:t>人</w:t>
      </w:r>
      <w:r>
        <w:rPr>
          <w:rFonts w:ascii="Times New Roman" w:hAnsi="Times New Roman" w:eastAsia="宋体" w:cs="Times New Roman"/>
          <w:sz w:val="24"/>
          <w:szCs w:val="24"/>
        </w:rPr>
        <w:t>应通知FDA其计划通过预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方式提交510（k）和CLIA豁免的联合申请。对于在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时正在进行上市前审评的器械，不接受CLIA豁免申请。510（k）和CLIA豁免的联合申请应在</w:t>
      </w:r>
      <w:r>
        <w:rPr>
          <w:rFonts w:hint="eastAsia" w:ascii="Times New Roman" w:hAnsi="Times New Roman" w:eastAsia="宋体" w:cs="Times New Roman"/>
          <w:i/>
          <w:sz w:val="24"/>
          <w:szCs w:val="24"/>
        </w:rPr>
        <w:t>单独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中纳入完整的510（k）和豁免申请，并且须遵守指南文件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拒绝</w:t>
      </w:r>
      <w:r>
        <w:rPr>
          <w:rFonts w:hint="eastAsia" w:ascii="Times New Roman" w:hAnsi="Times New Roman" w:eastAsia="宋体" w:cs="Times New Roman"/>
          <w:sz w:val="24"/>
          <w:szCs w:val="24"/>
        </w:rPr>
        <w:t>验收</w:t>
      </w:r>
      <w:r>
        <w:rPr>
          <w:rFonts w:ascii="Times New Roman" w:hAnsi="Times New Roman" w:eastAsia="宋体" w:cs="Times New Roman"/>
          <w:sz w:val="24"/>
          <w:szCs w:val="24"/>
        </w:rPr>
        <w:t>510（k）政策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中概述的510（k）拒绝</w:t>
      </w:r>
      <w:r>
        <w:rPr>
          <w:rFonts w:hint="eastAsia" w:ascii="Times New Roman" w:hAnsi="Times New Roman" w:eastAsia="宋体" w:cs="Times New Roman"/>
          <w:sz w:val="24"/>
          <w:szCs w:val="24"/>
        </w:rPr>
        <w:t>验收</w:t>
      </w:r>
      <w:r>
        <w:rPr>
          <w:rFonts w:ascii="Times New Roman" w:hAnsi="Times New Roman" w:eastAsia="宋体" w:cs="Times New Roman"/>
          <w:sz w:val="24"/>
          <w:szCs w:val="24"/>
        </w:rPr>
        <w:t>（RTA）政策。（</w:t>
      </w:r>
      <w:r>
        <w:fldChar w:fldCharType="begin"/>
      </w:r>
      <w:r>
        <w:instrText xml:space="preserve"> HYPERLINK "http://www.fda.gov/downloads/MedicalDevices/DeviceRegulationandGuidance/GuidanceDocuments/UCM315014.pdf" </w:instrText>
      </w:r>
      <w:r>
        <w:fldChar w:fldCharType="separate"/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t>http://www.fda.gov/downloads/MedicalDevices/DeviceRegulationandGuidance/GuidanceDocuments/UCM315014.pdf</w:t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  <w:r>
        <w:rPr>
          <w:rFonts w:ascii="Times New Roman" w:hAnsi="Times New Roman" w:eastAsia="宋体" w:cs="Times New Roman"/>
          <w:sz w:val="24"/>
          <w:szCs w:val="24"/>
        </w:rPr>
        <w:t>FDA/CDRH将指定一个独立的CLIA豁免申请（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CW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）跟踪编号，并通知申办者与其申请有关的跟踪号码。</w:t>
      </w:r>
      <w:r>
        <w:rPr>
          <w:rFonts w:ascii="Times New Roman" w:hAnsi="Times New Roman" w:eastAsia="宋体" w:cs="Times New Roman"/>
          <w:sz w:val="24"/>
          <w:szCs w:val="24"/>
        </w:rPr>
        <w:br w:type="page"/>
      </w:r>
    </w:p>
    <w:p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在MDUFA III承诺书中，2013财年至2017财年提交的CLIA豁免申请（MDUFA III）的绩效目标定义如下。</w:t>
      </w:r>
    </w:p>
    <w:tbl>
      <w:tblPr>
        <w:tblStyle w:val="11"/>
        <w:tblW w:w="0" w:type="auto"/>
        <w:tblInd w:w="561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3465"/>
        <w:gridCol w:w="1701"/>
        <w:gridCol w:w="2268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3465" w:type="dxa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15"/>
              </w:rPr>
              <w:t>行动</w:t>
            </w: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审评时间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（FDA天数）</w:t>
            </w:r>
          </w:p>
        </w:tc>
        <w:tc>
          <w:tcPr>
            <w:tcW w:w="2268" w:type="dxa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2013财年至2017财年的绩效水平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3465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实质性互动</w:t>
            </w: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90</w:t>
            </w:r>
          </w:p>
        </w:tc>
        <w:tc>
          <w:tcPr>
            <w:tcW w:w="2268" w:type="dxa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95%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3465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MDUFA决定</w:t>
            </w: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</w:p>
        </w:tc>
        <w:tc>
          <w:tcPr>
            <w:tcW w:w="2268" w:type="dxa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3465" w:type="dxa"/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无专家小组</w:t>
            </w: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180</w:t>
            </w:r>
          </w:p>
        </w:tc>
        <w:tc>
          <w:tcPr>
            <w:tcW w:w="2268" w:type="dxa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95%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3465" w:type="dxa"/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有专家小组</w:t>
            </w: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330</w:t>
            </w:r>
          </w:p>
        </w:tc>
        <w:tc>
          <w:tcPr>
            <w:tcW w:w="2268" w:type="dxa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95%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3465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510（k）和CLIA豁免的联合申请</w:t>
            </w:r>
            <w:r>
              <w:rPr>
                <w:rStyle w:val="15"/>
                <w:rFonts w:ascii="Times New Roman" w:hAnsi="Times New Roman" w:eastAsia="宋体" w:cs="Times New Roman"/>
                <w:szCs w:val="15"/>
              </w:rPr>
              <w:footnoteReference w:id="4"/>
            </w: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210</w:t>
            </w:r>
          </w:p>
        </w:tc>
        <w:tc>
          <w:tcPr>
            <w:tcW w:w="2268" w:type="dxa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90%</w:t>
            </w:r>
          </w:p>
        </w:tc>
      </w:tr>
    </w:tbl>
    <w:p>
      <w:pPr>
        <w:snapToGrid w:val="0"/>
        <w:spacing w:before="312" w:beforeLines="100"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在MDUFA IV承诺书中，2018财年至2022财年提交的CLIA豁免申请（MDUFA IV）的绩效目标定义如下。</w:t>
      </w:r>
      <w:r>
        <w:rPr>
          <w:rStyle w:val="15"/>
          <w:rFonts w:ascii="Times New Roman" w:hAnsi="Times New Roman" w:eastAsia="宋体" w:cs="Times New Roman"/>
          <w:sz w:val="24"/>
          <w:szCs w:val="24"/>
        </w:rPr>
        <w:footnoteReference w:id="5"/>
      </w:r>
    </w:p>
    <w:tbl>
      <w:tblPr>
        <w:tblStyle w:val="11"/>
        <w:tblW w:w="0" w:type="auto"/>
        <w:tblInd w:w="561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3465"/>
        <w:gridCol w:w="1701"/>
        <w:gridCol w:w="2268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3465" w:type="dxa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15"/>
              </w:rPr>
              <w:t>行动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审评时间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（FDA天数）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2018财年至2022财年的绩效水平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3465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实质性互动</w:t>
            </w: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90</w:t>
            </w:r>
          </w:p>
        </w:tc>
        <w:tc>
          <w:tcPr>
            <w:tcW w:w="2268" w:type="dxa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90%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3465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MDUFA决定</w:t>
            </w: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</w:p>
        </w:tc>
        <w:tc>
          <w:tcPr>
            <w:tcW w:w="2268" w:type="dxa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3465" w:type="dxa"/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无专家小组</w:t>
            </w: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150</w:t>
            </w:r>
          </w:p>
        </w:tc>
        <w:tc>
          <w:tcPr>
            <w:tcW w:w="2268" w:type="dxa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90%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3465" w:type="dxa"/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有专家小组</w:t>
            </w: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320</w:t>
            </w:r>
          </w:p>
        </w:tc>
        <w:tc>
          <w:tcPr>
            <w:tcW w:w="2268" w:type="dxa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90%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3465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（510（k）和CLIA豁免联合申请）</w:t>
            </w: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180</w:t>
            </w:r>
          </w:p>
        </w:tc>
        <w:tc>
          <w:tcPr>
            <w:tcW w:w="2268" w:type="dxa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90%</w:t>
            </w:r>
          </w:p>
        </w:tc>
      </w:tr>
    </w:tbl>
    <w:p>
      <w:pPr>
        <w:snapToGrid w:val="0"/>
        <w:spacing w:after="312" w:afterLines="100"/>
        <w:rPr>
          <w:rFonts w:ascii="Times New Roman" w:hAnsi="Times New Roman" w:eastAsia="宋体" w:cs="Times New Roman"/>
          <w:szCs w:val="15"/>
        </w:rPr>
      </w:pPr>
    </w:p>
    <w:p>
      <w:pPr>
        <w:widowControl/>
        <w:snapToGrid w:val="0"/>
        <w:spacing w:after="312" w:afterLines="100"/>
        <w:rPr>
          <w:rFonts w:ascii="Times New Roman" w:hAnsi="Times New Roman" w:eastAsia="宋体" w:cs="Times New Roman"/>
          <w:szCs w:val="15"/>
        </w:rPr>
      </w:pPr>
      <w:r>
        <w:rPr>
          <w:rFonts w:ascii="Times New Roman" w:hAnsi="Times New Roman" w:eastAsia="宋体" w:cs="Times New Roman"/>
          <w:szCs w:val="15"/>
        </w:rPr>
        <w:br w:type="page"/>
      </w:r>
    </w:p>
    <w:p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实质性互动可能指请求提供</w:t>
      </w:r>
      <w:r>
        <w:rPr>
          <w:rFonts w:hint="eastAsia" w:ascii="Times New Roman" w:hAnsi="Times New Roman" w:eastAsia="宋体" w:cs="Times New Roman"/>
          <w:sz w:val="24"/>
          <w:szCs w:val="24"/>
        </w:rPr>
        <w:t>额外信息</w:t>
      </w:r>
      <w:r>
        <w:rPr>
          <w:rFonts w:ascii="Times New Roman" w:hAnsi="Times New Roman" w:eastAsia="宋体" w:cs="Times New Roman"/>
          <w:sz w:val="24"/>
          <w:szCs w:val="24"/>
        </w:rPr>
        <w:t>（通过信函或电子邮件）、通知审评将以互动方式进行（通过电子邮件）或通知豁免批准（通过正式信函）。MDUFA决定可能是一份豁免批准通知（通过正式信函）、豁免拒绝通知（通过正式信函）或由申办者撤回。实质性互动和MDUFA决定的目标是以FDA天数计算的，在MDUFA III和MDUFA IV承诺书中，FDA天数被定义为</w:t>
      </w:r>
      <w:r>
        <w:rPr>
          <w:rFonts w:hint="eastAsia" w:ascii="Times New Roman" w:hAnsi="Times New Roman" w:eastAsia="宋体" w:cs="Times New Roman"/>
          <w:sz w:val="24"/>
          <w:szCs w:val="24"/>
        </w:rPr>
        <w:t>FDA对</w:t>
      </w:r>
      <w:r>
        <w:rPr>
          <w:rFonts w:ascii="Times New Roman" w:hAnsi="Times New Roman" w:eastAsia="宋体" w:cs="Times New Roman"/>
          <w:sz w:val="24"/>
          <w:szCs w:val="24"/>
        </w:rPr>
        <w:t>已</w:t>
      </w:r>
      <w:r>
        <w:rPr>
          <w:rFonts w:hint="eastAsia" w:ascii="Times New Roman" w:hAnsi="Times New Roman" w:eastAsia="宋体" w:cs="Times New Roman"/>
          <w:sz w:val="24"/>
          <w:szCs w:val="24"/>
        </w:rPr>
        <w:t>验收</w:t>
      </w:r>
      <w:r>
        <w:rPr>
          <w:rFonts w:ascii="Times New Roman" w:hAnsi="Times New Roman" w:eastAsia="宋体" w:cs="Times New Roman"/>
          <w:sz w:val="24"/>
          <w:szCs w:val="24"/>
        </w:rPr>
        <w:t>的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进行审评的日历</w:t>
      </w:r>
      <w:r>
        <w:rPr>
          <w:rFonts w:hint="eastAsia" w:ascii="Times New Roman" w:hAnsi="Times New Roman" w:eastAsia="宋体" w:cs="Times New Roman"/>
          <w:sz w:val="24"/>
          <w:szCs w:val="24"/>
        </w:rPr>
        <w:t>日</w:t>
      </w:r>
      <w:r>
        <w:rPr>
          <w:rFonts w:ascii="Times New Roman" w:hAnsi="Times New Roman" w:eastAsia="宋体" w:cs="Times New Roman"/>
          <w:sz w:val="24"/>
          <w:szCs w:val="24"/>
        </w:rPr>
        <w:t>。FDA天数从收到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之日开始计算。</w:t>
      </w:r>
    </w:p>
    <w:p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对于在适用的FDA天数目标后20天内未达成决定的所有CLIA豁免申请和联合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，FDA将向申请</w:t>
      </w:r>
      <w:r>
        <w:rPr>
          <w:rFonts w:hint="eastAsia" w:ascii="Times New Roman" w:hAnsi="Times New Roman" w:eastAsia="宋体" w:cs="Times New Roman"/>
          <w:sz w:val="24"/>
          <w:szCs w:val="24"/>
        </w:rPr>
        <w:t>人</w:t>
      </w:r>
      <w:r>
        <w:rPr>
          <w:rFonts w:ascii="Times New Roman" w:hAnsi="Times New Roman" w:eastAsia="宋体" w:cs="Times New Roman"/>
          <w:sz w:val="24"/>
          <w:szCs w:val="24"/>
        </w:rPr>
        <w:t>提供书面反馈，以便在会议或电话会议上讨论，包括阻止FDA</w:t>
      </w:r>
      <w:r>
        <w:rPr>
          <w:rFonts w:hint="eastAsia" w:ascii="Times New Roman" w:hAnsi="Times New Roman" w:eastAsia="宋体" w:cs="Times New Roman"/>
          <w:sz w:val="24"/>
          <w:szCs w:val="24"/>
        </w:rPr>
        <w:t>作</w:t>
      </w:r>
      <w:r>
        <w:rPr>
          <w:rFonts w:ascii="Times New Roman" w:hAnsi="Times New Roman" w:eastAsia="宋体" w:cs="Times New Roman"/>
          <w:sz w:val="24"/>
          <w:szCs w:val="24"/>
        </w:rPr>
        <w:t>出决定的、与申请有关的所有未决问题。所提供的信息将反映相关管理的意见和批准，并包括FDA和/或申请</w:t>
      </w:r>
      <w:r>
        <w:rPr>
          <w:rFonts w:hint="eastAsia" w:ascii="Times New Roman" w:hAnsi="Times New Roman" w:eastAsia="宋体" w:cs="Times New Roman"/>
          <w:sz w:val="24"/>
          <w:szCs w:val="24"/>
        </w:rPr>
        <w:t>人</w:t>
      </w:r>
      <w:r>
        <w:rPr>
          <w:rFonts w:ascii="Times New Roman" w:hAnsi="Times New Roman" w:eastAsia="宋体" w:cs="Times New Roman"/>
          <w:sz w:val="24"/>
          <w:szCs w:val="24"/>
        </w:rPr>
        <w:t>（视情况而定）的行动项目，以及各方完成各自任务的预计完成日期。应该通过互动式审评来解决问题。如果所有未决问题都通过书面信函进行充分说明，则FDA和申请</w:t>
      </w:r>
      <w:r>
        <w:rPr>
          <w:rFonts w:hint="eastAsia" w:ascii="Times New Roman" w:hAnsi="Times New Roman" w:eastAsia="宋体" w:cs="Times New Roman"/>
          <w:sz w:val="24"/>
          <w:szCs w:val="24"/>
        </w:rPr>
        <w:t>人</w:t>
      </w:r>
      <w:r>
        <w:rPr>
          <w:rFonts w:ascii="Times New Roman" w:hAnsi="Times New Roman" w:eastAsia="宋体" w:cs="Times New Roman"/>
          <w:sz w:val="24"/>
          <w:szCs w:val="24"/>
        </w:rPr>
        <w:t>可同意无需召开会议或电话会议。</w:t>
      </w:r>
    </w:p>
    <w:p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在收到豁免批准通知后，FDA将在公共CLIA数据库中发布豁免分类信息，并按照现行惯例参考上市前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编号。</w:t>
      </w:r>
    </w:p>
    <w:p>
      <w:pPr>
        <w:snapToGrid w:val="0"/>
        <w:spacing w:after="312" w:afterLines="100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欲了解更多关于支持CLIA豁免申请的数据的信息，请参考题为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1988年临床实验室改进修正案（CLIA）体外诊断器械制造商豁免申请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的指南（</w:t>
      </w:r>
      <w:r>
        <w:fldChar w:fldCharType="begin"/>
      </w:r>
      <w:r>
        <w:instrText xml:space="preserve"> HYPERLINK "http://www.fda.gov/medicaldevices/deviceregulationandguidance/guidancedocuments/ucm079632.htm" </w:instrText>
      </w:r>
      <w:r>
        <w:fldChar w:fldCharType="separate"/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t>http://www.fda.gov/medicaldevices/deviceregulationandguidance/guidancedocuments/ucm079632.htm</w:t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制造商可以选择提交其规划的方案或研究设计，以支持CLIA豁免，从而在进行研究之前获得FDA的反馈。此类规划的方案或研究设计应提交至上述地址的CDRH文件控制中心（DCC），并确定为预申请。</w:t>
      </w:r>
    </w:p>
    <w:p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对于考虑在510（k）或510（k）和CLIA豁免联合申请之后提出CLIA豁免申请的制造商，FDA鼓励在预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中讨论510（k）和CLIA豁免过程，包括讨论510（k）和CLIA豁免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的适当参考/比较标准。</w:t>
      </w:r>
    </w:p>
    <w:p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此外，FDA鼓励那些考虑修改先前申请豁免的试验系统的制造商联系FDA，讨论规划的修改内容，并研究设计和分析，以验证修改后的试验系统符合CLIA豁免的法定标准。</w:t>
      </w:r>
    </w:p>
    <w:p>
      <w:pPr>
        <w:snapToGrid w:val="0"/>
        <w:spacing w:after="312" w:afterLines="100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欲了解预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的更多信息，请参考指南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医疗器械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反馈请求：预申</w:t>
      </w:r>
      <w:r>
        <w:rPr>
          <w:rFonts w:hint="eastAsia" w:ascii="Times New Roman" w:hAnsi="Times New Roman" w:eastAsia="宋体" w:cs="Times New Roman"/>
          <w:sz w:val="24"/>
          <w:szCs w:val="24"/>
        </w:rPr>
        <w:t>请</w:t>
      </w:r>
      <w:r>
        <w:rPr>
          <w:rFonts w:ascii="Times New Roman" w:hAnsi="Times New Roman" w:eastAsia="宋体" w:cs="Times New Roman"/>
          <w:sz w:val="24"/>
          <w:szCs w:val="24"/>
        </w:rPr>
        <w:t>计划和与食品药品监督管理局工作人员的会议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（</w:t>
      </w:r>
      <w:r>
        <w:fldChar w:fldCharType="begin"/>
      </w:r>
      <w:r>
        <w:instrText xml:space="preserve"> HYPERLINK "http://www.fda.gov/downloads/MedicalDevices/DeviceRegulationandGuidance/GuidanceDocuments/UCM311176.pdf" </w:instrText>
      </w:r>
      <w:r>
        <w:fldChar w:fldCharType="separate"/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t>http://www.fda.gov/downloads/MedicalDevices/DeviceRegulationandGuidance/GuidanceDocuments/UCM311176.pdf</w:t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t>）。CLIA豁免申请预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应包括授予上市授权的上市前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跟踪编号（例如，原始510（k）或</w:t>
      </w:r>
      <w:r>
        <w:rPr>
          <w:rFonts w:hint="eastAsia" w:ascii="Times New Roman" w:hAnsi="Times New Roman" w:eastAsia="宋体" w:cs="Times New Roman"/>
          <w:sz w:val="24"/>
          <w:szCs w:val="24"/>
        </w:rPr>
        <w:t>PMA</w:t>
      </w:r>
      <w:r>
        <w:rPr>
          <w:rFonts w:ascii="Times New Roman" w:hAnsi="Times New Roman" w:eastAsia="宋体" w:cs="Times New Roman"/>
          <w:sz w:val="24"/>
          <w:szCs w:val="24"/>
        </w:rPr>
        <w:t>编号）、方案/研究设计和有效的电子副本。</w:t>
      </w:r>
    </w:p>
    <w:p>
      <w:pPr>
        <w:widowControl/>
        <w:snapToGrid w:val="0"/>
        <w:spacing w:after="312" w:afterLines="100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br w:type="page"/>
      </w:r>
    </w:p>
    <w:p>
      <w:pPr>
        <w:tabs>
          <w:tab w:val="left" w:pos="644"/>
        </w:tabs>
        <w:snapToGrid w:val="0"/>
        <w:spacing w:after="312" w:afterLines="100"/>
        <w:ind w:left="646" w:hanging="646" w:hangingChars="201"/>
        <w:outlineLvl w:val="0"/>
        <w:rPr>
          <w:rFonts w:ascii="Times New Roman" w:hAnsi="Times New Roman" w:eastAsia="宋体" w:cs="Times New Roman"/>
          <w:b/>
          <w:sz w:val="32"/>
          <w:szCs w:val="32"/>
        </w:rPr>
      </w:pPr>
      <w:bookmarkStart w:id="11" w:name="_Toc98768931"/>
      <w:bookmarkStart w:id="12" w:name="_Toc97319469"/>
      <w:r>
        <w:rPr>
          <w:rFonts w:ascii="Times New Roman" w:hAnsi="Times New Roman" w:eastAsia="宋体" w:cs="Times New Roman"/>
          <w:b/>
          <w:bCs/>
          <w:sz w:val="32"/>
          <w:szCs w:val="32"/>
        </w:rPr>
        <w:t>IV.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ab/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1995年《文书削减法案》</w:t>
      </w:r>
      <w:bookmarkEnd w:id="11"/>
      <w:bookmarkEnd w:id="12"/>
    </w:p>
    <w:p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本指南包含信息收集条款。根据1995年《文书削减法案》（44 U.S.C. 3501-3520）规定，此类条款需经由美国行政管理和预算</w:t>
      </w:r>
      <w:r>
        <w:rPr>
          <w:rFonts w:hint="eastAsia" w:ascii="Times New Roman" w:hAnsi="Times New Roman" w:eastAsia="宋体" w:cs="Times New Roman"/>
          <w:sz w:val="24"/>
          <w:szCs w:val="24"/>
        </w:rPr>
        <w:t>办公室</w:t>
      </w:r>
      <w:r>
        <w:rPr>
          <w:rFonts w:ascii="Times New Roman" w:hAnsi="Times New Roman" w:eastAsia="宋体" w:cs="Times New Roman"/>
          <w:sz w:val="24"/>
          <w:szCs w:val="24"/>
        </w:rPr>
        <w:t>（OMB）审评。</w:t>
      </w:r>
    </w:p>
    <w:p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完成此类信息收集工作所需的时间估计为每次回复平均一小时，包括审评说明、搜索现有数据源、收集所需数据以及完成和审评信息收集工作所需的时间。将有关此工作估计的意见或减轻此工作的建议发送至：</w:t>
      </w:r>
    </w:p>
    <w:p>
      <w:pPr>
        <w:snapToGrid w:val="0"/>
        <w:spacing w:after="156" w:afterLines="50"/>
        <w:ind w:left="567" w:leftChars="27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美国食品药品监督管理局，</w:t>
      </w:r>
    </w:p>
    <w:p>
      <w:pPr>
        <w:snapToGrid w:val="0"/>
        <w:spacing w:after="156" w:afterLines="50"/>
        <w:ind w:left="567" w:leftChars="27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运营办公室，</w:t>
      </w:r>
    </w:p>
    <w:p>
      <w:pPr>
        <w:snapToGrid w:val="0"/>
        <w:spacing w:after="156" w:afterLines="50"/>
        <w:ind w:left="567" w:leftChars="27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FDA PRA工作人员，</w:t>
      </w:r>
    </w:p>
    <w:p>
      <w:pPr>
        <w:snapToGrid w:val="0"/>
        <w:spacing w:after="312" w:afterLines="100"/>
        <w:ind w:left="567" w:leftChars="270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"mailto:PRAStaff@fda.hhs.gov" </w:instrText>
      </w:r>
      <w:r>
        <w:fldChar w:fldCharType="separate"/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t>PRAStaff@fda.hhs.gov</w:t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本指南还涉及FDA法规中既往批准的信息收集。根据OMB控制编号0910-0485，21 CFR 第801部分中的信息收集已获得批准；根据OMB控制编号0910-0120，21 CFR 第807部分E子部分中的信息收集已获得批准；根据OMB控制编号0910-0598，CLIA豁免申请的信息收集已获得批准。</w:t>
      </w:r>
    </w:p>
    <w:p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除非显示当前有效的OMB控制编号，否则</w:t>
      </w:r>
      <w:r>
        <w:rPr>
          <w:rFonts w:hint="eastAsia" w:ascii="Times New Roman" w:hAnsi="Times New Roman" w:eastAsia="宋体" w:cs="Times New Roman"/>
          <w:sz w:val="24"/>
          <w:szCs w:val="24"/>
        </w:rPr>
        <w:t>F</w:t>
      </w:r>
      <w:r>
        <w:rPr>
          <w:rFonts w:ascii="Times New Roman" w:hAnsi="Times New Roman" w:eastAsia="宋体" w:cs="Times New Roman"/>
          <w:sz w:val="24"/>
          <w:szCs w:val="24"/>
        </w:rPr>
        <w:t>DA不得进行或发起信息收集，</w:t>
      </w:r>
      <w:r>
        <w:rPr>
          <w:rFonts w:hint="eastAsia" w:ascii="Times New Roman" w:hAnsi="Times New Roman" w:eastAsia="宋体" w:cs="Times New Roman"/>
          <w:sz w:val="24"/>
          <w:szCs w:val="24"/>
        </w:rPr>
        <w:t>也不得要求</w:t>
      </w:r>
      <w:r>
        <w:rPr>
          <w:rFonts w:ascii="Times New Roman" w:hAnsi="Times New Roman" w:eastAsia="宋体" w:cs="Times New Roman"/>
          <w:sz w:val="24"/>
          <w:szCs w:val="24"/>
        </w:rPr>
        <w:t>个人</w:t>
      </w:r>
      <w:r>
        <w:rPr>
          <w:rFonts w:hint="eastAsia" w:ascii="Times New Roman" w:hAnsi="Times New Roman" w:eastAsia="宋体" w:cs="Times New Roman"/>
          <w:sz w:val="24"/>
          <w:szCs w:val="24"/>
        </w:rPr>
        <w:t>针对信息收集给出</w:t>
      </w:r>
      <w:r>
        <w:rPr>
          <w:rFonts w:ascii="Times New Roman" w:hAnsi="Times New Roman" w:eastAsia="宋体" w:cs="Times New Roman"/>
          <w:sz w:val="24"/>
          <w:szCs w:val="24"/>
        </w:rPr>
        <w:t>回应。本次信息收集的OMB控制编号为0910-0607（失效日期</w:t>
      </w:r>
      <w:r>
        <w:rPr>
          <w:rFonts w:hint="eastAsia" w:ascii="Times New Roman" w:hAnsi="Times New Roman" w:eastAsia="宋体" w:cs="Times New Roman"/>
          <w:sz w:val="24"/>
          <w:szCs w:val="24"/>
        </w:rPr>
        <w:t>：</w:t>
      </w:r>
      <w:r>
        <w:rPr>
          <w:rFonts w:ascii="Times New Roman" w:hAnsi="Times New Roman" w:eastAsia="宋体" w:cs="Times New Roman"/>
          <w:sz w:val="24"/>
          <w:szCs w:val="24"/>
        </w:rPr>
        <w:t>2019年12月31日）。</w:t>
      </w:r>
    </w:p>
    <w:sectPr>
      <w:footerReference r:id="rId5" w:type="default"/>
      <w:pgSz w:w="11906" w:h="16838"/>
      <w:pgMar w:top="1134" w:right="1134" w:bottom="1134" w:left="1418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Times New Roman" w:hAnsi="Times New Roman" w:eastAsia="宋体" w:cs="Times New Roman"/>
        <w:sz w:val="21"/>
        <w:szCs w:val="21"/>
      </w:rPr>
    </w:pPr>
  </w:p>
  <w:p>
    <w:pPr>
      <w:pStyle w:val="5"/>
      <w:jc w:val="right"/>
      <w:rPr>
        <w:rFonts w:ascii="Times New Roman" w:hAnsi="Times New Roman" w:eastAsia="宋体" w:cs="Times New Roman"/>
        <w:sz w:val="21"/>
        <w:szCs w:val="21"/>
      </w:rPr>
    </w:pPr>
    <w:r>
      <w:rPr>
        <w:rFonts w:ascii="Times New Roman" w:hAnsi="Times New Roman" w:eastAsia="宋体" w:cs="Times New Roman"/>
        <w:sz w:val="21"/>
        <w:szCs w:val="21"/>
      </w:rPr>
      <w:fldChar w:fldCharType="begin"/>
    </w:r>
    <w:r>
      <w:rPr>
        <w:rFonts w:ascii="Times New Roman" w:hAnsi="Times New Roman" w:eastAsia="宋体" w:cs="Times New Roman"/>
        <w:sz w:val="21"/>
        <w:szCs w:val="21"/>
      </w:rPr>
      <w:instrText xml:space="preserve"> PAGE   \* MERGEFORMAT </w:instrText>
    </w:r>
    <w:r>
      <w:rPr>
        <w:rFonts w:ascii="Times New Roman" w:hAnsi="Times New Roman" w:eastAsia="宋体" w:cs="Times New Roman"/>
        <w:sz w:val="21"/>
        <w:szCs w:val="21"/>
      </w:rPr>
      <w:fldChar w:fldCharType="separate"/>
    </w:r>
    <w:r>
      <w:rPr>
        <w:rFonts w:ascii="Times New Roman" w:hAnsi="Times New Roman" w:eastAsia="宋体" w:cs="Times New Roman"/>
        <w:sz w:val="21"/>
        <w:szCs w:val="21"/>
      </w:rPr>
      <w:t>10</w:t>
    </w:r>
    <w:r>
      <w:rPr>
        <w:rFonts w:ascii="Times New Roman" w:hAnsi="Times New Roman" w:eastAsia="宋体" w:cs="Times New Roman"/>
        <w:sz w:val="21"/>
        <w:szCs w:val="21"/>
      </w:rPr>
      <w:fldChar w:fldCharType="end"/>
    </w:r>
  </w:p>
  <w:p>
    <w:pPr>
      <w:pStyle w:val="5"/>
      <w:jc w:val="right"/>
      <w:rPr>
        <w:rFonts w:ascii="Times New Roman" w:hAnsi="Times New Roman" w:eastAsia="宋体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2">
    <w:p>
      <w:r>
        <w:separator/>
      </w:r>
    </w:p>
  </w:footnote>
  <w:footnote w:type="continuationSeparator" w:id="13">
    <w:p>
      <w:r>
        <w:continuationSeparator/>
      </w:r>
    </w:p>
  </w:footnote>
  <w:footnote w:id="0">
    <w:p>
      <w:pPr>
        <w:pStyle w:val="8"/>
        <w:tabs>
          <w:tab w:val="left" w:pos="140"/>
        </w:tabs>
        <w:rPr>
          <w:rFonts w:ascii="Times New Roman" w:hAnsi="Times New Roman" w:eastAsia="宋体" w:cs="Times New Roman"/>
          <w:sz w:val="21"/>
          <w:szCs w:val="21"/>
        </w:rPr>
      </w:pPr>
      <w:r>
        <w:rPr>
          <w:rStyle w:val="15"/>
          <w:rFonts w:ascii="Times New Roman" w:hAnsi="Times New Roman" w:eastAsia="宋体" w:cs="Times New Roman"/>
          <w:sz w:val="21"/>
          <w:szCs w:val="21"/>
        </w:rPr>
        <w:footnoteRef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《联邦法规》第64篇第73561条，1999年12月30日。另请参见关于批准FDA对商用体外诊断试验进行分类并履行相关职能的授权书（《联邦法规》第69篇第22849条，2004年4月27日）。</w:t>
      </w:r>
    </w:p>
  </w:footnote>
  <w:footnote w:id="1">
    <w:p>
      <w:pPr>
        <w:pStyle w:val="8"/>
        <w:tabs>
          <w:tab w:val="left" w:pos="140"/>
        </w:tabs>
        <w:rPr>
          <w:rFonts w:ascii="Times New Roman" w:hAnsi="Times New Roman" w:eastAsia="宋体" w:cs="Times New Roman"/>
          <w:sz w:val="21"/>
          <w:szCs w:val="21"/>
        </w:rPr>
      </w:pPr>
      <w:r>
        <w:rPr>
          <w:rStyle w:val="15"/>
          <w:rFonts w:ascii="Times New Roman" w:hAnsi="Times New Roman" w:eastAsia="宋体" w:cs="Times New Roman"/>
          <w:sz w:val="21"/>
          <w:szCs w:val="21"/>
        </w:rPr>
        <w:footnoteRef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《</w:t>
      </w:r>
      <w:r>
        <w:rPr>
          <w:rStyle w:val="15"/>
          <w:rFonts w:ascii="Times New Roman" w:hAnsi="Times New Roman" w:eastAsia="宋体"/>
          <w:sz w:val="21"/>
          <w:vertAlign w:val="baseline"/>
        </w:rPr>
        <w:t>2012</w:t>
      </w:r>
      <w:r>
        <w:rPr>
          <w:rFonts w:ascii="Times New Roman" w:hAnsi="Times New Roman" w:eastAsia="宋体" w:cs="Times New Roman"/>
          <w:sz w:val="21"/>
          <w:szCs w:val="21"/>
        </w:rPr>
        <w:t>年美国食品药品监督管理局安全与创新法案》标题II（公法112-144）。</w:t>
      </w:r>
    </w:p>
  </w:footnote>
  <w:footnote w:id="2">
    <w:p>
      <w:pPr>
        <w:pStyle w:val="8"/>
        <w:tabs>
          <w:tab w:val="left" w:pos="140"/>
        </w:tabs>
        <w:rPr>
          <w:rFonts w:ascii="Times New Roman" w:hAnsi="Times New Roman" w:eastAsia="宋体" w:cs="Times New Roman"/>
          <w:sz w:val="21"/>
          <w:szCs w:val="21"/>
        </w:rPr>
      </w:pPr>
      <w:r>
        <w:rPr>
          <w:rStyle w:val="15"/>
          <w:rFonts w:ascii="Times New Roman" w:hAnsi="Times New Roman" w:eastAsia="宋体" w:cs="Times New Roman"/>
          <w:sz w:val="21"/>
          <w:szCs w:val="21"/>
        </w:rPr>
        <w:footnoteRef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《2017年FDA再授权法案》，文本网址：</w:t>
      </w:r>
      <w:r>
        <w:fldChar w:fldCharType="begin"/>
      </w:r>
      <w:r>
        <w:instrText xml:space="preserve"> HYPERLINK "https://www.congress.gov/bill/115th-congress/house-bill/2430/text" </w:instrText>
      </w:r>
      <w:r>
        <w:fldChar w:fldCharType="separate"/>
      </w:r>
      <w:r>
        <w:rPr>
          <w:rStyle w:val="13"/>
          <w:rFonts w:ascii="Times New Roman" w:hAnsi="Times New Roman" w:eastAsia="宋体" w:cs="Times New Roman"/>
          <w:sz w:val="21"/>
          <w:szCs w:val="21"/>
        </w:rPr>
        <w:t>https://www.congress.gov/bill/115th-congress/house-bill/2430/text</w:t>
      </w:r>
      <w:r>
        <w:rPr>
          <w:rStyle w:val="13"/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</w:footnote>
  <w:footnote w:id="3">
    <w:p>
      <w:pPr>
        <w:pStyle w:val="8"/>
        <w:tabs>
          <w:tab w:val="left" w:pos="140"/>
        </w:tabs>
        <w:rPr>
          <w:rFonts w:ascii="Times New Roman" w:hAnsi="Times New Roman" w:eastAsia="宋体" w:cs="Times New Roman"/>
          <w:sz w:val="21"/>
          <w:szCs w:val="15"/>
        </w:rPr>
      </w:pPr>
      <w:r>
        <w:rPr>
          <w:rStyle w:val="15"/>
          <w:rFonts w:ascii="Times New Roman" w:hAnsi="Times New Roman" w:eastAsia="宋体" w:cs="Times New Roman"/>
          <w:sz w:val="21"/>
          <w:szCs w:val="21"/>
        </w:rPr>
        <w:footnoteRef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Style w:val="15"/>
          <w:rFonts w:ascii="Times New Roman" w:hAnsi="Times New Roman" w:eastAsia="宋体"/>
          <w:sz w:val="21"/>
          <w:vertAlign w:val="baseline"/>
        </w:rPr>
        <w:t>2018</w:t>
      </w:r>
      <w:r>
        <w:rPr>
          <w:rFonts w:ascii="Times New Roman" w:hAnsi="Times New Roman" w:eastAsia="宋体" w:cs="Times New Roman"/>
          <w:sz w:val="21"/>
          <w:szCs w:val="21"/>
        </w:rPr>
        <w:t>至2022财年MDUFA绩效目标和程序（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MDUFA </w:t>
      </w:r>
      <w:r>
        <w:rPr>
          <w:rFonts w:ascii="Times New Roman" w:hAnsi="Times New Roman" w:eastAsia="宋体" w:cs="Times New Roman"/>
          <w:sz w:val="21"/>
          <w:szCs w:val="21"/>
        </w:rPr>
        <w:t>IV），网址：</w:t>
      </w:r>
      <w:r>
        <w:fldChar w:fldCharType="begin"/>
      </w:r>
      <w:r>
        <w:instrText xml:space="preserve"> HYPERLINK "https://www.fda.gov/downloads/ForIndustry/UserFees/MedicalDeviceUserFee/UCM535548.pdf" </w:instrText>
      </w:r>
      <w:r>
        <w:fldChar w:fldCharType="separate"/>
      </w:r>
      <w:r>
        <w:rPr>
          <w:rStyle w:val="13"/>
          <w:rFonts w:ascii="Times New Roman" w:hAnsi="Times New Roman" w:eastAsia="宋体" w:cs="Times New Roman"/>
          <w:sz w:val="21"/>
          <w:szCs w:val="21"/>
        </w:rPr>
        <w:t>https://www.fda.gov/downloads/ForIndustry/UserFees/MedicalDeviceUserFee/UCM535548.pdf</w:t>
      </w:r>
      <w:r>
        <w:rPr>
          <w:rStyle w:val="13"/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</w:footnote>
  <w:footnote w:id="4">
    <w:p>
      <w:pPr>
        <w:pStyle w:val="8"/>
        <w:tabs>
          <w:tab w:val="left" w:pos="140"/>
        </w:tabs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Style w:val="15"/>
          <w:rFonts w:ascii="Times New Roman" w:hAnsi="Times New Roman" w:eastAsia="宋体" w:cs="Times New Roman"/>
          <w:sz w:val="21"/>
          <w:szCs w:val="21"/>
        </w:rPr>
        <w:footnoteRef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请注意，该绩效目标同时适用于</w:t>
      </w:r>
      <w:r>
        <w:rPr>
          <w:rFonts w:hint="eastAsia" w:ascii="Times New Roman" w:hAnsi="Times New Roman" w:eastAsia="宋体" w:cs="Times New Roman"/>
          <w:sz w:val="21"/>
          <w:szCs w:val="21"/>
        </w:rPr>
        <w:t>CLIA</w:t>
      </w:r>
      <w:r>
        <w:rPr>
          <w:rFonts w:ascii="Times New Roman" w:hAnsi="Times New Roman" w:eastAsia="宋体" w:cs="Times New Roman"/>
          <w:sz w:val="21"/>
          <w:szCs w:val="21"/>
        </w:rPr>
        <w:t>豁免申请和510（k）上市</w:t>
      </w:r>
      <w:r>
        <w:rPr>
          <w:rFonts w:hint="eastAsia" w:ascii="Times New Roman" w:hAnsi="Times New Roman" w:eastAsia="宋体" w:cs="Times New Roman"/>
          <w:sz w:val="21"/>
          <w:szCs w:val="21"/>
        </w:rPr>
        <w:t>申请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</w:footnote>
  <w:footnote w:id="5">
    <w:p>
      <w:pPr>
        <w:pStyle w:val="8"/>
        <w:tabs>
          <w:tab w:val="left" w:pos="140"/>
        </w:tabs>
        <w:jc w:val="both"/>
        <w:rPr>
          <w:rFonts w:ascii="Times New Roman" w:hAnsi="Times New Roman" w:cs="Times New Roman"/>
        </w:rPr>
      </w:pPr>
      <w:r>
        <w:rPr>
          <w:rStyle w:val="15"/>
          <w:rFonts w:ascii="Times New Roman" w:hAnsi="Times New Roman" w:eastAsia="宋体" w:cs="Times New Roman"/>
          <w:sz w:val="21"/>
          <w:szCs w:val="21"/>
        </w:rPr>
        <w:footnoteRef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在任何一个财年，如果任何</w:t>
      </w:r>
      <w:r>
        <w:rPr>
          <w:rFonts w:hint="eastAsia" w:ascii="Times New Roman" w:hAnsi="Times New Roman" w:eastAsia="宋体" w:cs="Times New Roman"/>
          <w:sz w:val="21"/>
          <w:szCs w:val="21"/>
        </w:rPr>
        <w:t>CLIA</w:t>
      </w:r>
      <w:r>
        <w:rPr>
          <w:rFonts w:ascii="Times New Roman" w:hAnsi="Times New Roman" w:eastAsia="宋体" w:cs="Times New Roman"/>
          <w:sz w:val="21"/>
          <w:szCs w:val="21"/>
        </w:rPr>
        <w:t>豁免申请类别的申请数量少于10份，那么可以将此类申请与下一年的</w:t>
      </w:r>
      <w:r>
        <w:rPr>
          <w:rFonts w:hint="eastAsia" w:ascii="Times New Roman" w:hAnsi="Times New Roman" w:eastAsia="宋体" w:cs="Times New Roman"/>
          <w:sz w:val="21"/>
          <w:szCs w:val="21"/>
        </w:rPr>
        <w:t>申请</w:t>
      </w:r>
      <w:r>
        <w:rPr>
          <w:rFonts w:ascii="Times New Roman" w:hAnsi="Times New Roman" w:eastAsia="宋体" w:cs="Times New Roman"/>
          <w:sz w:val="21"/>
          <w:szCs w:val="21"/>
        </w:rPr>
        <w:t>合并，以形成10份或以上的</w:t>
      </w:r>
      <w:r>
        <w:rPr>
          <w:rFonts w:hint="eastAsia" w:ascii="Times New Roman" w:hAnsi="Times New Roman" w:eastAsia="宋体" w:cs="Times New Roman"/>
          <w:sz w:val="21"/>
          <w:szCs w:val="21"/>
        </w:rPr>
        <w:t>申请</w:t>
      </w:r>
      <w:r>
        <w:rPr>
          <w:rFonts w:ascii="Times New Roman" w:hAnsi="Times New Roman" w:eastAsia="宋体" w:cs="Times New Roman"/>
          <w:sz w:val="21"/>
          <w:szCs w:val="21"/>
        </w:rPr>
        <w:t>组合，在此基础上，合并年份的</w:t>
      </w:r>
      <w:r>
        <w:rPr>
          <w:rFonts w:hint="eastAsia" w:ascii="Times New Roman" w:hAnsi="Times New Roman" w:eastAsia="宋体" w:cs="Times New Roman"/>
          <w:sz w:val="21"/>
          <w:szCs w:val="21"/>
        </w:rPr>
        <w:t>申请</w:t>
      </w:r>
      <w:r>
        <w:rPr>
          <w:rFonts w:ascii="Times New Roman" w:hAnsi="Times New Roman" w:eastAsia="宋体" w:cs="Times New Roman"/>
          <w:sz w:val="21"/>
          <w:szCs w:val="21"/>
        </w:rPr>
        <w:t>将受限于绩效目标。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Times New Roman" w:hAnsi="Times New Roman" w:eastAsia="宋体" w:cs="Times New Roman"/>
        <w:b/>
        <w:bCs/>
        <w:i/>
        <w:iCs/>
        <w:sz w:val="21"/>
        <w:szCs w:val="21"/>
      </w:rPr>
    </w:pPr>
  </w:p>
  <w:p>
    <w:pPr>
      <w:pStyle w:val="6"/>
      <w:pBdr>
        <w:bottom w:val="none" w:color="auto" w:sz="0" w:space="0"/>
      </w:pBdr>
      <w:rPr>
        <w:rFonts w:ascii="Times New Roman" w:hAnsi="Times New Roman" w:eastAsia="宋体" w:cs="Times New Roman"/>
        <w:sz w:val="21"/>
        <w:szCs w:val="21"/>
      </w:rPr>
    </w:pPr>
    <w:r>
      <w:rPr>
        <w:rFonts w:ascii="Times New Roman" w:hAnsi="Times New Roman" w:eastAsia="宋体" w:cs="Times New Roman"/>
        <w:b/>
        <w:bCs/>
        <w:i/>
        <w:iCs/>
        <w:sz w:val="21"/>
        <w:szCs w:val="21"/>
      </w:rPr>
      <w:t>所含建议不具约束力</w:t>
    </w:r>
  </w:p>
  <w:p>
    <w:pPr>
      <w:pStyle w:val="6"/>
      <w:pBdr>
        <w:bottom w:val="none" w:color="auto" w:sz="0" w:space="0"/>
      </w:pBdr>
      <w:rPr>
        <w:rFonts w:ascii="Times New Roman" w:hAnsi="Times New Roman" w:eastAsia="宋体" w:cs="Times New Roman"/>
        <w:sz w:val="21"/>
        <w:szCs w:val="21"/>
      </w:rPr>
    </w:pPr>
  </w:p>
  <w:p>
    <w:pPr>
      <w:pStyle w:val="6"/>
      <w:pBdr>
        <w:bottom w:val="none" w:color="auto" w:sz="0" w:space="0"/>
      </w:pBdr>
      <w:rPr>
        <w:rFonts w:ascii="Times New Roman" w:hAnsi="Times New Roman" w:eastAsia="宋体" w:cs="Times New Roma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730E36"/>
    <w:multiLevelType w:val="multilevel"/>
    <w:tmpl w:val="28730E36"/>
    <w:lvl w:ilvl="0" w:tentative="0">
      <w:start w:val="1"/>
      <w:numFmt w:val="bullet"/>
      <w:lvlText w:val=""/>
      <w:lvlJc w:val="left"/>
      <w:pPr>
        <w:ind w:left="987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7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12"/>
    <w:footnote w:id="1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hmNjAzMWJlZjFkMmQwODUwMTJkYzE2ODFiYmFmYTcifQ=="/>
  </w:docVars>
  <w:rsids>
    <w:rsidRoot w:val="00AE5438"/>
    <w:rsid w:val="00006049"/>
    <w:rsid w:val="0001481D"/>
    <w:rsid w:val="00046DBB"/>
    <w:rsid w:val="0005579A"/>
    <w:rsid w:val="00061FA0"/>
    <w:rsid w:val="00073264"/>
    <w:rsid w:val="000A4EE1"/>
    <w:rsid w:val="000E42FB"/>
    <w:rsid w:val="000E6C5E"/>
    <w:rsid w:val="00113E67"/>
    <w:rsid w:val="001427B5"/>
    <w:rsid w:val="00164A16"/>
    <w:rsid w:val="00164B31"/>
    <w:rsid w:val="00164BCB"/>
    <w:rsid w:val="00173BBE"/>
    <w:rsid w:val="00177612"/>
    <w:rsid w:val="00194914"/>
    <w:rsid w:val="001A2007"/>
    <w:rsid w:val="001A221B"/>
    <w:rsid w:val="001B4DD1"/>
    <w:rsid w:val="001D5EF0"/>
    <w:rsid w:val="001D646C"/>
    <w:rsid w:val="001E073F"/>
    <w:rsid w:val="00204A9A"/>
    <w:rsid w:val="00215AC3"/>
    <w:rsid w:val="00224CBB"/>
    <w:rsid w:val="00226924"/>
    <w:rsid w:val="00227D03"/>
    <w:rsid w:val="002376F4"/>
    <w:rsid w:val="00243637"/>
    <w:rsid w:val="00247DB9"/>
    <w:rsid w:val="00255A3D"/>
    <w:rsid w:val="002579C0"/>
    <w:rsid w:val="002629D0"/>
    <w:rsid w:val="002818F6"/>
    <w:rsid w:val="0029317C"/>
    <w:rsid w:val="002963B1"/>
    <w:rsid w:val="002A0347"/>
    <w:rsid w:val="002A0F1D"/>
    <w:rsid w:val="002A5E85"/>
    <w:rsid w:val="002A6E8F"/>
    <w:rsid w:val="002C2976"/>
    <w:rsid w:val="00305C1B"/>
    <w:rsid w:val="00315081"/>
    <w:rsid w:val="00336366"/>
    <w:rsid w:val="0034016A"/>
    <w:rsid w:val="00396B6B"/>
    <w:rsid w:val="003A16F6"/>
    <w:rsid w:val="003A2BAC"/>
    <w:rsid w:val="003B700E"/>
    <w:rsid w:val="003C5141"/>
    <w:rsid w:val="003F491B"/>
    <w:rsid w:val="003F6414"/>
    <w:rsid w:val="00410D94"/>
    <w:rsid w:val="0042191B"/>
    <w:rsid w:val="00422507"/>
    <w:rsid w:val="0043402D"/>
    <w:rsid w:val="00434C7E"/>
    <w:rsid w:val="004355E7"/>
    <w:rsid w:val="00436045"/>
    <w:rsid w:val="004523C7"/>
    <w:rsid w:val="004A6C12"/>
    <w:rsid w:val="004B231E"/>
    <w:rsid w:val="004B2C0C"/>
    <w:rsid w:val="004B3385"/>
    <w:rsid w:val="004D7D5F"/>
    <w:rsid w:val="004F56B3"/>
    <w:rsid w:val="004F7392"/>
    <w:rsid w:val="00500B28"/>
    <w:rsid w:val="00511480"/>
    <w:rsid w:val="0051201D"/>
    <w:rsid w:val="005242C6"/>
    <w:rsid w:val="005618A7"/>
    <w:rsid w:val="005857A8"/>
    <w:rsid w:val="00586F03"/>
    <w:rsid w:val="00595DB1"/>
    <w:rsid w:val="005B2A31"/>
    <w:rsid w:val="005C394E"/>
    <w:rsid w:val="005C56D4"/>
    <w:rsid w:val="005D0315"/>
    <w:rsid w:val="005E18AF"/>
    <w:rsid w:val="005F3717"/>
    <w:rsid w:val="005F4A92"/>
    <w:rsid w:val="0064583E"/>
    <w:rsid w:val="00655E3E"/>
    <w:rsid w:val="0065637B"/>
    <w:rsid w:val="00663C9A"/>
    <w:rsid w:val="006B71B9"/>
    <w:rsid w:val="006C5CE2"/>
    <w:rsid w:val="006D5F7E"/>
    <w:rsid w:val="007053A7"/>
    <w:rsid w:val="00724B3B"/>
    <w:rsid w:val="00726F3F"/>
    <w:rsid w:val="0074185E"/>
    <w:rsid w:val="0074266F"/>
    <w:rsid w:val="00753268"/>
    <w:rsid w:val="00760E53"/>
    <w:rsid w:val="00761982"/>
    <w:rsid w:val="00762EC5"/>
    <w:rsid w:val="007670C1"/>
    <w:rsid w:val="0077638D"/>
    <w:rsid w:val="007A6E26"/>
    <w:rsid w:val="007B1AE4"/>
    <w:rsid w:val="007C12CA"/>
    <w:rsid w:val="007C38ED"/>
    <w:rsid w:val="007C391F"/>
    <w:rsid w:val="007E414B"/>
    <w:rsid w:val="0081147B"/>
    <w:rsid w:val="00812611"/>
    <w:rsid w:val="00826482"/>
    <w:rsid w:val="00826BFD"/>
    <w:rsid w:val="008300E8"/>
    <w:rsid w:val="00836603"/>
    <w:rsid w:val="00874556"/>
    <w:rsid w:val="008C740E"/>
    <w:rsid w:val="00912688"/>
    <w:rsid w:val="00915FFE"/>
    <w:rsid w:val="009160A7"/>
    <w:rsid w:val="00922FAA"/>
    <w:rsid w:val="00930B8D"/>
    <w:rsid w:val="00933BD3"/>
    <w:rsid w:val="0096312B"/>
    <w:rsid w:val="00966AD2"/>
    <w:rsid w:val="0096712C"/>
    <w:rsid w:val="00970F14"/>
    <w:rsid w:val="00971516"/>
    <w:rsid w:val="0097214D"/>
    <w:rsid w:val="00973869"/>
    <w:rsid w:val="00994E1C"/>
    <w:rsid w:val="009A7E19"/>
    <w:rsid w:val="009B0039"/>
    <w:rsid w:val="009B3A19"/>
    <w:rsid w:val="009C0D99"/>
    <w:rsid w:val="009F1622"/>
    <w:rsid w:val="009F7040"/>
    <w:rsid w:val="00A01511"/>
    <w:rsid w:val="00A12AE0"/>
    <w:rsid w:val="00A259FA"/>
    <w:rsid w:val="00A34806"/>
    <w:rsid w:val="00A57CD2"/>
    <w:rsid w:val="00A634C9"/>
    <w:rsid w:val="00A7078F"/>
    <w:rsid w:val="00A72DD8"/>
    <w:rsid w:val="00A74DAB"/>
    <w:rsid w:val="00A756DC"/>
    <w:rsid w:val="00A81E42"/>
    <w:rsid w:val="00AC4F90"/>
    <w:rsid w:val="00AC6AC9"/>
    <w:rsid w:val="00AD096E"/>
    <w:rsid w:val="00AE0CC9"/>
    <w:rsid w:val="00AE5438"/>
    <w:rsid w:val="00AF66A9"/>
    <w:rsid w:val="00B0434B"/>
    <w:rsid w:val="00B11FA3"/>
    <w:rsid w:val="00B5711D"/>
    <w:rsid w:val="00B575C6"/>
    <w:rsid w:val="00B57E69"/>
    <w:rsid w:val="00B654D9"/>
    <w:rsid w:val="00B819B3"/>
    <w:rsid w:val="00B9507F"/>
    <w:rsid w:val="00B96CDE"/>
    <w:rsid w:val="00BA3346"/>
    <w:rsid w:val="00BC426B"/>
    <w:rsid w:val="00BC6074"/>
    <w:rsid w:val="00BF3D27"/>
    <w:rsid w:val="00BF4205"/>
    <w:rsid w:val="00C316ED"/>
    <w:rsid w:val="00C36557"/>
    <w:rsid w:val="00C44F12"/>
    <w:rsid w:val="00C4648A"/>
    <w:rsid w:val="00C6716B"/>
    <w:rsid w:val="00C80747"/>
    <w:rsid w:val="00C85F9A"/>
    <w:rsid w:val="00C97D2D"/>
    <w:rsid w:val="00CA3A92"/>
    <w:rsid w:val="00CA7A8A"/>
    <w:rsid w:val="00CD2A3E"/>
    <w:rsid w:val="00CD3FFD"/>
    <w:rsid w:val="00CF3A8E"/>
    <w:rsid w:val="00D00FB2"/>
    <w:rsid w:val="00D07797"/>
    <w:rsid w:val="00D112E4"/>
    <w:rsid w:val="00D13BBD"/>
    <w:rsid w:val="00D224E3"/>
    <w:rsid w:val="00D2709C"/>
    <w:rsid w:val="00D35A82"/>
    <w:rsid w:val="00D364FA"/>
    <w:rsid w:val="00D4570B"/>
    <w:rsid w:val="00D66CE2"/>
    <w:rsid w:val="00D67FE1"/>
    <w:rsid w:val="00D84F88"/>
    <w:rsid w:val="00DD512B"/>
    <w:rsid w:val="00DF5D49"/>
    <w:rsid w:val="00E1031F"/>
    <w:rsid w:val="00E120C0"/>
    <w:rsid w:val="00E2132F"/>
    <w:rsid w:val="00E30F3E"/>
    <w:rsid w:val="00E44BE0"/>
    <w:rsid w:val="00E52A49"/>
    <w:rsid w:val="00E64A21"/>
    <w:rsid w:val="00E71839"/>
    <w:rsid w:val="00E72368"/>
    <w:rsid w:val="00E827A1"/>
    <w:rsid w:val="00EA1AD5"/>
    <w:rsid w:val="00EA51B2"/>
    <w:rsid w:val="00EA64DC"/>
    <w:rsid w:val="00EB75B6"/>
    <w:rsid w:val="00EC13FD"/>
    <w:rsid w:val="00EC4C31"/>
    <w:rsid w:val="00EE0BE5"/>
    <w:rsid w:val="00EE0D15"/>
    <w:rsid w:val="00EE288B"/>
    <w:rsid w:val="00EE7C90"/>
    <w:rsid w:val="00EF39FF"/>
    <w:rsid w:val="00EF583E"/>
    <w:rsid w:val="00F05DF6"/>
    <w:rsid w:val="00F141A2"/>
    <w:rsid w:val="00F241D7"/>
    <w:rsid w:val="00F25C4C"/>
    <w:rsid w:val="00F31A78"/>
    <w:rsid w:val="00F44055"/>
    <w:rsid w:val="00F4566E"/>
    <w:rsid w:val="00F47FF6"/>
    <w:rsid w:val="00F63E25"/>
    <w:rsid w:val="00F9340A"/>
    <w:rsid w:val="00F95ADE"/>
    <w:rsid w:val="00FB6EBD"/>
    <w:rsid w:val="00FE04DD"/>
    <w:rsid w:val="00FE488A"/>
    <w:rsid w:val="00FF03F9"/>
    <w:rsid w:val="00FF38EA"/>
    <w:rsid w:val="5929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5"/>
    <w:semiHidden/>
    <w:unhideWhenUsed/>
    <w:qFormat/>
    <w:uiPriority w:val="99"/>
    <w:pPr>
      <w:jc w:val="left"/>
    </w:pPr>
  </w:style>
  <w:style w:type="paragraph" w:styleId="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tabs>
        <w:tab w:val="left" w:pos="567"/>
        <w:tab w:val="right" w:leader="dot" w:pos="9628"/>
      </w:tabs>
      <w:snapToGrid w:val="0"/>
      <w:spacing w:after="50" w:afterLines="50"/>
    </w:pPr>
    <w:rPr>
      <w:rFonts w:ascii="Times New Roman" w:hAnsi="Times New Roman" w:eastAsia="宋体"/>
      <w:sz w:val="24"/>
    </w:rPr>
  </w:style>
  <w:style w:type="paragraph" w:styleId="8">
    <w:name w:val="footnote text"/>
    <w:basedOn w:val="1"/>
    <w:link w:val="30"/>
    <w:semiHidden/>
    <w:unhideWhenUsed/>
    <w:uiPriority w:val="99"/>
    <w:pPr>
      <w:snapToGrid w:val="0"/>
      <w:jc w:val="left"/>
    </w:pPr>
    <w:rPr>
      <w:sz w:val="18"/>
      <w:szCs w:val="18"/>
    </w:rPr>
  </w:style>
  <w:style w:type="paragraph" w:styleId="9">
    <w:name w:val="annotation subject"/>
    <w:basedOn w:val="2"/>
    <w:next w:val="2"/>
    <w:link w:val="36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Hyperlink"/>
    <w:basedOn w:val="12"/>
    <w:unhideWhenUsed/>
    <w:uiPriority w:val="99"/>
    <w:rPr>
      <w:color w:val="0000FF" w:themeColor="hyperlink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2"/>
    <w:semiHidden/>
    <w:unhideWhenUsed/>
    <w:qFormat/>
    <w:uiPriority w:val="99"/>
    <w:rPr>
      <w:vertAlign w:val="superscript"/>
    </w:rPr>
  </w:style>
  <w:style w:type="character" w:customStyle="1" w:styleId="16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5"/>
    <w:qFormat/>
    <w:uiPriority w:val="99"/>
    <w:rPr>
      <w:sz w:val="18"/>
      <w:szCs w:val="18"/>
    </w:rPr>
  </w:style>
  <w:style w:type="character" w:customStyle="1" w:styleId="18">
    <w:name w:val="批注框文本 字符"/>
    <w:basedOn w:val="12"/>
    <w:link w:val="4"/>
    <w:semiHidden/>
    <w:uiPriority w:val="99"/>
    <w:rPr>
      <w:sz w:val="18"/>
      <w:szCs w:val="18"/>
    </w:rPr>
  </w:style>
  <w:style w:type="character" w:customStyle="1" w:styleId="19">
    <w:name w:val="其他_"/>
    <w:basedOn w:val="12"/>
    <w:link w:val="20"/>
    <w:uiPriority w:val="0"/>
    <w:rPr>
      <w:rFonts w:ascii="Arial" w:hAnsi="Arial" w:eastAsia="Arial" w:cs="Arial"/>
      <w:sz w:val="14"/>
      <w:szCs w:val="14"/>
      <w:shd w:val="clear" w:color="auto" w:fill="FFFFFF"/>
    </w:rPr>
  </w:style>
  <w:style w:type="paragraph" w:customStyle="1" w:styleId="20">
    <w:name w:val="其他"/>
    <w:basedOn w:val="1"/>
    <w:link w:val="19"/>
    <w:uiPriority w:val="0"/>
    <w:pPr>
      <w:shd w:val="clear" w:color="auto" w:fill="FFFFFF"/>
      <w:jc w:val="left"/>
    </w:pPr>
    <w:rPr>
      <w:rFonts w:ascii="Arial" w:hAnsi="Arial" w:eastAsia="Arial" w:cs="Arial"/>
      <w:sz w:val="14"/>
      <w:szCs w:val="14"/>
    </w:rPr>
  </w:style>
  <w:style w:type="character" w:customStyle="1" w:styleId="21">
    <w:name w:val="标题 #1_"/>
    <w:basedOn w:val="12"/>
    <w:link w:val="22"/>
    <w:qFormat/>
    <w:uiPriority w:val="0"/>
    <w:rPr>
      <w:rFonts w:ascii="Arial" w:hAnsi="Arial" w:eastAsia="Arial" w:cs="Arial"/>
      <w:w w:val="60"/>
      <w:sz w:val="78"/>
      <w:szCs w:val="78"/>
      <w:shd w:val="clear" w:color="auto" w:fill="FFFFFF"/>
    </w:rPr>
  </w:style>
  <w:style w:type="paragraph" w:customStyle="1" w:styleId="22">
    <w:name w:val="标题 #1"/>
    <w:basedOn w:val="1"/>
    <w:link w:val="21"/>
    <w:uiPriority w:val="0"/>
    <w:pPr>
      <w:shd w:val="clear" w:color="auto" w:fill="FFFFFF"/>
      <w:jc w:val="right"/>
      <w:outlineLvl w:val="0"/>
    </w:pPr>
    <w:rPr>
      <w:rFonts w:ascii="Arial" w:hAnsi="Arial" w:eastAsia="Arial" w:cs="Arial"/>
      <w:w w:val="60"/>
      <w:sz w:val="78"/>
      <w:szCs w:val="78"/>
    </w:rPr>
  </w:style>
  <w:style w:type="character" w:customStyle="1" w:styleId="23">
    <w:name w:val="标题 #3_"/>
    <w:basedOn w:val="12"/>
    <w:link w:val="24"/>
    <w:uiPriority w:val="0"/>
    <w:rPr>
      <w:rFonts w:ascii="Arial" w:hAnsi="Arial" w:eastAsia="Arial" w:cs="Arial"/>
      <w:b/>
      <w:bCs/>
      <w:sz w:val="40"/>
      <w:szCs w:val="40"/>
      <w:shd w:val="clear" w:color="auto" w:fill="FFFFFF"/>
    </w:rPr>
  </w:style>
  <w:style w:type="paragraph" w:customStyle="1" w:styleId="24">
    <w:name w:val="标题 #3"/>
    <w:basedOn w:val="1"/>
    <w:link w:val="23"/>
    <w:uiPriority w:val="0"/>
    <w:pPr>
      <w:shd w:val="clear" w:color="auto" w:fill="FFFFFF"/>
      <w:jc w:val="left"/>
      <w:outlineLvl w:val="2"/>
    </w:pPr>
    <w:rPr>
      <w:rFonts w:ascii="Arial" w:hAnsi="Arial" w:eastAsia="Arial" w:cs="Arial"/>
      <w:b/>
      <w:bCs/>
      <w:sz w:val="40"/>
      <w:szCs w:val="40"/>
    </w:rPr>
  </w:style>
  <w:style w:type="paragraph" w:styleId="2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6">
    <w:name w:val="表格标题_"/>
    <w:basedOn w:val="12"/>
    <w:link w:val="27"/>
    <w:uiPriority w:val="0"/>
    <w:rPr>
      <w:rFonts w:ascii="Arial" w:hAnsi="Arial" w:eastAsia="Arial" w:cs="Arial"/>
      <w:sz w:val="14"/>
      <w:szCs w:val="14"/>
      <w:shd w:val="clear" w:color="auto" w:fill="FFFFFF"/>
    </w:rPr>
  </w:style>
  <w:style w:type="paragraph" w:customStyle="1" w:styleId="27">
    <w:name w:val="表格标题"/>
    <w:basedOn w:val="1"/>
    <w:link w:val="26"/>
    <w:uiPriority w:val="0"/>
    <w:pPr>
      <w:shd w:val="clear" w:color="auto" w:fill="FFFFFF"/>
      <w:jc w:val="left"/>
    </w:pPr>
    <w:rPr>
      <w:rFonts w:ascii="Arial" w:hAnsi="Arial" w:eastAsia="Arial" w:cs="Arial"/>
      <w:sz w:val="14"/>
      <w:szCs w:val="14"/>
    </w:rPr>
  </w:style>
  <w:style w:type="character" w:customStyle="1" w:styleId="28">
    <w:name w:val="正文文本 (6)_"/>
    <w:basedOn w:val="12"/>
    <w:link w:val="29"/>
    <w:uiPriority w:val="0"/>
    <w:rPr>
      <w:rFonts w:ascii="Calibri" w:hAnsi="Calibri" w:eastAsia="Calibri" w:cs="Calibri"/>
      <w:sz w:val="32"/>
      <w:szCs w:val="32"/>
      <w:shd w:val="clear" w:color="auto" w:fill="FFFFFF"/>
    </w:rPr>
  </w:style>
  <w:style w:type="paragraph" w:customStyle="1" w:styleId="29">
    <w:name w:val="正文文本 (6)"/>
    <w:basedOn w:val="1"/>
    <w:link w:val="28"/>
    <w:uiPriority w:val="0"/>
    <w:pPr>
      <w:shd w:val="clear" w:color="auto" w:fill="FFFFFF"/>
      <w:spacing w:after="20"/>
      <w:jc w:val="left"/>
    </w:pPr>
    <w:rPr>
      <w:rFonts w:ascii="Calibri" w:hAnsi="Calibri" w:eastAsia="Calibri" w:cs="Calibri"/>
      <w:sz w:val="32"/>
      <w:szCs w:val="32"/>
    </w:rPr>
  </w:style>
  <w:style w:type="character" w:customStyle="1" w:styleId="30">
    <w:name w:val="脚注文本 字符"/>
    <w:basedOn w:val="12"/>
    <w:link w:val="8"/>
    <w:semiHidden/>
    <w:uiPriority w:val="99"/>
    <w:rPr>
      <w:sz w:val="18"/>
      <w:szCs w:val="18"/>
    </w:rPr>
  </w:style>
  <w:style w:type="table" w:customStyle="1" w:styleId="31">
    <w:name w:val="网格型1"/>
    <w:basedOn w:val="10"/>
    <w:qFormat/>
    <w:uiPriority w:val="39"/>
    <w:rPr>
      <w:szCs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32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33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批注文字 字符"/>
    <w:basedOn w:val="12"/>
    <w:link w:val="2"/>
    <w:semiHidden/>
    <w:uiPriority w:val="99"/>
  </w:style>
  <w:style w:type="character" w:customStyle="1" w:styleId="36">
    <w:name w:val="批注主题 字符"/>
    <w:basedOn w:val="35"/>
    <w:link w:val="9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0FF86-7012-4F76-9978-0AD5F2A2FF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14</Pages>
  <Words>1477</Words>
  <Characters>8421</Characters>
  <Lines>70</Lines>
  <Paragraphs>19</Paragraphs>
  <TotalTime>1002</TotalTime>
  <ScaleCrop>false</ScaleCrop>
  <LinksUpToDate>false</LinksUpToDate>
  <CharactersWithSpaces>9879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2019-03-25T05:36:00Z</dcterms:created>
  <dc:creator>Sky123.Org</dc:creator>
  <cp:lastModifiedBy>何佳俊</cp:lastModifiedBy>
  <dcterms:modified xsi:type="dcterms:W3CDTF">2022-10-09T06:42:52Z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853D50D9668F4B54B7BAFB32B9D6DDC0</vt:lpwstr>
  </property>
</Properties>
</file>