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Cs w:val="21"/>
        </w:rPr>
        <w:t xml:space="preserve">                         </w:t>
      </w:r>
    </w:p>
    <w:p>
      <w:pPr>
        <w:rPr>
          <w:szCs w:val="21"/>
        </w:rPr>
      </w:pPr>
      <w:r>
        <w:rPr>
          <w:szCs w:val="21"/>
        </w:rPr>
        <w:t xml:space="preserve">     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</w:t>
      </w:r>
    </w:p>
    <w:p>
      <w:pPr>
        <w:jc w:val="center"/>
        <w:rPr>
          <w:b/>
          <w:sz w:val="52"/>
          <w:szCs w:val="52"/>
        </w:rPr>
      </w:pPr>
      <w:r>
        <w:rPr>
          <w:rFonts w:hint="eastAsia" w:ascii="Times New Roman" w:hAnsi="Times New Roman" w:cs="Times New Roman"/>
          <w:b/>
          <w:sz w:val="52"/>
          <w:szCs w:val="52"/>
        </w:rPr>
        <w:t>PMS plan &amp; PSUR &amp; PMCF</w:t>
      </w: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 xml:space="preserve">              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Product Name: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产品名称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本处填写产品名称，需要确保全篇技术文档及报告等的名称一致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Start w:id="0" w:name="OLE_LINK2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Model: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产品型号1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产品型号N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【需要罗列本次认证的所有产品型号清单，如型号很多，可以采用另外附件文档的方式给出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Document No.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文件编号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【本处填写本文件的编号】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Edition: 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文件版本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【本处填写本文件的版本】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Approved by: </w:t>
      </w: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Audited  by: </w:t>
      </w:r>
    </w:p>
    <w:p>
      <w:pPr>
        <w:ind w:firstLine="420"/>
        <w:rPr>
          <w:rFonts w:hint="default" w:ascii="Times New Roman" w:hAnsi="Times New Roman" w:eastAsia="华文细黑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Applied  by：</w:t>
      </w: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{XXXX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}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1" w:name="_Toc13987"/>
      <w:r>
        <w:rPr>
          <w:rFonts w:hint="default" w:ascii="Times New Roman" w:hAnsi="Times New Roman" w:cs="Times New Roman"/>
          <w:b/>
          <w:bCs/>
          <w:sz w:val="30"/>
          <w:szCs w:val="30"/>
        </w:rPr>
        <w:br w:type="page"/>
      </w:r>
    </w:p>
    <w:bookmarkEnd w:id="1"/>
    <w:p>
      <w:pP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Revision records:</w:t>
      </w:r>
    </w:p>
    <w:tbl>
      <w:tblPr>
        <w:tblStyle w:val="9"/>
        <w:tblW w:w="8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01"/>
        <w:gridCol w:w="2409"/>
        <w:gridCol w:w="1236"/>
        <w:gridCol w:w="1275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bookmarkStart w:id="2" w:name="OLE_LINK10" w:colFirst="0" w:colLast="5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Edition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Effective Date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Summary of revision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Drafted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Checked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Approved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First release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rPr>
          <w:rFonts w:eastAsia="Arial"/>
          <w:color w:val="auto"/>
          <w:kern w:val="2"/>
          <w:sz w:val="21"/>
          <w:szCs w:val="21"/>
        </w:rPr>
      </w:pPr>
    </w:p>
    <w:p>
      <w:pPr>
        <w:jc w:val="both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br w:type="page"/>
      </w:r>
    </w:p>
    <w:p>
      <w:pPr>
        <w:jc w:val="center"/>
        <w:outlineLvl w:val="0"/>
        <w:rPr>
          <w:rFonts w:hint="default" w:ascii="Times New Roman" w:hAnsi="Times New Roman" w:cs="Times New Roman"/>
          <w:b/>
          <w:bCs/>
          <w:color w:val="auto"/>
          <w:sz w:val="30"/>
          <w:szCs w:val="30"/>
        </w:rPr>
      </w:pPr>
      <w:bookmarkStart w:id="3" w:name="_Toc32516"/>
      <w:bookmarkStart w:id="4" w:name="_Toc11116"/>
      <w:bookmarkStart w:id="5" w:name="_Toc13155"/>
      <w:bookmarkStart w:id="6" w:name="_Toc10038"/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</w:rPr>
        <w:t>Table of Contents</w:t>
      </w:r>
      <w:bookmarkEnd w:id="3"/>
      <w:bookmarkEnd w:id="4"/>
      <w:bookmarkEnd w:id="5"/>
      <w:bookmarkEnd w:id="6"/>
    </w:p>
    <w:sdt>
      <w:sdtPr>
        <w:rPr>
          <w:rFonts w:ascii="宋体" w:hAnsi="宋体" w:eastAsia="宋体" w:cs="Times New Roman"/>
          <w:kern w:val="2"/>
          <w:sz w:val="21"/>
          <w:lang w:val="en-US" w:eastAsia="zh-CN" w:bidi="ar-SA"/>
        </w:rPr>
        <w:id w:val="147455643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Tahoma-Bold" w:cs="Times New Roman"/>
          <w:b/>
          <w:bCs w:val="0"/>
          <w:color w:val="auto"/>
          <w:kern w:val="0"/>
          <w:sz w:val="24"/>
          <w:szCs w:val="20"/>
          <w:lang w:val="en-US" w:eastAsia="zh-CN" w:bidi="ar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instrText xml:space="preserve">TOC \o "1-3" \h \u </w:instrText>
          </w:r>
          <w:r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fldChar w:fldCharType="separate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_Toc1785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iCs/>
              <w:kern w:val="0"/>
              <w:szCs w:val="20"/>
              <w:lang w:val="en-US" w:eastAsia="zh-CN" w:bidi="ar"/>
            </w:rPr>
            <w:t>12 PMS plan &amp; PSUR &amp; PMCF</w:t>
          </w:r>
          <w:r>
            <w:tab/>
          </w:r>
          <w:r>
            <w:fldChar w:fldCharType="begin"/>
          </w:r>
          <w:r>
            <w:instrText xml:space="preserve"> PAGEREF _Toc1785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_Toc15205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highlight w:val="none"/>
              <w:lang w:val="en-US" w:eastAsia="zh-CN" w:bidi="ar"/>
            </w:rPr>
            <w:t>12.1 PMS plan</w:t>
          </w:r>
          <w:r>
            <w:tab/>
          </w:r>
          <w:r>
            <w:fldChar w:fldCharType="begin"/>
          </w:r>
          <w:r>
            <w:instrText xml:space="preserve"> PAGEREF _Toc15205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_Toc26628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highlight w:val="none"/>
              <w:lang w:val="en-US" w:eastAsia="zh-CN" w:bidi="ar"/>
            </w:rPr>
            <w:t>12.2 Periodic safety update report</w:t>
          </w:r>
          <w:r>
            <w:tab/>
          </w:r>
          <w:r>
            <w:fldChar w:fldCharType="begin"/>
          </w:r>
          <w:r>
            <w:instrText xml:space="preserve"> PAGEREF _Toc26628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_Toc15919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highlight w:val="none"/>
              <w:lang w:val="en-US" w:eastAsia="zh-CN" w:bidi="ar"/>
            </w:rPr>
            <w:t>12.3 Post-market clinical follow-up (PMCF) plan</w:t>
          </w:r>
          <w:r>
            <w:tab/>
          </w:r>
          <w:r>
            <w:fldChar w:fldCharType="begin"/>
          </w:r>
          <w:r>
            <w:instrText xml:space="preserve"> PAGEREF _Toc15919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_Toc14983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lang w:val="en-US" w:eastAsia="zh-CN" w:bidi="ar"/>
            </w:rPr>
            <w:t>12.4 Post-market clinical follow-up (PMCF) report</w:t>
          </w:r>
          <w:r>
            <w:tab/>
          </w:r>
          <w:r>
            <w:fldChar w:fldCharType="begin"/>
          </w:r>
          <w:r>
            <w:instrText xml:space="preserve"> PAGEREF _Toc14983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_Toc20520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lang w:val="en-US" w:eastAsia="zh-CN" w:bidi="ar"/>
            </w:rPr>
            <w:t>12.5</w:t>
          </w:r>
          <w:r>
            <w:rPr>
              <w:rFonts w:hint="default" w:ascii="Times New Roman" w:hAnsi="Times New Roman" w:eastAsia="Tahoma-Bold" w:cs="Times New Roman"/>
              <w:bCs/>
              <w:kern w:val="0"/>
              <w:szCs w:val="20"/>
              <w:lang w:val="en-US" w:eastAsia="zh-CN" w:bidi="ar"/>
            </w:rPr>
            <w:t xml:space="preserve"> Summary of safety and clinical performance (SSCP)</w:t>
          </w:r>
          <w:r>
            <w:tab/>
          </w:r>
          <w:r>
            <w:fldChar w:fldCharType="begin"/>
          </w:r>
          <w:r>
            <w:instrText xml:space="preserve"> PAGEREF _Toc20520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3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ind w:leftChars="0"/>
            <w:textAlignment w:val="auto"/>
            <w:outlineLvl w:val="9"/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</w:sdtContent>
    </w:sdt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textAlignment w:val="auto"/>
        <w:outlineLvl w:val="9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  <w:bookmarkStart w:id="13" w:name="_GoBack"/>
      <w:bookmarkEnd w:id="1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  <w:bookmarkStart w:id="7" w:name="_Toc1785"/>
      <w:r>
        <w:rPr>
          <w:rFonts w:hint="eastAsia" w:ascii="Times New Roman" w:hAnsi="Times New Roman" w:eastAsia="Tahoma-Bold" w:cs="Times New Roman"/>
          <w:b/>
          <w:bCs/>
          <w:iCs/>
          <w:color w:val="auto"/>
          <w:kern w:val="0"/>
          <w:sz w:val="21"/>
          <w:szCs w:val="20"/>
          <w:lang w:val="en-US" w:eastAsia="zh-CN" w:bidi="ar"/>
        </w:rPr>
        <w:t>12 PMS plan &amp; PSUR &amp; PMCF</w:t>
      </w:r>
      <w:bookmarkEnd w:id="7"/>
    </w:p>
    <w:p>
      <w:pPr>
        <w:pStyle w:val="2"/>
        <w:outlineLvl w:val="1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</w:pPr>
      <w:bookmarkStart w:id="8" w:name="_Toc15205"/>
      <w:r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  <w:t>12.1 PMS plan</w:t>
      </w:r>
      <w:bookmarkEnd w:id="8"/>
    </w:p>
    <w:p>
      <w:pPr>
        <w:pStyle w:val="2"/>
        <w:outlineLvl w:val="9"/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  <w:t>(</w:t>
      </w:r>
    </w:p>
    <w:p>
      <w:pPr>
        <w:pStyle w:val="2"/>
        <w:outlineLvl w:val="9"/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  <w:t>The device has not been put into the market. It does not contain a Periodic safety update report. It only contains a PMS plan. The details of PMS plan can refer to Appendix 12.1 Post Market Surveillance Plan.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3450"/>
        <w:gridCol w:w="4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  <w:t>SN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  <w:t>Document</w:t>
            </w:r>
          </w:p>
        </w:tc>
        <w:tc>
          <w:tcPr>
            <w:tcW w:w="4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  <w:t>Refer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Post Market Surveillance Plan</w:t>
            </w:r>
          </w:p>
        </w:tc>
        <w:tc>
          <w:tcPr>
            <w:tcW w:w="4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outlineLvl w:val="9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Appendix 12.1 Post Market Surveillance Plan</w:t>
            </w:r>
          </w:p>
        </w:tc>
      </w:tr>
    </w:tbl>
    <w:p>
      <w:pPr>
        <w:pStyle w:val="2"/>
        <w:outlineLvl w:val="9"/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  <w:t>)</w:t>
      </w:r>
    </w:p>
    <w:p>
      <w:pPr>
        <w:pStyle w:val="2"/>
        <w:outlineLvl w:val="9"/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</w:pPr>
    </w:p>
    <w:p>
      <w:pPr>
        <w:pStyle w:val="2"/>
        <w:outlineLvl w:val="1"/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</w:pPr>
      <w:bookmarkStart w:id="9" w:name="_Toc26628"/>
      <w:r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  <w:t>12.2 Periodic safety update report</w:t>
      </w:r>
      <w:bookmarkEnd w:id="9"/>
    </w:p>
    <w:p>
      <w:pPr>
        <w:pStyle w:val="2"/>
        <w:outlineLvl w:val="9"/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  <w:t>(</w:t>
      </w:r>
    </w:p>
    <w:p>
      <w:pPr>
        <w:pStyle w:val="2"/>
        <w:outlineLvl w:val="9"/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  <w:t>NA. The device has not been put into the market. It does not contain a Periodic safety update report.</w:t>
      </w:r>
    </w:p>
    <w:p>
      <w:pPr>
        <w:pStyle w:val="2"/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  <w:t>)</w:t>
      </w: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highlight w:val="none"/>
          <w:lang w:val="en-US" w:eastAsia="zh-CN" w:bidi="ar"/>
        </w:rPr>
      </w:pPr>
    </w:p>
    <w:p>
      <w:pPr>
        <w:pStyle w:val="2"/>
        <w:outlineLvl w:val="1"/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</w:pPr>
      <w:bookmarkStart w:id="10" w:name="_Toc15919"/>
      <w:r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  <w:t>12.3 Post-market clinical follow-up (PMCF) plan</w:t>
      </w:r>
      <w:bookmarkEnd w:id="10"/>
    </w:p>
    <w:p>
      <w:pPr>
        <w:pStyle w:val="2"/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  <w:t>(</w:t>
      </w:r>
    </w:p>
    <w:p>
      <w:pPr>
        <w:pStyle w:val="2"/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  <w:t>The device has not been put into the market. It does not contain a PMCF evaluation report. The details of Post-market clinical follow-up (PMCF) plan can refer to Appendix 12.2 Post Market Clinical Follow-up Plan.</w:t>
      </w:r>
    </w:p>
    <w:p>
      <w:pPr>
        <w:pStyle w:val="2"/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3427"/>
        <w:gridCol w:w="4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  <w:t>SN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  <w:t>Document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  <w:t>Refer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  <w:t>1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  <w:t>Post Market Clinical Follow-up Plan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  <w:t>Appendix 12.2 Post Market Clinical Follow-up Plan</w:t>
            </w:r>
          </w:p>
        </w:tc>
      </w:tr>
    </w:tbl>
    <w:p>
      <w:pPr>
        <w:pStyle w:val="2"/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  <w:t>)</w:t>
      </w:r>
    </w:p>
    <w:p>
      <w:pPr>
        <w:pStyle w:val="2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outlineLvl w:val="1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lang w:val="en-US" w:eastAsia="zh-CN" w:bidi="ar"/>
        </w:rPr>
      </w:pPr>
      <w:bookmarkStart w:id="11" w:name="_Toc14983"/>
      <w:r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1"/>
          <w:szCs w:val="20"/>
          <w:lang w:val="en-US" w:eastAsia="zh-CN" w:bidi="ar"/>
        </w:rPr>
        <w:t>12.4 Post-market clinical follow-up (PMCF) report</w:t>
      </w:r>
      <w:bookmarkEnd w:id="11"/>
    </w:p>
    <w:p>
      <w:pPr>
        <w:pStyle w:val="2"/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  <w:t>(</w:t>
      </w:r>
    </w:p>
    <w:p>
      <w:pPr>
        <w:pStyle w:val="2"/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  <w:t>NA. The device has not been put into the market. It does not contain a PMCF evaluation report.</w:t>
      </w:r>
    </w:p>
    <w:p>
      <w:pPr>
        <w:pStyle w:val="2"/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  <w:t>)</w:t>
      </w: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outlineLvl w:val="1"/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1"/>
          <w:szCs w:val="20"/>
          <w:lang w:val="en-US" w:eastAsia="zh-CN" w:bidi="ar"/>
        </w:rPr>
      </w:pPr>
      <w:bookmarkStart w:id="12" w:name="_Toc20520"/>
      <w:r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1"/>
          <w:szCs w:val="20"/>
          <w:lang w:val="en-US" w:eastAsia="zh-CN" w:bidi="ar"/>
        </w:rPr>
        <w:t>12.5</w:t>
      </w:r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lang w:val="en-US" w:eastAsia="zh-CN" w:bidi="ar"/>
        </w:rPr>
        <w:t xml:space="preserve"> Summary of safety and clinical performance (SSCP)</w:t>
      </w:r>
      <w:bookmarkEnd w:id="12"/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lang w:val="en-US" w:eastAsia="zh-CN" w:bidi="ar"/>
        </w:rPr>
        <w:t xml:space="preserve"> </w:t>
      </w:r>
    </w:p>
    <w:p>
      <w:pPr>
        <w:pStyle w:val="2"/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  <w:t>(</w:t>
      </w:r>
    </w:p>
    <w:p>
      <w:pPr>
        <w:pStyle w:val="2"/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  <w:t>NA</w:t>
      </w:r>
      <w:r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  <w:t>. The device is not an implantable device or class III device.</w:t>
      </w: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  <w:t xml:space="preserve"> It does not contain a SSCP.</w:t>
      </w:r>
    </w:p>
    <w:p>
      <w:pPr>
        <w:pStyle w:val="2"/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  <w:t>)</w:t>
      </w:r>
    </w:p>
    <w:p>
      <w:pPr>
        <w:pStyle w:val="2"/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-Bold">
    <w:altName w:val="Tahom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B07083A"/>
    <w:rsid w:val="42491C0F"/>
    <w:rsid w:val="462E437E"/>
    <w:rsid w:val="46561FD1"/>
    <w:rsid w:val="48A96BCF"/>
    <w:rsid w:val="4B950155"/>
    <w:rsid w:val="52B550F9"/>
    <w:rsid w:val="543A6A17"/>
    <w:rsid w:val="5854681A"/>
    <w:rsid w:val="5B3D4524"/>
    <w:rsid w:val="5DEA1794"/>
    <w:rsid w:val="61F875F0"/>
    <w:rsid w:val="638C3F6B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8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2023-10-25T05:47:08Z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