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default" w:ascii="Times New Roman" w:hAnsi="Times New Roman" w:eastAsia="Univers 57 Condensed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Appendix 8.2.1 Biocompatibility test protocols and reports  </w:t>
      </w:r>
      <w:r>
        <w:rPr>
          <w:rFonts w:hint="default" w:ascii="Times New Roman" w:hAnsi="Times New Roman" w:cs="Times New Roman"/>
          <w:b/>
          <w:sz w:val="44"/>
          <w:szCs w:val="44"/>
        </w:rPr>
        <w:t xml:space="preserve">            </w:t>
      </w:r>
    </w:p>
    <w:p>
      <w:pPr>
        <w:pStyle w:val="8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eastAsiaTheme="minorEastAsia"/>
          <w:b/>
          <w:bCs/>
          <w:i/>
          <w:iCs/>
          <w:color w:val="0000FF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i/>
          <w:iCs/>
          <w:color w:val="0000FF"/>
          <w:lang w:val="en-US" w:eastAsia="zh-CN"/>
        </w:rPr>
        <w:t>【提供生物相容性测试报告，测试报告需要由有资质的检测所出具。】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2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5F4158BD"/>
    <w:rsid w:val="638C3F6B"/>
    <w:rsid w:val="681F3395"/>
    <w:rsid w:val="6FAA0CDE"/>
    <w:rsid w:val="73041C9C"/>
    <w:rsid w:val="789B47A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2023-10-25T02:57:19Z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