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Appendix 6.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Gap analysis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 xml:space="preserve">(N/A. There is no gap analysis between </w:t>
      </w:r>
      <w:r>
        <w:rPr>
          <w:rFonts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 xml:space="preserve">Harmonised standards, common specifications, 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and</w:t>
      </w:r>
      <w:r>
        <w:rPr>
          <w:rFonts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 xml:space="preserve"> other solutions applied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2F917DD"/>
    <w:rsid w:val="331B629C"/>
    <w:rsid w:val="3B07083A"/>
    <w:rsid w:val="3EF33FDD"/>
    <w:rsid w:val="42491C0F"/>
    <w:rsid w:val="462E437E"/>
    <w:rsid w:val="46561FD1"/>
    <w:rsid w:val="4B950155"/>
    <w:rsid w:val="543A6A17"/>
    <w:rsid w:val="5854681A"/>
    <w:rsid w:val="5B3D4524"/>
    <w:rsid w:val="5DEA1794"/>
    <w:rsid w:val="5E480E6F"/>
    <w:rsid w:val="638C3F6B"/>
    <w:rsid w:val="681F3395"/>
    <w:rsid w:val="69513722"/>
    <w:rsid w:val="6FAA0CDE"/>
    <w:rsid w:val="73041C9C"/>
    <w:rsid w:val="73224C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2023-10-25T02:22:20Z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