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eastAsia="宋体" w:cs="Times New Roman"/>
          <w:b/>
          <w:bCs/>
          <w:sz w:val="24"/>
          <w:szCs w:val="24"/>
        </w:rPr>
      </w:pPr>
    </w:p>
    <w:p>
      <w:pPr>
        <w:jc w:val="center"/>
        <w:rPr>
          <w:rFonts w:hint="default" w:ascii="Times New Roman" w:hAnsi="Times New Roman" w:eastAsia="宋体" w:cs="Times New Roman"/>
          <w:b/>
          <w:bCs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>Appendix 6.2 List of Harmonised Standards</w:t>
      </w:r>
    </w:p>
    <w:p>
      <w:pPr>
        <w:pStyle w:val="2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jc w:val="both"/>
        <w:rPr>
          <w:rFonts w:hint="default" w:ascii="Times New Roman" w:hAnsi="Times New Roman" w:eastAsia="宋体" w:cs="Times New Roman"/>
          <w:b/>
          <w:bCs/>
          <w:i/>
          <w:iCs/>
          <w:color w:val="0000FF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i/>
          <w:iCs/>
          <w:color w:val="0000FF"/>
          <w:sz w:val="24"/>
          <w:szCs w:val="24"/>
          <w:lang w:val="en-US" w:eastAsia="zh-CN"/>
        </w:rPr>
        <w:t>{</w:t>
      </w:r>
    </w:p>
    <w:tbl>
      <w:tblPr>
        <w:tblStyle w:val="10"/>
        <w:tblW w:w="499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4"/>
        <w:gridCol w:w="2904"/>
        <w:gridCol w:w="51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FF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FF"/>
                <w:kern w:val="0"/>
                <w:sz w:val="24"/>
                <w:szCs w:val="24"/>
                <w:lang w:val="en-US" w:eastAsia="zh-CN" w:bidi="ar"/>
              </w:rPr>
              <w:t>SN</w:t>
            </w:r>
          </w:p>
        </w:tc>
        <w:tc>
          <w:tcPr>
            <w:tcW w:w="170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FF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FF"/>
                <w:kern w:val="0"/>
                <w:sz w:val="24"/>
                <w:szCs w:val="24"/>
                <w:lang w:val="en-US" w:eastAsia="zh-CN" w:bidi="ar"/>
              </w:rPr>
              <w:t>Standard No.</w:t>
            </w:r>
            <w:bookmarkStart w:id="0" w:name="_GoBack"/>
            <w:bookmarkEnd w:id="0"/>
          </w:p>
        </w:tc>
        <w:tc>
          <w:tcPr>
            <w:tcW w:w="301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FF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FF"/>
                <w:kern w:val="0"/>
                <w:sz w:val="24"/>
                <w:szCs w:val="24"/>
                <w:lang w:val="en-US" w:eastAsia="zh-CN" w:bidi="ar"/>
              </w:rPr>
              <w:t>Standard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FF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FF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70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FF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FF"/>
                <w:kern w:val="0"/>
                <w:sz w:val="24"/>
                <w:szCs w:val="24"/>
                <w:lang w:val="en-US" w:eastAsia="zh-CN" w:bidi="ar"/>
              </w:rPr>
              <w:t>EN ISO 13485:2016/A11:2021</w:t>
            </w:r>
          </w:p>
        </w:tc>
        <w:tc>
          <w:tcPr>
            <w:tcW w:w="301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FF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FF"/>
                <w:kern w:val="0"/>
                <w:sz w:val="24"/>
                <w:szCs w:val="24"/>
                <w:lang w:val="en-US" w:eastAsia="zh-CN" w:bidi="ar"/>
              </w:rPr>
              <w:t>Medical devices - Quality management systems - Requirements for regulatory purposes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FF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FF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70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FF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FF"/>
                <w:kern w:val="0"/>
                <w:sz w:val="24"/>
                <w:szCs w:val="24"/>
                <w:lang w:val="en-US" w:eastAsia="zh-CN" w:bidi="ar"/>
              </w:rPr>
              <w:t>EN 60601-1:2006+A1:2013+AC:2014+A12:2014 +A2:2020</w:t>
            </w:r>
          </w:p>
        </w:tc>
        <w:tc>
          <w:tcPr>
            <w:tcW w:w="301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FF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FF"/>
                <w:kern w:val="0"/>
                <w:sz w:val="24"/>
                <w:szCs w:val="24"/>
                <w:lang w:val="en-US" w:eastAsia="zh-CN" w:bidi="ar"/>
              </w:rPr>
              <w:t xml:space="preserve">Medical electrical equipment - Part 1: General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FF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FF"/>
                <w:kern w:val="0"/>
                <w:sz w:val="24"/>
                <w:szCs w:val="24"/>
                <w:lang w:val="en-US" w:eastAsia="zh-CN" w:bidi="ar"/>
              </w:rPr>
              <w:t xml:space="preserve">requirements for basic safety and essential performance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FF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FF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170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FF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FF"/>
                <w:kern w:val="0"/>
                <w:sz w:val="24"/>
                <w:szCs w:val="24"/>
                <w:lang w:val="en-US" w:eastAsia="zh-CN" w:bidi="ar"/>
              </w:rPr>
              <w:t>EN 60601-1-2:2015+A1:2020</w:t>
            </w:r>
          </w:p>
        </w:tc>
        <w:tc>
          <w:tcPr>
            <w:tcW w:w="301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FF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FF"/>
                <w:kern w:val="0"/>
                <w:sz w:val="24"/>
                <w:szCs w:val="24"/>
                <w:lang w:val="en-US" w:eastAsia="zh-CN" w:bidi="ar"/>
              </w:rPr>
              <w:t xml:space="preserve">Medical electrical equipment - Part 1-2: General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FF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FF"/>
                <w:kern w:val="0"/>
                <w:sz w:val="24"/>
                <w:szCs w:val="24"/>
                <w:lang w:val="en-US" w:eastAsia="zh-CN" w:bidi="ar"/>
              </w:rPr>
              <w:t xml:space="preserve">requirements for basic safety and essential performance - Collateral standard: Electromagnetic disturbances - Requirements and tests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FF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FF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170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FF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FF"/>
                <w:kern w:val="0"/>
                <w:sz w:val="24"/>
                <w:szCs w:val="24"/>
                <w:lang w:val="en-US" w:eastAsia="zh-CN" w:bidi="ar"/>
              </w:rPr>
              <w:t>EN ISO 15223-1:2021</w:t>
            </w:r>
          </w:p>
        </w:tc>
        <w:tc>
          <w:tcPr>
            <w:tcW w:w="301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FF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FF"/>
                <w:kern w:val="0"/>
                <w:sz w:val="24"/>
                <w:szCs w:val="24"/>
                <w:lang w:val="en-US" w:eastAsia="zh-CN" w:bidi="ar"/>
              </w:rPr>
              <w:t xml:space="preserve">Medical devices - Symbols to be used with information to be supplied by the manufacturer - Part 1: </w:t>
            </w:r>
            <w:r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FF"/>
                <w:kern w:val="0"/>
                <w:sz w:val="24"/>
                <w:szCs w:val="24"/>
                <w:lang w:val="en-US" w:eastAsia="zh-CN" w:bidi="ar"/>
              </w:rPr>
              <w:t>General requirements (ISO 15223-1:2021)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8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FF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FF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170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FF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FF"/>
                <w:kern w:val="0"/>
                <w:sz w:val="24"/>
                <w:szCs w:val="24"/>
                <w:lang w:val="en-US" w:eastAsia="zh-CN" w:bidi="ar"/>
              </w:rPr>
              <w:t xml:space="preserve">EN ISO 14971:2019/A11:2021 </w:t>
            </w:r>
          </w:p>
        </w:tc>
        <w:tc>
          <w:tcPr>
            <w:tcW w:w="301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FF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FF"/>
                <w:kern w:val="0"/>
                <w:sz w:val="24"/>
                <w:szCs w:val="24"/>
                <w:lang w:val="en-US" w:eastAsia="zh-CN" w:bidi="ar"/>
              </w:rPr>
              <w:t xml:space="preserve">Medical devices - Application of risk management to medical devices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FF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FF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170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FF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FF"/>
                <w:kern w:val="0"/>
                <w:sz w:val="24"/>
                <w:szCs w:val="24"/>
                <w:lang w:val="en-US" w:eastAsia="zh-CN" w:bidi="ar"/>
              </w:rPr>
              <w:t xml:space="preserve">EN62366-1:2015+AC:2015+AC:2016+A1:2020 </w:t>
            </w:r>
          </w:p>
        </w:tc>
        <w:tc>
          <w:tcPr>
            <w:tcW w:w="301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FF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FF"/>
                <w:kern w:val="0"/>
                <w:sz w:val="24"/>
                <w:szCs w:val="24"/>
                <w:lang w:val="en-US" w:eastAsia="zh-CN" w:bidi="ar"/>
              </w:rPr>
              <w:t xml:space="preserve">Medical devices -Part 1: Application of usability engineering to medical devices to medical devices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FF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FF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170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FF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FF"/>
                <w:kern w:val="0"/>
                <w:sz w:val="24"/>
                <w:szCs w:val="24"/>
                <w:lang w:val="en-US" w:eastAsia="zh-CN" w:bidi="ar"/>
              </w:rPr>
              <w:t>EN ISO 10993-1:2020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FF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301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FF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FF"/>
                <w:kern w:val="0"/>
                <w:sz w:val="24"/>
                <w:szCs w:val="24"/>
                <w:lang w:val="en-US" w:eastAsia="zh-CN" w:bidi="ar"/>
              </w:rPr>
              <w:t xml:space="preserve">Biological evaluation of medical devices - Part 1: Evaluation and testing within a risk management process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FF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FF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170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FF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FF"/>
                <w:kern w:val="0"/>
                <w:sz w:val="24"/>
                <w:szCs w:val="24"/>
                <w:lang w:val="en-US" w:eastAsia="zh-CN" w:bidi="ar"/>
              </w:rPr>
              <w:t>EN ISO 10993-5:2009</w:t>
            </w:r>
          </w:p>
        </w:tc>
        <w:tc>
          <w:tcPr>
            <w:tcW w:w="301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FF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FF"/>
                <w:kern w:val="0"/>
                <w:sz w:val="24"/>
                <w:szCs w:val="24"/>
                <w:lang w:val="en-US" w:eastAsia="zh-CN" w:bidi="ar"/>
              </w:rPr>
              <w:t>Biological evaluation of medical devices - Part 5: Tests for in vitro cytotoxicity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84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FF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FF"/>
                <w:kern w:val="0"/>
                <w:sz w:val="24"/>
                <w:szCs w:val="24"/>
                <w:lang w:val="en-US" w:eastAsia="zh-CN" w:bidi="ar"/>
              </w:rPr>
              <w:t>9</w:t>
            </w:r>
          </w:p>
        </w:tc>
        <w:tc>
          <w:tcPr>
            <w:tcW w:w="1704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FF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FF"/>
                <w:kern w:val="0"/>
                <w:sz w:val="24"/>
                <w:szCs w:val="24"/>
                <w:lang w:val="en-US" w:eastAsia="zh-CN" w:bidi="ar"/>
              </w:rPr>
              <w:t>EN ISO 10993-10:2013</w:t>
            </w:r>
          </w:p>
        </w:tc>
        <w:tc>
          <w:tcPr>
            <w:tcW w:w="3011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FF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FF"/>
                <w:kern w:val="0"/>
                <w:sz w:val="24"/>
                <w:szCs w:val="24"/>
                <w:lang w:val="en-US" w:eastAsia="zh-CN" w:bidi="ar"/>
              </w:rPr>
              <w:t>Biological evaluation of medical devices - Part 10: Tests for irritation and skin sensitization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84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FF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704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FF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3011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FF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8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auto"/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FF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FF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170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auto"/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FF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FF"/>
                <w:kern w:val="0"/>
                <w:sz w:val="24"/>
                <w:szCs w:val="24"/>
                <w:lang w:val="en-US" w:eastAsia="zh-CN" w:bidi="ar"/>
              </w:rPr>
              <w:t>EN ISO 14155:2020</w:t>
            </w:r>
          </w:p>
        </w:tc>
        <w:tc>
          <w:tcPr>
            <w:tcW w:w="301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auto"/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FF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FF"/>
                <w:kern w:val="0"/>
                <w:sz w:val="24"/>
                <w:szCs w:val="24"/>
                <w:lang w:val="en-US" w:eastAsia="zh-CN" w:bidi="ar"/>
              </w:rPr>
              <w:t>Clinical investigation of medical devices for human  subjects - Good clinical practice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8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FF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FF"/>
                <w:kern w:val="0"/>
                <w:sz w:val="24"/>
                <w:szCs w:val="24"/>
                <w:lang w:val="en-US" w:eastAsia="zh-CN" w:bidi="ar"/>
              </w:rPr>
              <w:t>11</w:t>
            </w:r>
          </w:p>
        </w:tc>
        <w:tc>
          <w:tcPr>
            <w:tcW w:w="170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auto"/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FF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FF"/>
                <w:kern w:val="0"/>
                <w:sz w:val="24"/>
                <w:szCs w:val="24"/>
                <w:lang w:val="en-US" w:eastAsia="zh-CN" w:bidi="ar"/>
              </w:rPr>
              <w:t>****</w:t>
            </w:r>
          </w:p>
        </w:tc>
        <w:tc>
          <w:tcPr>
            <w:tcW w:w="301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auto"/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FF"/>
                <w:kern w:val="0"/>
                <w:sz w:val="24"/>
                <w:szCs w:val="24"/>
                <w:lang w:val="en-US" w:eastAsia="zh-CN" w:bidi="ar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jc w:val="both"/>
        <w:rPr>
          <w:rFonts w:hint="default" w:ascii="Times New Roman" w:hAnsi="Times New Roman" w:eastAsia="宋体" w:cs="Times New Roman"/>
          <w:b/>
          <w:bCs/>
          <w:i/>
          <w:iCs/>
          <w:color w:val="0000FF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i/>
          <w:iCs/>
          <w:color w:val="0000FF"/>
          <w:sz w:val="24"/>
          <w:szCs w:val="24"/>
          <w:lang w:val="en-US" w:eastAsia="zh-CN"/>
        </w:rPr>
        <w:t>}</w:t>
      </w:r>
    </w:p>
    <w:p>
      <w:pPr>
        <w:jc w:val="center"/>
        <w:rPr>
          <w:rFonts w:hint="default" w:ascii="Times New Roman" w:hAnsi="Times New Roman" w:eastAsia="宋体" w:cs="Times New Roman"/>
          <w:b/>
          <w:sz w:val="24"/>
          <w:szCs w:val="24"/>
        </w:rPr>
      </w:pPr>
    </w:p>
    <w:p>
      <w:pP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decorative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Univers 57 Condensed">
    <w:altName w:val="宋体"/>
    <w:panose1 w:val="00000000000000000000"/>
    <w:charset w:val="86"/>
    <w:family w:val="swiss"/>
    <w:pitch w:val="default"/>
    <w:sig w:usb0="00000000" w:usb1="00000000" w:usb2="00000000" w:usb3="00000000" w:csb0="00000093" w:csb1="00000000"/>
  </w:font>
  <w:font w:name="Tahoma-Bold">
    <w:altName w:val="Tahoma"/>
    <w:panose1 w:val="020B0604020202020204"/>
    <w:charset w:val="00"/>
    <w:family w:val="auto"/>
    <w:pitch w:val="default"/>
    <w:sig w:usb0="00000000" w:usb1="00000000" w:usb2="00000000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tabs>
        <w:tab w:val="left" w:pos="6391"/>
        <w:tab w:val="clear" w:pos="4153"/>
      </w:tabs>
      <w:jc w:val="left"/>
      <w:rPr>
        <w:rFonts w:hint="eastAsia" w:ascii="宋体" w:hAnsi="宋体" w:eastAsia="宋体" w:cs="宋体"/>
        <w:b/>
        <w:bCs/>
        <w:sz w:val="18"/>
        <w:szCs w:val="18"/>
        <w:lang w:val="en-US" w:eastAsia="zh-CN"/>
      </w:rPr>
    </w:pPr>
  </w:p>
  <w:p>
    <w:pPr>
      <w:pStyle w:val="5"/>
      <w:tabs>
        <w:tab w:val="left" w:pos="6391"/>
        <w:tab w:val="clear" w:pos="4153"/>
      </w:tabs>
      <w:jc w:val="left"/>
    </w:pPr>
    <w:r>
      <w:rPr>
        <w:rFonts w:hint="eastAsia" w:ascii="宋体" w:hAnsi="宋体" w:eastAsia="宋体" w:cs="宋体"/>
        <w:b/>
        <w:bCs/>
        <w:sz w:val="18"/>
        <w:szCs w:val="18"/>
        <w:lang w:val="en-US" w:eastAsia="zh-CN"/>
      </w:rPr>
      <w:t>专业带去价值，服务赢来美誉!                                   模板仅供参考，请以法规要求为准。</w:t>
    </w:r>
    <w:r>
      <w:rPr>
        <w:sz w:val="18"/>
      </w:rPr>
      <w:pict>
        <v:shape id="_x0000_s3073" o:spid="_x0000_s3073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5"/>
                </w:pPr>
                <w:r>
                  <w:t xml:space="preserve">第 </w:t>
                </w: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t xml:space="preserve"> 页 共 </w:t>
                </w:r>
                <w:r>
                  <w:fldChar w:fldCharType="begin"/>
                </w:r>
                <w:r>
                  <w:instrText xml:space="preserve"> NUMPAGES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t xml:space="preserve"> 页</w:t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jc w:val="left"/>
      <w:textAlignment w:val="bottom"/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33020</wp:posOffset>
          </wp:positionH>
          <wp:positionV relativeFrom="paragraph">
            <wp:posOffset>2540</wp:posOffset>
          </wp:positionV>
          <wp:extent cx="621030" cy="613410"/>
          <wp:effectExtent l="0" t="0" r="7620" b="15240"/>
          <wp:wrapSquare wrapText="bothSides"/>
          <wp:docPr id="4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21030" cy="613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 w:ascii="宋体" w:hAnsi="宋体" w:eastAsia="宋体" w:cs="宋体"/>
        <w:b/>
        <w:bCs/>
        <w:color w:val="auto"/>
        <w:sz w:val="21"/>
        <w:szCs w:val="21"/>
      </w:rPr>
      <w:drawing>
        <wp:inline distT="0" distB="0" distL="114300" distR="114300">
          <wp:extent cx="846455" cy="608965"/>
          <wp:effectExtent l="0" t="0" r="10795" b="635"/>
          <wp:docPr id="5" name="图片 5" descr="C:\Users\Administrator\Desktop\模板图标3.png模板图标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C:\Users\Administrator\Desktop\模板图标3.png模板图标3"/>
                  <pic:cNvPicPr>
                    <a:picLocks noChangeAspect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46455" cy="6089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color w:val="C00000"/>
        <w:sz w:val="21"/>
        <w:szCs w:val="21"/>
      </w:rPr>
      <w:t>医械企业一站式知识平台！</w:t>
    </w:r>
    <w:r>
      <w:rPr>
        <w:rFonts w:hint="eastAsia" w:ascii="宋体" w:hAnsi="宋体" w:eastAsia="宋体" w:cs="宋体"/>
        <w:b/>
        <w:bCs/>
        <w:color w:val="auto"/>
        <w:sz w:val="21"/>
        <w:szCs w:val="21"/>
        <w:lang w:val="en-US" w:eastAsia="zh-CN"/>
      </w:rPr>
      <w:t xml:space="preserve">                  联系龙德获取更多知识!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6A71A4C"/>
    <w:multiLevelType w:val="multilevel"/>
    <w:tmpl w:val="26A71A4C"/>
    <w:lvl w:ilvl="0" w:tentative="0">
      <w:start w:val="1"/>
      <w:numFmt w:val="decimal"/>
      <w:pStyle w:val="3"/>
      <w:lvlText w:val="%1"/>
      <w:lvlJc w:val="left"/>
      <w:pPr>
        <w:ind w:left="425" w:hanging="425"/>
      </w:pPr>
      <w:rPr>
        <w:rFonts w:hint="eastAsia"/>
      </w:rPr>
    </w:lvl>
    <w:lvl w:ilvl="1" w:tentative="0">
      <w:start w:val="1"/>
      <w:numFmt w:val="decimal"/>
      <w:lvlText w:val="%1.%2"/>
      <w:lvlJc w:val="left"/>
      <w:pPr>
        <w:ind w:left="425" w:hanging="425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ind w:left="0" w:firstLine="0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DBmYjRiMDBmOWY5NmEyZDFkMWY5ZWYwN2E4OThiMGEifQ=="/>
  </w:docVars>
  <w:rsids>
    <w:rsidRoot w:val="002239B9"/>
    <w:rsid w:val="000857AE"/>
    <w:rsid w:val="00086FB7"/>
    <w:rsid w:val="000D6BCA"/>
    <w:rsid w:val="002239B9"/>
    <w:rsid w:val="008D66A9"/>
    <w:rsid w:val="00B41D81"/>
    <w:rsid w:val="00DB106B"/>
    <w:rsid w:val="04D55F72"/>
    <w:rsid w:val="19DA2300"/>
    <w:rsid w:val="1E907AE9"/>
    <w:rsid w:val="331B629C"/>
    <w:rsid w:val="3B07083A"/>
    <w:rsid w:val="3EF33FDD"/>
    <w:rsid w:val="42491C0F"/>
    <w:rsid w:val="436456BB"/>
    <w:rsid w:val="462E437E"/>
    <w:rsid w:val="46561FD1"/>
    <w:rsid w:val="4B950155"/>
    <w:rsid w:val="543A6A17"/>
    <w:rsid w:val="5854681A"/>
    <w:rsid w:val="5B3D4524"/>
    <w:rsid w:val="5DEA1794"/>
    <w:rsid w:val="638C3F6B"/>
    <w:rsid w:val="681F3395"/>
    <w:rsid w:val="69513722"/>
    <w:rsid w:val="6FAA0CDE"/>
    <w:rsid w:val="73041C9C"/>
    <w:rsid w:val="73224C81"/>
    <w:rsid w:val="7E8F578B"/>
    <w:rsid w:val="BE5AE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widowControl w:val="0"/>
      <w:numPr>
        <w:ilvl w:val="0"/>
        <w:numId w:val="1"/>
      </w:numPr>
      <w:spacing w:before="120" w:after="120" w:line="360" w:lineRule="auto"/>
      <w:jc w:val="both"/>
      <w:outlineLvl w:val="0"/>
    </w:pPr>
    <w:rPr>
      <w:rFonts w:ascii="Times New Roman" w:hAnsi="Times New Roman" w:eastAsia="Times New Roman" w:cs="Times New Roman"/>
      <w:b/>
      <w:bCs/>
      <w:kern w:val="44"/>
      <w:szCs w:val="44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Univers 57 Condensed" w:hAnsi="Times New Roman" w:eastAsia="Univers 57 Condensed" w:cs="Univers 57 Condensed"/>
      <w:color w:val="000000"/>
      <w:sz w:val="24"/>
      <w:szCs w:val="24"/>
      <w:lang w:val="en-US" w:eastAsia="zh-CN" w:bidi="ar-SA"/>
    </w:rPr>
  </w:style>
  <w:style w:type="paragraph" w:styleId="4">
    <w:name w:val="toc 3"/>
    <w:basedOn w:val="1"/>
    <w:next w:val="1"/>
    <w:unhideWhenUsed/>
    <w:qFormat/>
    <w:uiPriority w:val="39"/>
    <w:pPr>
      <w:widowControl w:val="0"/>
      <w:ind w:left="840" w:leftChars="400"/>
      <w:jc w:val="both"/>
    </w:pPr>
    <w:rPr>
      <w:rFonts w:ascii="Times New Roman" w:hAnsi="Times New Roman" w:cs="Times New Roman"/>
      <w:kern w:val="2"/>
      <w:sz w:val="21"/>
      <w:szCs w:val="20"/>
    </w:rPr>
  </w:style>
  <w:style w:type="paragraph" w:styleId="5">
    <w:name w:val="footer"/>
    <w:basedOn w:val="1"/>
    <w:link w:val="14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oc 1"/>
    <w:basedOn w:val="1"/>
    <w:next w:val="1"/>
    <w:unhideWhenUsed/>
    <w:qFormat/>
    <w:uiPriority w:val="39"/>
    <w:pPr>
      <w:widowControl w:val="0"/>
      <w:jc w:val="both"/>
    </w:pPr>
    <w:rPr>
      <w:rFonts w:ascii="Times New Roman" w:hAnsi="Times New Roman" w:cs="Times New Roman"/>
      <w:kern w:val="2"/>
      <w:sz w:val="21"/>
      <w:szCs w:val="20"/>
    </w:rPr>
  </w:style>
  <w:style w:type="paragraph" w:styleId="8">
    <w:name w:val="toc 2"/>
    <w:basedOn w:val="1"/>
    <w:next w:val="1"/>
    <w:unhideWhenUsed/>
    <w:qFormat/>
    <w:uiPriority w:val="39"/>
    <w:pPr>
      <w:widowControl w:val="0"/>
      <w:ind w:left="420" w:leftChars="200"/>
      <w:jc w:val="both"/>
    </w:pPr>
    <w:rPr>
      <w:rFonts w:ascii="Times New Roman" w:hAnsi="Times New Roman" w:cs="Times New Roman"/>
      <w:kern w:val="2"/>
      <w:sz w:val="21"/>
      <w:szCs w:val="20"/>
    </w:rPr>
  </w:style>
  <w:style w:type="table" w:styleId="10">
    <w:name w:val="Table Grid"/>
    <w:basedOn w:val="9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Hyperlink"/>
    <w:basedOn w:val="11"/>
    <w:uiPriority w:val="0"/>
    <w:rPr>
      <w:color w:val="0000FF"/>
      <w:u w:val="single"/>
    </w:rPr>
  </w:style>
  <w:style w:type="character" w:customStyle="1" w:styleId="13">
    <w:name w:val="页眉 Char"/>
    <w:basedOn w:val="11"/>
    <w:link w:val="6"/>
    <w:semiHidden/>
    <w:qFormat/>
    <w:uiPriority w:val="99"/>
    <w:rPr>
      <w:sz w:val="18"/>
      <w:szCs w:val="18"/>
    </w:rPr>
  </w:style>
  <w:style w:type="character" w:customStyle="1" w:styleId="14">
    <w:name w:val="页脚 Char"/>
    <w:basedOn w:val="11"/>
    <w:link w:val="5"/>
    <w:semiHidden/>
    <w:qFormat/>
    <w:uiPriority w:val="99"/>
    <w:rPr>
      <w:sz w:val="18"/>
      <w:szCs w:val="18"/>
    </w:rPr>
  </w:style>
  <w:style w:type="paragraph" w:customStyle="1" w:styleId="1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Microsoft</Company>
  <Pages>5</Pages>
  <Words>1617</Words>
  <Characters>1895</Characters>
  <Lines>1</Lines>
  <Paragraphs>1</Paragraphs>
  <TotalTime>0</TotalTime>
  <ScaleCrop>false</ScaleCrop>
  <LinksUpToDate>false</LinksUpToDate>
  <CharactersWithSpaces>1932</CharactersWithSpaces>
  <Application>WPS Office_12.1.0.15398_F1E327BC-269C-435d-A152-05C5408002CA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2021-04-15T15:49:00Z</dcterms:created>
  <dc:creator>龙德</dc:creator>
  <cp:lastModifiedBy>ASUS</cp:lastModifiedBy>
  <dcterms:modified xsi:type="dcterms:W3CDTF">2023-10-25T02:18:48Z</dcterms:modified>
  <dc:subject>医械宝模板仅供参考，具体以法规要求为准。需要更多医械宝信息请联系龙德。</dc:subject>
  <dc:title>医械宝模板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276E00956E904AD9B0009AAEEE1D5F38</vt:lpwstr>
  </property>
</Properties>
</file>