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Applied standards list and GSPR checklist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Edition: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by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color w:val="auto"/>
        </w:rPr>
      </w:pPr>
    </w:p>
    <w:p>
      <w:pPr>
        <w:rPr>
          <w:b/>
          <w:bCs/>
          <w:sz w:val="30"/>
          <w:szCs w:val="30"/>
        </w:rPr>
      </w:pPr>
      <w:bookmarkStart w:id="1" w:name="_Toc13987"/>
      <w:r>
        <w:rPr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9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</w:pPr>
      <w:bookmarkStart w:id="3" w:name="_Toc21661"/>
      <w:bookmarkStart w:id="4" w:name="_Toc32516"/>
      <w:bookmarkStart w:id="5" w:name="_Toc10038"/>
      <w:bookmarkStart w:id="6" w:name="_Toc11116"/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hint="default" w:ascii="Times New Roman" w:hAnsi="Times New Roman" w:eastAsia="宋体" w:cs="Times New Roman"/>
          <w:kern w:val="2"/>
          <w:sz w:val="21"/>
          <w:lang w:val="en-US" w:eastAsia="zh-CN" w:bidi="ar-SA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Tahoma-Bold" w:cs="Times New Roman"/>
          <w:b/>
          <w:bCs w:val="0"/>
          <w:color w:val="auto"/>
          <w:kern w:val="0"/>
          <w:sz w:val="24"/>
          <w:szCs w:val="20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cs="Times New Roman"/>
            </w:rPr>
          </w:pPr>
        </w:p>
        <w:p>
          <w:pPr>
            <w:pStyle w:val="7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instrText xml:space="preserve">TOC \o "1-3" \h \u </w:instrText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separate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_Toc25572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 xml:space="preserve">6 </w:t>
          </w:r>
          <w:r>
            <w:rPr>
              <w:rFonts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General safety and performance requirements</w:t>
          </w:r>
          <w:r>
            <w:tab/>
          </w:r>
          <w:r>
            <w:fldChar w:fldCharType="begin"/>
          </w:r>
          <w:r>
            <w:instrText xml:space="preserve"> PAGEREF _Toc25572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_Toc30521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6</w: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.1</w:t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 xml:space="preserve"> </w: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Applicable General Safety and Performance Requirements (MDR Annex II Section 4(a))</w:t>
          </w:r>
          <w:r>
            <w:tab/>
          </w:r>
          <w:r>
            <w:fldChar w:fldCharType="begin"/>
          </w:r>
          <w:r>
            <w:instrText xml:space="preserve"> PAGEREF _Toc30521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_Toc32686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6</w: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.2</w:t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 xml:space="preserve"> </w: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Method or methods used to de</w:t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monstrate conformity (MDR Annex II Section 4(b)</w:t>
          </w:r>
          <w:r>
            <w:tab/>
          </w:r>
          <w:r>
            <w:fldChar w:fldCharType="begin"/>
          </w:r>
          <w:r>
            <w:instrText xml:space="preserve"> PAGEREF _Toc32686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_Toc19742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6.</w: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3</w:t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 xml:space="preserve"> </w: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Harmonised standards, common specifications, or other solutions applied (MDR Articles 8, 9; MDR Annex II Section 4(c))</w:t>
          </w:r>
          <w:r>
            <w:tab/>
          </w:r>
          <w:r>
            <w:fldChar w:fldCharType="begin"/>
          </w:r>
          <w:r>
            <w:instrText xml:space="preserve"> PAGEREF _Toc19742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_Toc26066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6</w: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.4</w:t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 xml:space="preserve"> </w: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Controlled documents offering evidence of conformity (MDR Annex II Section 4(d))</w:t>
          </w:r>
          <w:r>
            <w:tab/>
          </w:r>
          <w:r>
            <w:fldChar w:fldCharType="begin"/>
          </w:r>
          <w:r>
            <w:instrText xml:space="preserve"> PAGEREF _Toc26066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_Toc14427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t>6.5 Declaration of conformity (MDR Art. 19; Annex IV)</w:t>
          </w:r>
          <w:r>
            <w:tab/>
          </w:r>
          <w:r>
            <w:fldChar w:fldCharType="begin"/>
          </w:r>
          <w:r>
            <w:instrText xml:space="preserve"> PAGEREF _Toc14427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3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ind w:leftChars="0"/>
            <w:textAlignment w:val="auto"/>
            <w:outlineLvl w:val="9"/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</w:sdtContent>
    </w:sdt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outlineLvl w:val="9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bookmarkStart w:id="7" w:name="_Toc25572"/>
      <w:bookmarkStart w:id="14" w:name="_GoBack"/>
      <w:bookmarkEnd w:id="14"/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6 General safety and performance requirements</w:t>
      </w:r>
      <w:bookmarkEnd w:id="7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1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bookmarkStart w:id="8" w:name="_Toc30521"/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6.1 Applicable General Safety and Performance Requirements (MDR Annex II Section 4(a))</w:t>
      </w:r>
      <w:bookmarkEnd w:id="8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The details of GSPR checklist can refer to Appendix 6.1 Checklist for GSPR Compliance Analysis.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206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SN</w:t>
            </w:r>
          </w:p>
        </w:tc>
        <w:tc>
          <w:tcPr>
            <w:tcW w:w="1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Document</w:t>
            </w:r>
          </w:p>
        </w:tc>
        <w:tc>
          <w:tcPr>
            <w:tcW w:w="2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Refer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Checklist for General Safety and Performance Requirements Compliance Analysis</w:t>
            </w:r>
          </w:p>
        </w:tc>
        <w:tc>
          <w:tcPr>
            <w:tcW w:w="2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Appendix 6.1 Checklist for GSPR Compliance Analysis.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1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bookmarkStart w:id="9" w:name="_Toc32686"/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6.2 Method or methods used to demonstrate conformity (MDR Annex II Section 4(b)</w:t>
      </w:r>
      <w:bookmarkEnd w:id="9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(The details can refer to Appendix 6.1 Checklist for GSPR Compliance Analysis.)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1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bookmarkStart w:id="10" w:name="_Toc19742"/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6.3 Harmonised standards, common specifications, or other solutions applied (MDR Articles 8, 9; MDR Annex II Section 4(c))</w:t>
      </w:r>
      <w:bookmarkEnd w:id="1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"/>
        </w:rPr>
      </w:pPr>
      <w:bookmarkStart w:id="11" w:name="_Toc5478"/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"/>
        </w:rPr>
        <w:t>{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"/>
        </w:rPr>
        <w:t>Harmonised standards</w:t>
      </w:r>
      <w:bookmarkEnd w:id="11"/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3273"/>
        <w:gridCol w:w="4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SN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Standard No.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Standard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13485:2016/A11:2021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Medical devices - Quality management systems - Requirements for regulatory purposes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60601-1:2006+A1:2013+AC:2014+A12:2014 +A2:2020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Medical electrical equipment - Part 1: General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requirements for basic safety and essential performance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60601-1-2:2015+A1:2020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Medical electrical equipment - Part 1-2: General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requirements for basic safety and essential performance - Collateral standard: Electromagnetic disturbances - Requirements and tests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15223-1:2021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Medical devices - Symbols to be used with information to be supplied by the manufacturer - Part 1: General requirements (ISO 15223-1:2021)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EN ISO 14971:2019/A11:2021 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Medical devices - Application of risk management to medical devices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EN62366-1:2015+AC:2015+AC:2016+A1:2020 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Medical devices -Part 1: Application of usability engineering to medical devices to medical devices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10993-1:2020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Biological evaluation of medical devices - Part 1: Evaluation and testing within a risk management process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10993-5:2009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Biological evaluation of medical devices - Part 5: Tests for in vitro cytotoxicity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10993-10:2013</w:t>
            </w:r>
          </w:p>
        </w:tc>
        <w:tc>
          <w:tcPr>
            <w:tcW w:w="27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Biological evaluation of medical devices - Part 10: Tests for irritation and skin sensitization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14155:2020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Clinical investigation of medical devices for human  subjects - Good clinical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***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"/>
        </w:rPr>
        <w:t>Common specifications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The device does not contain any Common specifications.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"/>
        </w:rPr>
        <w:t>Other solutions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481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SN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Solution</w:t>
            </w:r>
          </w:p>
        </w:tc>
        <w:tc>
          <w:tcPr>
            <w:tcW w:w="31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Regulation(EU) 2017/745</w:t>
            </w:r>
          </w:p>
        </w:tc>
        <w:tc>
          <w:tcPr>
            <w:tcW w:w="31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Medical devices regulations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MEDDEV 2.12/1 rev 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(January 2013)+(July 2019)</w:t>
            </w:r>
          </w:p>
        </w:tc>
        <w:tc>
          <w:tcPr>
            <w:tcW w:w="31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Guidelines on a medical devices vigilance system＋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instrText xml:space="preserve"> HYPERLINK "https://ec.europa.eu/docsroom/documents/36292"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Additional guidance on MEDDEV 2.12/1 rev.8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MEDDEV 2.7.1 Rev.4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(June 2016)</w:t>
            </w:r>
          </w:p>
        </w:tc>
        <w:tc>
          <w:tcPr>
            <w:tcW w:w="31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Guidelines On Medical Devices-Clinical evaluation: A Guide for manufacturers and notified bodies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MEDDEV 2.12/2 rev. 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(January 2012)</w:t>
            </w:r>
          </w:p>
        </w:tc>
        <w:tc>
          <w:tcPr>
            <w:tcW w:w="31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Guidelines on medical devices:Post market clinical follow-up studies - A guide for manufacturers and notified bodies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instrText xml:space="preserve"> HYPERLINK "https://ec.europa.eu/health/sites/health/files/md_sector/docs/md_mdcg_2020_7_guidance_pmcf_plan_template_en.pdf"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MDCG 2020-7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31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Post-market clinical follow-up (PMCF) plan template - A guide for manufacturers and notified bodies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MDCG 2020-5 </w:t>
            </w:r>
          </w:p>
        </w:tc>
        <w:tc>
          <w:tcPr>
            <w:tcW w:w="31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A guide for manufacturers and notified bodies: Clinical Evaluation - Equivalence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MDCG 2020-13</w:t>
            </w:r>
          </w:p>
        </w:tc>
        <w:tc>
          <w:tcPr>
            <w:tcW w:w="31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Clinical evaluation assessment report template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There is no gap analysis between Harmonised standards, common specifications, and other solutions applied.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The details can refer to Appendix 6.2 List of Harmonised Standards, Appendix 6.3 Common Specifications, Appendix 6.4 Other solutions and Appendix 6.5 Gap analysis.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}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1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bookmarkStart w:id="12" w:name="_Toc26066"/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6.4 Controlled documents offering evidence of conformity (MDR Annex II Section 4(d))</w:t>
      </w:r>
      <w:bookmarkEnd w:id="12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(The details can refer to Appendix 6.1 Checklist for GSPR Compliance Analysis.)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outlineLvl w:val="1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bookmarkStart w:id="13" w:name="_Toc14427"/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6.5 Declaration of conformity (MDR Art. 19; Annex IV)</w:t>
      </w:r>
      <w:bookmarkEnd w:id="13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(The details can refer to Appendix 13.1 Declaration of conformity.)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3224C81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2023-10-25T02:13:39Z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