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Appendix 5.8 Incoming inspection records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  <w:t>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原料与BOM清单中的内容一致。每个原料均需要有对应的检测报告，如果物料很多，可以先提供对应的检测报告清单，后续审核机构有更多的要求，再针对具体的问题进行回复。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22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Material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  <w:t xml:space="preserve">Incoming inspection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report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Document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FF"/>
                <w:vertAlign w:val="baseline"/>
                <w:lang w:val="en-US" w:eastAsia="zh-CN"/>
              </w:rPr>
              <w:t>***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  <w:t>】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6612C47"/>
    <w:rsid w:val="19DA2300"/>
    <w:rsid w:val="1E907AE9"/>
    <w:rsid w:val="21D2548D"/>
    <w:rsid w:val="24C90335"/>
    <w:rsid w:val="268A7B18"/>
    <w:rsid w:val="313B4368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97A2F79"/>
    <w:rsid w:val="6998147F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2023-10-25T02:10:16Z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