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Information on critical suppliers and subcontractors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{</w:t>
      </w:r>
    </w:p>
    <w:tbl>
      <w:tblPr>
        <w:tblStyle w:val="9"/>
        <w:tblW w:w="8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89"/>
        <w:gridCol w:w="1961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  <w:t>Component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bidi="ar"/>
              </w:rPr>
              <w:t>Model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bidi="ar"/>
              </w:rPr>
              <w:t>Supplier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bidi="ar"/>
              </w:rPr>
              <w:t>Address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3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2"/>
                <w:sz w:val="24"/>
                <w:szCs w:val="24"/>
                <w:lang w:val="en-US" w:eastAsia="zh-CN" w:bidi="ar-SA"/>
              </w:rPr>
              <w:t>****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【该信息与</w:t>
      </w:r>
      <w:r>
        <w:rPr>
          <w:rFonts w:hint="eastAsia" w:ascii="Times New Roman" w:hAnsi="Times New Roman" w:cs="Times New Roman"/>
          <w:b/>
          <w:bCs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05 Manufacturing Information中的内容一致。】</w:t>
      </w:r>
    </w:p>
    <w:bookmarkEnd w:id="0"/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68A7B18"/>
    <w:rsid w:val="331B629C"/>
    <w:rsid w:val="3B07083A"/>
    <w:rsid w:val="42491C0F"/>
    <w:rsid w:val="46127CC7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2023-10-25T02:08:09Z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