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4.2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Explanation of which tests are relevant to the current device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{</w:t>
      </w:r>
    </w:p>
    <w:tbl>
      <w:tblPr>
        <w:tblStyle w:val="10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062"/>
        <w:gridCol w:w="2625"/>
        <w:gridCol w:w="216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Test Item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Test Report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Document No.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lang w:val="en-US" w:eastAsia="zh-CN" w:bidi="ar"/>
              </w:rPr>
              <w:t>Pass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 w:bidi="ar"/>
        </w:rPr>
        <w:t>【该内容需要与04 Design Information的内容相互呼应，建议该内容同时与递交的文档中的验证内容，包括测试、过程验证、临床试验等等相互呼应，一一对应，可追溯。】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3B4A528E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2023-10-25T01:57:21Z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