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default" w:ascii="Times New Roman" w:hAnsi="Times New Roman" w:cs="Times New Roman"/>
          <w:b/>
          <w:bCs/>
          <w:sz w:val="48"/>
          <w:szCs w:val="56"/>
          <w:lang w:val="en-US" w:eastAsia="zh-CN"/>
        </w:rPr>
      </w:pPr>
      <w:r>
        <w:rPr>
          <w:rFonts w:hint="eastAsia"/>
          <w:lang w:val="en-US" w:eastAsia="zh-CN"/>
        </w:rPr>
        <w:t xml:space="preserve">    </w:t>
      </w:r>
      <w:r>
        <w:rPr>
          <w:rFonts w:hint="eastAsia"/>
          <w:sz w:val="44"/>
          <w:szCs w:val="44"/>
          <w:lang w:val="en-US" w:eastAsia="zh-CN"/>
        </w:rPr>
        <w:t xml:space="preserve">  </w:t>
      </w:r>
      <w:r>
        <w:rPr>
          <w:rFonts w:hint="default" w:ascii="Times New Roman" w:hAnsi="Times New Roman" w:cs="Times New Roman"/>
          <w:sz w:val="44"/>
          <w:szCs w:val="44"/>
          <w:lang w:val="en-US" w:eastAsia="zh-CN"/>
        </w:rPr>
        <w:t xml:space="preserve"> </w:t>
      </w:r>
      <w:r>
        <w:rPr>
          <w:rFonts w:hint="default" w:ascii="Times New Roman" w:hAnsi="Times New Roman" w:cs="Times New Roman"/>
          <w:b/>
          <w:bCs/>
          <w:sz w:val="44"/>
          <w:szCs w:val="44"/>
          <w:lang w:val="en-US" w:eastAsia="zh-CN"/>
        </w:rPr>
        <w:t xml:space="preserve">Substantial Equivalence Discussion </w:t>
      </w:r>
    </w:p>
    <w:p>
      <w:pPr>
        <w:rPr>
          <w:rFonts w:hint="default" w:ascii="Times New Roman" w:hAnsi="Times New Roman" w:cs="Times New Roman"/>
          <w:b/>
          <w:bCs/>
          <w:sz w:val="40"/>
          <w:szCs w:val="48"/>
          <w:lang w:val="en-US" w:eastAsia="zh-CN"/>
        </w:rPr>
      </w:pPr>
    </w:p>
    <w:p>
      <w:pPr>
        <w:numPr>
          <w:ilvl w:val="0"/>
          <w:numId w:val="1"/>
        </w:num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Purpose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The following is a comparison between the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val="0"/>
          <w:sz w:val="24"/>
          <w:szCs w:val="24"/>
          <w:lang w:val="en-US" w:eastAsia="zh-CN"/>
        </w:rPr>
        <w:t xml:space="preserve"> (Subject Device) and legally marketed device. The result shows the conformance of Subject Device to the Predicate Devices. </w:t>
      </w:r>
    </w:p>
    <w:p>
      <w:pPr>
        <w:numPr>
          <w:ilvl w:val="0"/>
          <w:numId w:val="0"/>
        </w:numPr>
        <w:rPr>
          <w:rFonts w:hint="default" w:ascii="Times New Roman" w:hAnsi="Times New Roman" w:cs="Times New Roman"/>
          <w:b w:val="0"/>
          <w:bCs w:val="0"/>
          <w:sz w:val="24"/>
          <w:szCs w:val="24"/>
          <w:lang w:val="en-US" w:eastAsia="zh-CN"/>
        </w:rPr>
      </w:pPr>
    </w:p>
    <w:p>
      <w:pPr>
        <w:numPr>
          <w:ilvl w:val="0"/>
          <w:numId w:val="1"/>
        </w:num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Predicate Devices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Subject Device is substantially equivalent in its technologies and functionality to the</w:t>
      </w:r>
      <w:r>
        <w:rPr>
          <w:rFonts w:hint="eastAsia" w:ascii="Times New Roman" w:hAnsi="Times New Roman" w:cs="Times New Roman"/>
          <w:b w:val="0"/>
          <w:bCs w:val="0"/>
          <w:sz w:val="24"/>
          <w:szCs w:val="24"/>
          <w:lang w:val="en-US" w:eastAsia="zh-CN"/>
        </w:rPr>
        <w:t xml:space="preserve"> </w:t>
      </w:r>
      <w:r>
        <w:rPr>
          <w:rFonts w:hint="eastAsia" w:ascii="Times New Roman" w:hAnsi="Times New Roman" w:cs="Times New Roman"/>
          <w:b/>
          <w:bCs/>
          <w:i/>
          <w:color w:val="0000CC"/>
          <w:sz w:val="24"/>
          <w:szCs w:val="24"/>
          <w:lang w:val="en-US" w:eastAsia="zh-CN"/>
        </w:rPr>
        <w:t>{填写对比器械名称}</w:t>
      </w:r>
      <w:r>
        <w:rPr>
          <w:rFonts w:hint="default" w:ascii="Times New Roman" w:hAnsi="Times New Roman" w:cs="Times New Roman"/>
          <w:b w:val="0"/>
          <w:bCs w:val="0"/>
          <w:sz w:val="24"/>
          <w:szCs w:val="24"/>
          <w:lang w:val="en-US" w:eastAsia="zh-CN"/>
        </w:rPr>
        <w:t xml:space="preserve"> manufactured by </w:t>
      </w:r>
      <w:r>
        <w:rPr>
          <w:rFonts w:hint="eastAsia" w:ascii="Times New Roman" w:hAnsi="Times New Roman" w:cs="Times New Roman"/>
          <w:b/>
          <w:bCs/>
          <w:i/>
          <w:color w:val="0000CC"/>
          <w:sz w:val="24"/>
          <w:szCs w:val="24"/>
          <w:lang w:val="en-US" w:eastAsia="zh-CN"/>
        </w:rPr>
        <w:t>{填写对比器械制造商}</w:t>
      </w:r>
      <w:r>
        <w:rPr>
          <w:rFonts w:hint="default" w:ascii="Times New Roman" w:hAnsi="Times New Roman" w:cs="Times New Roman"/>
          <w:b w:val="0"/>
          <w:bCs w:val="0"/>
          <w:sz w:val="24"/>
          <w:szCs w:val="24"/>
          <w:lang w:val="en-US" w:eastAsia="zh-CN"/>
        </w:rPr>
        <w:t xml:space="preserve"> that is already cleared under premarketed notification number </w:t>
      </w:r>
      <w:r>
        <w:rPr>
          <w:rFonts w:hint="eastAsia" w:ascii="Times New Roman" w:hAnsi="Times New Roman" w:cs="Times New Roman"/>
          <w:b/>
          <w:bCs/>
          <w:i/>
          <w:color w:val="0000CC"/>
          <w:sz w:val="24"/>
          <w:szCs w:val="24"/>
          <w:lang w:val="en-US" w:eastAsia="zh-CN"/>
        </w:rPr>
        <w:t>{填写对比器械K号}</w:t>
      </w:r>
      <w:r>
        <w:rPr>
          <w:rFonts w:hint="default" w:ascii="Times New Roman" w:hAnsi="Times New Roman" w:cs="Times New Roman"/>
          <w:b w:val="0"/>
          <w:bCs w:val="0"/>
          <w:sz w:val="24"/>
          <w:szCs w:val="24"/>
          <w:lang w:val="en-US" w:eastAsia="zh-CN"/>
        </w:rPr>
        <w:t xml:space="preserve">. </w:t>
      </w:r>
    </w:p>
    <w:p>
      <w:pPr>
        <w:numPr>
          <w:ilvl w:val="0"/>
          <w:numId w:val="0"/>
        </w:numPr>
        <w:rPr>
          <w:rFonts w:hint="default" w:ascii="Times New Roman" w:hAnsi="Times New Roman" w:cs="Times New Roman"/>
          <w:b w:val="0"/>
          <w:bCs w:val="0"/>
          <w:sz w:val="24"/>
          <w:szCs w:val="24"/>
          <w:lang w:val="en-US" w:eastAsia="zh-CN"/>
        </w:rPr>
      </w:pPr>
    </w:p>
    <w:tbl>
      <w:tblPr>
        <w:tblStyle w:val="6"/>
        <w:tblW w:w="8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3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rPr>
                <w:rFonts w:hint="default" w:ascii="Times New Roman" w:hAnsi="Times New Roman" w:cs="Times New Roman"/>
                <w:b/>
                <w:bCs/>
                <w:sz w:val="24"/>
                <w:szCs w:val="24"/>
                <w:vertAlign w:val="baseline"/>
                <w:lang w:val="en-US" w:eastAsia="zh-CN"/>
              </w:rPr>
            </w:pPr>
            <w:bookmarkStart w:id="0" w:name="OLE_LINK12"/>
            <w:r>
              <w:rPr>
                <w:rFonts w:hint="default" w:ascii="Times New Roman" w:hAnsi="Times New Roman" w:cs="Times New Roman"/>
                <w:b/>
                <w:bCs/>
                <w:sz w:val="24"/>
                <w:szCs w:val="24"/>
                <w:vertAlign w:val="baseline"/>
                <w:lang w:val="en-US" w:eastAsia="zh-CN"/>
              </w:rPr>
              <w:t xml:space="preserve">Manufacturer </w:t>
            </w:r>
          </w:p>
        </w:tc>
        <w:tc>
          <w:tcPr>
            <w:tcW w:w="4306"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Proprietary /Trade Name</w:t>
            </w:r>
          </w:p>
        </w:tc>
        <w:tc>
          <w:tcPr>
            <w:tcW w:w="2046"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510(K)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30" w:type="dxa"/>
          </w:tcPr>
          <w:p>
            <w:pPr>
              <w:numPr>
                <w:ilvl w:val="0"/>
                <w:numId w:val="0"/>
              </w:numPr>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bCs/>
                <w:i/>
                <w:color w:val="0000CC"/>
                <w:sz w:val="24"/>
                <w:szCs w:val="24"/>
                <w:lang w:val="en-US" w:eastAsia="zh-CN"/>
              </w:rPr>
              <w:t>{填写对比器械制造商}</w:t>
            </w:r>
          </w:p>
        </w:tc>
        <w:tc>
          <w:tcPr>
            <w:tcW w:w="4306" w:type="dxa"/>
          </w:tcPr>
          <w:p>
            <w:pPr>
              <w:numPr>
                <w:ilvl w:val="0"/>
                <w:numId w:val="0"/>
              </w:numPr>
              <w:rPr>
                <w:rFonts w:hint="default" w:ascii="Times New Roman" w:hAnsi="Times New Roman" w:cs="Times New Roman"/>
                <w:b w:val="0"/>
                <w:bCs w:val="0"/>
                <w:sz w:val="24"/>
                <w:szCs w:val="24"/>
                <w:lang w:val="en-US" w:eastAsia="zh-CN"/>
              </w:rPr>
            </w:pPr>
            <w:r>
              <w:rPr>
                <w:rFonts w:hint="eastAsia" w:ascii="Times New Roman" w:hAnsi="Times New Roman" w:cs="Times New Roman"/>
                <w:b/>
                <w:bCs/>
                <w:i/>
                <w:color w:val="0000CC"/>
                <w:sz w:val="24"/>
                <w:szCs w:val="24"/>
                <w:lang w:val="en-US" w:eastAsia="zh-CN"/>
              </w:rPr>
              <w:t>{填写对比器械名称}</w:t>
            </w:r>
          </w:p>
        </w:tc>
        <w:tc>
          <w:tcPr>
            <w:tcW w:w="2046" w:type="dxa"/>
          </w:tcPr>
          <w:p>
            <w:pPr>
              <w:numPr>
                <w:ilvl w:val="0"/>
                <w:numId w:val="0"/>
              </w:numP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bCs/>
                <w:i/>
                <w:color w:val="0000CC"/>
                <w:sz w:val="24"/>
                <w:szCs w:val="24"/>
                <w:lang w:val="en-US" w:eastAsia="zh-CN"/>
              </w:rPr>
              <w:t>{填写对比器械K号}</w:t>
            </w:r>
          </w:p>
        </w:tc>
      </w:tr>
      <w:bookmarkEnd w:id="0"/>
    </w:tbl>
    <w:p>
      <w:pPr>
        <w:numPr>
          <w:ilvl w:val="0"/>
          <w:numId w:val="0"/>
        </w:numPr>
        <w:rPr>
          <w:rFonts w:hint="default" w:ascii="Times New Roman" w:hAnsi="Times New Roman" w:cs="Times New Roman"/>
          <w:b/>
          <w:bCs/>
          <w:sz w:val="24"/>
          <w:szCs w:val="24"/>
          <w:lang w:val="en-US" w:eastAsia="zh-CN"/>
        </w:rPr>
      </w:pPr>
    </w:p>
    <w:p>
      <w:pPr>
        <w:numPr>
          <w:ilvl w:val="0"/>
          <w:numId w:val="0"/>
        </w:num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3. Comparison Result </w:t>
      </w:r>
    </w:p>
    <w:p>
      <w:pPr>
        <w:numPr>
          <w:ilvl w:val="0"/>
          <w:numId w:val="0"/>
        </w:numPr>
        <w:rPr>
          <w:rFonts w:hint="default" w:ascii="Times New Roman" w:hAnsi="Times New Roman" w:cs="Times New Roman"/>
          <w:b w:val="0"/>
          <w:bCs w:val="0"/>
          <w:sz w:val="24"/>
          <w:szCs w:val="24"/>
          <w:lang w:val="en-US" w:eastAsia="zh-CN"/>
        </w:rPr>
      </w:pPr>
    </w:p>
    <w:tbl>
      <w:tblPr>
        <w:tblStyle w:val="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3283"/>
        <w:gridCol w:w="3404"/>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Item</w:t>
            </w:r>
          </w:p>
        </w:tc>
        <w:tc>
          <w:tcPr>
            <w:tcW w:w="3283"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       Proposed Device</w:t>
            </w:r>
          </w:p>
        </w:tc>
        <w:tc>
          <w:tcPr>
            <w:tcW w:w="3404"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        </w:t>
            </w:r>
            <w:bookmarkStart w:id="1" w:name="OLE_LINK2"/>
            <w:r>
              <w:rPr>
                <w:rFonts w:hint="default" w:ascii="Times New Roman" w:hAnsi="Times New Roman" w:cs="Times New Roman"/>
                <w:b/>
                <w:bCs/>
                <w:sz w:val="24"/>
                <w:szCs w:val="24"/>
                <w:vertAlign w:val="baseline"/>
                <w:lang w:val="en-US" w:eastAsia="zh-CN"/>
              </w:rPr>
              <w:t xml:space="preserve">Predicate Devices </w:t>
            </w:r>
            <w:bookmarkEnd w:id="1"/>
          </w:p>
        </w:tc>
        <w:tc>
          <w:tcPr>
            <w:tcW w:w="1022" w:type="dxa"/>
          </w:tcPr>
          <w:p>
            <w:pPr>
              <w:numPr>
                <w:ilvl w:val="0"/>
                <w:numId w:val="0"/>
              </w:numP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Trade Name </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Model </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510(k) Submitter</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510(k) Number </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210" w:type="dxa"/>
          </w:tcPr>
          <w:p>
            <w:pPr>
              <w:numPr>
                <w:ilvl w:val="0"/>
                <w:numId w:val="0"/>
              </w:num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Classifications Name &amp; Citations</w:t>
            </w:r>
          </w:p>
        </w:tc>
        <w:tc>
          <w:tcPr>
            <w:tcW w:w="3283"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ind w:left="240" w:hanging="240" w:hangingChars="1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Intended</w:t>
            </w:r>
          </w:p>
          <w:p>
            <w:pPr>
              <w:numPr>
                <w:ilvl w:val="0"/>
                <w:numId w:val="0"/>
              </w:numPr>
              <w:ind w:left="240" w:hanging="240" w:hangingChars="1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Use </w:t>
            </w:r>
          </w:p>
        </w:tc>
        <w:tc>
          <w:tcPr>
            <w:tcW w:w="3283"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eastAsia" w:ascii="Times New Roman" w:hAnsi="Times New Roman" w:cs="Times New Roman"/>
                <w:b/>
                <w:bCs/>
                <w:i/>
                <w:color w:val="0000CC"/>
                <w:sz w:val="24"/>
                <w:szCs w:val="24"/>
                <w:lang w:val="en-US" w:eastAsia="zh-CN"/>
              </w:rPr>
              <w:t>（参考示例：</w:t>
            </w:r>
            <w:r>
              <w:rPr>
                <w:rFonts w:hint="default" w:ascii="Times New Roman" w:hAnsi="Times New Roman" w:cs="Times New Roman"/>
                <w:b/>
                <w:bCs/>
                <w:i/>
                <w:color w:val="0000CC"/>
                <w:sz w:val="24"/>
                <w:szCs w:val="24"/>
                <w:lang w:val="en-US" w:eastAsia="zh-CN"/>
              </w:rPr>
              <w:t>Use type</w:t>
            </w:r>
            <w:r>
              <w:rPr>
                <w:rFonts w:hint="eastAsia" w:ascii="Times New Roman" w:hAnsi="Times New Roman" w:cs="Times New Roman"/>
                <w:b/>
                <w:bCs/>
                <w:i/>
                <w:color w:val="0000CC"/>
                <w:sz w:val="24"/>
                <w:szCs w:val="24"/>
                <w:lang w:val="en-US" w:eastAsia="zh-CN"/>
              </w:rPr>
              <w:t>）</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For single use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default" w:ascii="Times New Roman" w:hAnsi="Times New Roman" w:cs="Times New Roman"/>
                <w:b/>
                <w:bCs/>
                <w:i/>
                <w:color w:val="0000CC"/>
                <w:sz w:val="24"/>
                <w:szCs w:val="24"/>
                <w:lang w:val="en-US" w:eastAsia="zh-CN"/>
              </w:rPr>
              <w:t>For single use</w:t>
            </w:r>
            <w:r>
              <w:rPr>
                <w:rFonts w:hint="eastAsia" w:ascii="Times New Roman" w:hAnsi="Times New Roman" w:cs="Times New Roman"/>
                <w:b/>
                <w:bCs/>
                <w:i/>
                <w:color w:val="0000CC"/>
                <w:sz w:val="24"/>
                <w:szCs w:val="24"/>
                <w:lang w:val="en-US" w:eastAsia="zh-CN"/>
              </w:rPr>
              <w:t>）</w:t>
            </w:r>
          </w:p>
        </w:tc>
        <w:tc>
          <w:tcPr>
            <w:tcW w:w="1022"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r>
              <w:rPr>
                <w:rFonts w:hint="default" w:ascii="Times New Roman" w:hAnsi="Times New Roman" w:cs="Times New Roman"/>
                <w:b/>
                <w:bCs/>
                <w:i/>
                <w:color w:val="0000CC"/>
                <w:sz w:val="24"/>
                <w:szCs w:val="24"/>
                <w:lang w:val="en-US" w:eastAsia="zh-CN"/>
              </w:rPr>
              <w:t xml:space="preserve">Sterile </w:t>
            </w:r>
          </w:p>
          <w:p>
            <w:pPr>
              <w:numPr>
                <w:ilvl w:val="0"/>
                <w:numId w:val="0"/>
              </w:numPr>
              <w:ind w:left="0" w:leftChars="0" w:firstLine="0" w:firstLineChars="0"/>
              <w:rPr>
                <w:rFonts w:hint="eastAsia" w:ascii="Times New Roman" w:hAnsi="Times New Roman" w:cs="Times New Roman" w:eastAsiaTheme="minorEastAsia"/>
                <w:b/>
                <w:bCs/>
                <w:i/>
                <w:color w:val="0000CC"/>
                <w:kern w:val="2"/>
                <w:sz w:val="24"/>
                <w:szCs w:val="24"/>
                <w:lang w:val="en-US" w:eastAsia="zh-CN" w:bidi="ar-SA"/>
              </w:rPr>
            </w:pPr>
            <w:r>
              <w:rPr>
                <w:rFonts w:hint="default" w:ascii="Times New Roman" w:hAnsi="Times New Roman" w:cs="Times New Roman"/>
                <w:b/>
                <w:bCs/>
                <w:i/>
                <w:color w:val="0000CC"/>
                <w:sz w:val="24"/>
                <w:szCs w:val="24"/>
                <w:lang w:val="en-US" w:eastAsia="zh-CN"/>
              </w:rPr>
              <w:t>Package</w:t>
            </w:r>
            <w:r>
              <w:rPr>
                <w:rFonts w:hint="eastAsia" w:ascii="Times New Roman" w:hAnsi="Times New Roman" w:cs="Times New Roman"/>
                <w:b/>
                <w:bCs/>
                <w:i/>
                <w:color w:val="0000CC"/>
                <w:sz w:val="24"/>
                <w:szCs w:val="24"/>
                <w:lang w:val="en-US" w:eastAsia="zh-CN"/>
              </w:rPr>
              <w:t>）</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Non-sterile package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eastAsia" w:ascii="Times New Roman" w:hAnsi="Times New Roman" w:cs="Times New Roman" w:eastAsiaTheme="minorEastAsia"/>
                <w:b/>
                <w:bCs/>
                <w:i/>
                <w:color w:val="0000CC"/>
                <w:kern w:val="2"/>
                <w:sz w:val="24"/>
                <w:szCs w:val="24"/>
                <w:lang w:val="en-US" w:eastAsia="zh-CN" w:bidi="ar-SA"/>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Non-sterile package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eastAsia" w:ascii="Times New Roman" w:hAnsi="Times New Roman" w:cs="Times New Roman" w:eastAsiaTheme="minorEastAsia"/>
                <w:b/>
                <w:bCs/>
                <w:i/>
                <w:color w:val="0000CC"/>
                <w:kern w:val="2"/>
                <w:sz w:val="24"/>
                <w:szCs w:val="24"/>
                <w:lang w:val="en-US" w:eastAsia="zh-CN" w:bidi="ar-SA"/>
              </w:rPr>
            </w:pPr>
          </w:p>
        </w:tc>
        <w:tc>
          <w:tcPr>
            <w:tcW w:w="1022" w:type="dxa"/>
            <w:vAlign w:val="top"/>
          </w:tcPr>
          <w:p>
            <w:pPr>
              <w:numPr>
                <w:ilvl w:val="0"/>
                <w:numId w:val="0"/>
              </w:numPr>
              <w:ind w:left="0" w:leftChars="0" w:firstLine="0" w:firstLineChars="0"/>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eastAsia" w:ascii="Times New Roman" w:hAnsi="Times New Roman" w:cs="Times New Roman"/>
                <w:b/>
                <w:bCs/>
                <w:i/>
                <w:color w:val="0000CC"/>
                <w:sz w:val="24"/>
                <w:szCs w:val="24"/>
                <w:lang w:val="en-US" w:eastAsia="zh-CN"/>
              </w:rPr>
              <w:t>（参考示例：Size）</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125×30mm;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150×40mm;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125×40mm;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150×70mm;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235×50mm;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235×70mm;</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94×26mm</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p>
        </w:tc>
        <w:tc>
          <w:tcPr>
            <w:tcW w:w="1022" w:type="dxa"/>
            <w:vAlign w:val="top"/>
          </w:tcPr>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default" w:ascii="Times New Roman" w:hAnsi="Times New Roman" w:cs="Times New Roman"/>
                <w:color w:val="auto"/>
                <w:sz w:val="24"/>
                <w:szCs w:val="24"/>
                <w:lang w:val="en-US" w:eastAsia="zh-CN"/>
              </w:rPr>
              <w:t xml:space="preserve">Different </w:t>
            </w:r>
            <w:r>
              <w:rPr>
                <w:rFonts w:hint="eastAsia" w:ascii="Times New Roman" w:hAnsi="Times New Roman"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vAlign w:val="top"/>
          </w:tcPr>
          <w:p>
            <w:pPr>
              <w:numPr>
                <w:ilvl w:val="0"/>
                <w:numId w:val="0"/>
              </w:numPr>
              <w:ind w:left="240" w:hanging="241" w:hangingChars="100"/>
              <w:jc w:val="left"/>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241" w:leftChars="0" w:hanging="241" w:hangingChars="100"/>
              <w:jc w:val="left"/>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他对比项}</w:t>
            </w:r>
          </w:p>
        </w:tc>
        <w:tc>
          <w:tcPr>
            <w:tcW w:w="0" w:type="auto"/>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{填写申报器械信息}</w:t>
            </w:r>
          </w:p>
        </w:tc>
        <w:tc>
          <w:tcPr>
            <w:tcW w:w="0" w:type="auto"/>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{填写对比器械信息}</w:t>
            </w:r>
          </w:p>
        </w:tc>
        <w:tc>
          <w:tcPr>
            <w:tcW w:w="0" w:type="auto"/>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color w:val="auto"/>
                <w:sz w:val="24"/>
                <w:szCs w:val="24"/>
                <w:lang w:val="en-US" w:eastAsia="zh-CN"/>
              </w:rPr>
              <w:t xml:space="preserve">Different </w:t>
            </w:r>
            <w:r>
              <w:rPr>
                <w:rFonts w:hint="eastAsia" w:ascii="Times New Roman" w:hAnsi="Times New Roman"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w:t>
            </w:r>
          </w:p>
        </w:tc>
        <w:tc>
          <w:tcPr>
            <w:tcW w:w="0" w:type="auto"/>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p>
        </w:tc>
        <w:tc>
          <w:tcPr>
            <w:tcW w:w="0" w:type="auto"/>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p>
        </w:tc>
        <w:tc>
          <w:tcPr>
            <w:tcW w:w="0" w:type="auto"/>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p>
        </w:tc>
      </w:tr>
    </w:tbl>
    <w:p>
      <w:pPr>
        <w:numPr>
          <w:ilvl w:val="0"/>
          <w:numId w:val="0"/>
        </w:numPr>
        <w:rPr>
          <w:rFonts w:hint="default" w:ascii="Times New Roman" w:hAnsi="Times New Roman" w:cs="Times New Roman"/>
          <w:b w:val="0"/>
          <w:bCs w:val="0"/>
          <w:sz w:val="24"/>
          <w:szCs w:val="24"/>
          <w:lang w:val="en-US" w:eastAsia="zh-CN"/>
        </w:rPr>
      </w:pPr>
    </w:p>
    <w:p>
      <w:pPr>
        <w:numPr>
          <w:ilvl w:val="0"/>
          <w:numId w:val="0"/>
        </w:numPr>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Note:</w:t>
      </w:r>
      <w:r>
        <w:rPr>
          <w:rFonts w:hint="default" w:ascii="Times New Roman" w:hAnsi="Times New Roman" w:cs="Times New Roman"/>
          <w:b w:val="0"/>
          <w:bCs w:val="0"/>
          <w:sz w:val="24"/>
          <w:szCs w:val="24"/>
          <w:lang w:val="en-US" w:eastAsia="zh-CN"/>
        </w:rPr>
        <w:t xml:space="preserve"> S/D: Same/Different</w:t>
      </w:r>
    </w:p>
    <w:p>
      <w:pPr>
        <w:numPr>
          <w:ilvl w:val="0"/>
          <w:numId w:val="0"/>
        </w:numPr>
        <w:rPr>
          <w:rFonts w:hint="default" w:ascii="Times New Roman" w:hAnsi="Times New Roman"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bCs/>
          <w:sz w:val="24"/>
          <w:szCs w:val="24"/>
          <w:lang w:val="en-US" w:eastAsia="zh-CN"/>
        </w:rPr>
        <w:t xml:space="preserve">4. </w:t>
      </w:r>
      <w:bookmarkStart w:id="2" w:name="OLE_LINK14"/>
      <w:bookmarkStart w:id="3" w:name="OLE_LINK13"/>
      <w:r>
        <w:rPr>
          <w:rFonts w:hint="default" w:ascii="Times New Roman" w:hAnsi="Times New Roman" w:cs="Times New Roman"/>
          <w:b/>
          <w:bCs/>
          <w:sz w:val="24"/>
          <w:szCs w:val="24"/>
          <w:lang w:val="en-US" w:eastAsia="zh-CN"/>
        </w:rPr>
        <w:t>Discussion of Similarities and Differences</w:t>
      </w:r>
      <w:bookmarkEnd w:id="2"/>
      <w:r>
        <w:rPr>
          <w:rFonts w:hint="default" w:ascii="Times New Roman" w:hAnsi="Times New Roman" w:cs="Times New Roman"/>
          <w:b w:val="0"/>
          <w:bCs w:val="0"/>
          <w:sz w:val="24"/>
          <w:szCs w:val="24"/>
          <w:lang w:val="en-US" w:eastAsia="zh-CN"/>
        </w:rPr>
        <w:br w:type="textWrapping"/>
      </w:r>
      <w:r>
        <w:rPr>
          <w:rFonts w:hint="default" w:ascii="Times New Roman" w:hAnsi="Times New Roman" w:cs="Times New Roman"/>
          <w:b w:val="0"/>
          <w:bCs w:val="0"/>
          <w:sz w:val="24"/>
          <w:szCs w:val="24"/>
          <w:vertAlign w:val="baseline"/>
          <w:lang w:val="en-US" w:eastAsia="zh-CN"/>
        </w:rPr>
        <w:t>The features of the</w:t>
      </w:r>
      <w:r>
        <w:rPr>
          <w:rFonts w:hint="eastAsia" w:ascii="Times New Roman" w:hAnsi="Times New Roman" w:cs="Times New Roman"/>
          <w:b w:val="0"/>
          <w:bCs w:val="0"/>
          <w:sz w:val="24"/>
          <w:szCs w:val="24"/>
          <w:vertAlign w:val="baseline"/>
          <w:lang w:val="en-US" w:eastAsia="zh-CN"/>
        </w:rPr>
        <w:t xml:space="preserv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val="0"/>
          <w:sz w:val="24"/>
          <w:szCs w:val="24"/>
          <w:vertAlign w:val="baseline"/>
          <w:lang w:val="en-US" w:eastAsia="zh-CN"/>
        </w:rPr>
        <w:t xml:space="preserve"> are compared to predicate devices in the form of above tables.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Our device and the predicate device differ in the following areas.</w:t>
      </w:r>
      <w:bookmarkStart w:id="4" w:name="OLE_LINK3"/>
    </w:p>
    <w:bookmarkEnd w:id="3"/>
    <w:p>
      <w:pPr>
        <w:numPr>
          <w:ilvl w:val="0"/>
          <w:numId w:val="0"/>
        </w:numPr>
        <w:ind w:left="240" w:hanging="240" w:hangingChars="1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 xml:space="preserve">(1) </w:t>
      </w:r>
      <w:r>
        <w:rPr>
          <w:rFonts w:hint="eastAsia" w:ascii="Times New Roman" w:hAnsi="Times New Roman" w:cs="Times New Roman"/>
          <w:b w:val="0"/>
          <w:bCs/>
          <w:sz w:val="24"/>
          <w:szCs w:val="24"/>
          <w:lang w:val="en-US" w:eastAsia="zh-CN"/>
        </w:rPr>
        <w:t xml:space="preserve">Different 1: </w:t>
      </w:r>
      <w:r>
        <w:rPr>
          <w:rFonts w:hint="eastAsia" w:ascii="Times New Roman" w:hAnsi="Times New Roman" w:cs="Times New Roman"/>
          <w:b/>
          <w:bCs/>
          <w:i/>
          <w:color w:val="0000CC"/>
          <w:sz w:val="24"/>
          <w:szCs w:val="24"/>
          <w:lang w:val="en-US" w:eastAsia="zh-CN"/>
        </w:rPr>
        <w:t>{填写对比项}（参考示例：Size）</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【填写差异不影响产品安全有效的说明,对于安全有效性的解释说明，一般有以下几个方向：</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产品设计方面；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产品临床使用方面；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产品符合标准方面；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（参考示例1：</w:t>
      </w:r>
      <w:r>
        <w:rPr>
          <w:rFonts w:hint="default" w:ascii="Times New Roman" w:hAnsi="Times New Roman" w:cs="Times New Roman"/>
          <w:b/>
          <w:bCs/>
          <w:i/>
          <w:color w:val="0000CC"/>
          <w:sz w:val="24"/>
          <w:szCs w:val="24"/>
          <w:lang w:val="en-US" w:eastAsia="zh-CN"/>
        </w:rPr>
        <w:t xml:space="preserve">The size of single piece of proposed device is varied size. While the size of single piece of predicate device is 94×26mm. Every size of propose device is </w:t>
      </w:r>
      <w:r>
        <w:rPr>
          <w:rFonts w:hint="eastAsia" w:ascii="Times New Roman" w:hAnsi="Times New Roman" w:cs="Times New Roman"/>
          <w:b/>
          <w:bCs/>
          <w:i/>
          <w:color w:val="0000CC"/>
          <w:sz w:val="24"/>
          <w:szCs w:val="24"/>
          <w:lang w:val="en-US" w:eastAsia="zh-CN"/>
        </w:rPr>
        <w:t>designed</w:t>
      </w:r>
      <w:r>
        <w:rPr>
          <w:rFonts w:hint="default" w:ascii="Times New Roman" w:hAnsi="Times New Roman" w:cs="Times New Roman"/>
          <w:b/>
          <w:bCs/>
          <w:i/>
          <w:color w:val="0000CC"/>
          <w:sz w:val="24"/>
          <w:szCs w:val="24"/>
          <w:lang w:val="en-US" w:eastAsia="zh-CN"/>
        </w:rPr>
        <w:t xml:space="preserve"> according to ASTM E </w:t>
      </w:r>
      <w:r>
        <w:rPr>
          <w:rFonts w:hint="eastAsia" w:ascii="Times New Roman" w:hAnsi="Times New Roman" w:cs="Times New Roman"/>
          <w:b/>
          <w:bCs/>
          <w:i/>
          <w:color w:val="0000CC"/>
          <w:sz w:val="24"/>
          <w:szCs w:val="24"/>
          <w:lang w:val="en-US" w:eastAsia="zh-CN"/>
        </w:rPr>
        <w:t>XX</w:t>
      </w:r>
      <w:r>
        <w:rPr>
          <w:rFonts w:hint="default" w:ascii="Times New Roman" w:hAnsi="Times New Roman" w:cs="Times New Roman"/>
          <w:b/>
          <w:bCs/>
          <w:i/>
          <w:color w:val="0000CC"/>
          <w:sz w:val="24"/>
          <w:szCs w:val="24"/>
          <w:lang w:val="en-US" w:eastAsia="zh-CN"/>
        </w:rPr>
        <w:t xml:space="preserve"> and the result is qualified. All sizes of proposed device are safe and effective.</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lang w:val="en-US" w:eastAsia="zh-CN"/>
        </w:rPr>
      </w:pPr>
      <w:r>
        <w:rPr>
          <w:rFonts w:hint="eastAsia" w:ascii="Times New Roman" w:hAnsi="Times New Roman" w:cs="Times New Roman"/>
          <w:b/>
          <w:bCs/>
          <w:i/>
          <w:color w:val="0000CC"/>
          <w:sz w:val="24"/>
          <w:szCs w:val="24"/>
          <w:lang w:val="en-US" w:eastAsia="zh-CN"/>
        </w:rPr>
        <w:t>（参考示例2：</w:t>
      </w:r>
      <w:r>
        <w:rPr>
          <w:rFonts w:hint="default" w:ascii="Times New Roman" w:hAnsi="Times New Roman" w:cs="Times New Roman"/>
          <w:b/>
          <w:bCs/>
          <w:i/>
          <w:color w:val="0000CC"/>
          <w:sz w:val="24"/>
          <w:szCs w:val="24"/>
          <w:lang w:val="en-US" w:eastAsia="zh-CN"/>
        </w:rPr>
        <w:t>The size of single piece of proposed device is varied size. While the size of single piece of predicate device is 94×26mm.</w:t>
      </w:r>
      <w:r>
        <w:rPr>
          <w:rFonts w:hint="eastAsia" w:ascii="Times New Roman" w:hAnsi="Times New Roman" w:cs="Times New Roman"/>
          <w:b/>
          <w:bCs/>
          <w:i/>
          <w:color w:val="0000CC"/>
          <w:sz w:val="24"/>
          <w:szCs w:val="24"/>
          <w:lang w:val="en-US" w:eastAsia="zh-CN"/>
        </w:rPr>
        <w:t xml:space="preserve"> The different size just shows different appearance. It meets the requirements of the clinical use. At the same time, all size of the product meets the requirements of product specification and product standard. </w:t>
      </w:r>
      <w:r>
        <w:rPr>
          <w:rFonts w:hint="default" w:ascii="Times New Roman" w:hAnsi="Times New Roman" w:cs="Times New Roman"/>
          <w:b/>
          <w:bCs/>
          <w:i/>
          <w:color w:val="0000CC"/>
          <w:sz w:val="24"/>
          <w:szCs w:val="24"/>
          <w:lang w:val="en-US" w:eastAsia="zh-CN"/>
        </w:rPr>
        <w:t>All sizes of proposed device are safe and effective.</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So this difference does not affect the effectiveness and safety of our device.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p>
    <w:p>
      <w:pPr>
        <w:numPr>
          <w:ilvl w:val="0"/>
          <w:numId w:val="0"/>
        </w:numPr>
        <w:ind w:left="240" w:hanging="240" w:hangingChars="1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w:t>
      </w:r>
      <w:r>
        <w:rPr>
          <w:rFonts w:hint="eastAsia" w:ascii="Times New Roman" w:hAnsi="Times New Roman" w:cs="Times New Roman"/>
          <w:b w:val="0"/>
          <w:bCs/>
          <w:sz w:val="24"/>
          <w:szCs w:val="24"/>
          <w:lang w:val="en-US" w:eastAsia="zh-CN"/>
        </w:rPr>
        <w:t>2</w:t>
      </w:r>
      <w:r>
        <w:rPr>
          <w:rFonts w:hint="default" w:ascii="Times New Roman" w:hAnsi="Times New Roman" w:cs="Times New Roman"/>
          <w:b w:val="0"/>
          <w:bCs/>
          <w:sz w:val="24"/>
          <w:szCs w:val="24"/>
          <w:lang w:val="en-US" w:eastAsia="zh-CN"/>
        </w:rPr>
        <w:t xml:space="preserve">) </w:t>
      </w:r>
      <w:r>
        <w:rPr>
          <w:rFonts w:hint="eastAsia" w:ascii="Times New Roman" w:hAnsi="Times New Roman" w:cs="Times New Roman"/>
          <w:b w:val="0"/>
          <w:bCs/>
          <w:sz w:val="24"/>
          <w:szCs w:val="24"/>
          <w:lang w:val="en-US" w:eastAsia="zh-CN"/>
        </w:rPr>
        <w:t xml:space="preserve">Different 2: </w:t>
      </w:r>
      <w:r>
        <w:rPr>
          <w:rFonts w:hint="eastAsia" w:ascii="Times New Roman" w:hAnsi="Times New Roman" w:cs="Times New Roman"/>
          <w:b/>
          <w:bCs/>
          <w:i/>
          <w:color w:val="0000CC"/>
          <w:sz w:val="24"/>
          <w:szCs w:val="24"/>
          <w:lang w:val="en-US" w:eastAsia="zh-CN"/>
        </w:rPr>
        <w:t>{填写对比项}</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 xml:space="preserve">{填写差异不影响产品安全有效的说明} </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So this difference does not affect the effectiveness and safety of our device.</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p>
    <w:p>
      <w:pPr>
        <w:pStyle w:val="2"/>
        <w:rPr>
          <w:rFonts w:hint="default"/>
          <w:lang w:val="en-US" w:eastAsia="zh-CN"/>
        </w:rPr>
      </w:pPr>
      <w:r>
        <w:rPr>
          <w:rFonts w:hint="eastAsia" w:ascii="Times New Roman" w:hAnsi="Times New Roman" w:cs="Times New Roman"/>
          <w:b w:val="0"/>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000000"/>
          <w:sz w:val="24"/>
          <w:szCs w:val="24"/>
          <w:shd w:val="clear" w:color="auto" w:fill="FFFFFF"/>
          <w:lang w:val="en-US" w:eastAsia="zh-CN"/>
        </w:rPr>
      </w:pPr>
    </w:p>
    <w:bookmarkEnd w:id="4"/>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5. Conclusion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All above is the comparison between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val="0"/>
          <w:sz w:val="24"/>
          <w:szCs w:val="24"/>
          <w:lang w:val="en-US" w:eastAsia="zh-CN"/>
        </w:rPr>
        <w:t xml:space="preserve"> and legally marketed device. Which shows the proposed device and the Predicate Device is substantially equivalent.</w:t>
      </w:r>
    </w:p>
    <w:p>
      <w:pPr>
        <w:rPr>
          <w:i/>
          <w:color w:val="0000CC"/>
        </w:rPr>
      </w:pPr>
    </w:p>
    <w:p>
      <w:pPr>
        <w:rPr>
          <w:rFonts w:hint="default"/>
          <w:lang w:val="en-US" w:eastAsia="zh-CN"/>
        </w:rPr>
      </w:pPr>
      <w:bookmarkStart w:id="5" w:name="_GoBack"/>
      <w:bookmarkEnd w:id="5"/>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0F9C5"/>
    <w:multiLevelType w:val="singleLevel"/>
    <w:tmpl w:val="58C0F9C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4762051"/>
    <w:rsid w:val="2704106C"/>
    <w:rsid w:val="3B07083A"/>
    <w:rsid w:val="42491C0F"/>
    <w:rsid w:val="46561FD1"/>
    <w:rsid w:val="46A165C4"/>
    <w:rsid w:val="4B950155"/>
    <w:rsid w:val="4E0B4C6B"/>
    <w:rsid w:val="506766DF"/>
    <w:rsid w:val="525F3A52"/>
    <w:rsid w:val="543A6A17"/>
    <w:rsid w:val="57827D4C"/>
    <w:rsid w:val="5854681A"/>
    <w:rsid w:val="5B3D4524"/>
    <w:rsid w:val="638C3F6B"/>
    <w:rsid w:val="6A946FB5"/>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2023-05-22T03:35:24Z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