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w:hAnsi="Times New Roman" w:eastAsia="Calibri" w:cs="Times New Roman"/>
          <w:b/>
          <w:sz w:val="41"/>
        </w:rPr>
      </w:pPr>
      <w:r>
        <w:rPr>
          <w:rFonts w:hint="default" w:ascii="Times New Roman" w:hAnsi="Times New Roman" w:eastAsia="Calibri" w:cs="Times New Roman"/>
          <w:b/>
          <w:sz w:val="41"/>
        </w:rPr>
        <w:t>Executive Summary</w:t>
      </w:r>
    </w:p>
    <w:p>
      <w:pPr>
        <w:rPr>
          <w:rFonts w:hint="default" w:ascii="Times New Roman" w:hAnsi="Times New Roman" w:eastAsia="Calibri" w:cs="Times New Roman"/>
          <w:sz w:val="27"/>
        </w:rPr>
      </w:pPr>
    </w:p>
    <w:p>
      <w:pPr>
        <w:numPr>
          <w:ilvl w:val="0"/>
          <w:numId w:val="1"/>
        </w:numP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Submitter's Identification:</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Calibri" w:cs="Times New Roman"/>
          <w:b/>
          <w:sz w:val="24"/>
          <w:szCs w:val="24"/>
        </w:rPr>
      </w:pPr>
    </w:p>
    <w:tbl>
      <w:tblPr>
        <w:tblStyle w:val="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Owner’s Name:</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i/>
                <w:color w:val="0000CC"/>
                <w:sz w:val="24"/>
                <w:szCs w:val="24"/>
              </w:rPr>
              <w:t>{填写申请者的企业名称}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Address:</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eastAsia" w:ascii="Times New Roman" w:hAnsi="Times New Roman" w:cs="Times New Roman"/>
                <w:b/>
                <w:bCs/>
                <w:i/>
                <w:color w:val="0000CC"/>
                <w:sz w:val="24"/>
                <w:szCs w:val="24"/>
                <w:lang w:val="en-US" w:eastAsia="zh-CN"/>
              </w:rPr>
              <w:t>{填写申请者的企业地址}（参考示例：1201, Haosheng Business Center, 4096 Dongbin Road, Nanshan, Shenzhen,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Phone:</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Fax:</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E-mail:</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Contact:</w:t>
            </w:r>
          </w:p>
        </w:tc>
        <w:tc>
          <w:tcPr>
            <w:tcW w:w="65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{填写联系人英文名称 }</w:t>
            </w:r>
          </w:p>
        </w:tc>
      </w:tr>
    </w:tbl>
    <w:p>
      <w:pPr>
        <w:numPr>
          <w:ilvl w:val="0"/>
          <w:numId w:val="0"/>
        </w:numPr>
        <w:rPr>
          <w:rFonts w:hint="default" w:ascii="Times New Roman" w:hAnsi="Times New Roman" w:eastAsia="Calibri" w:cs="Times New Roman"/>
          <w:b/>
          <w:sz w:val="24"/>
          <w:szCs w:val="24"/>
        </w:rPr>
      </w:pPr>
    </w:p>
    <w:p>
      <w:pPr>
        <w:keepNext w:val="0"/>
        <w:keepLines w:val="0"/>
        <w:pageBreakBefore w:val="0"/>
        <w:widowControl/>
        <w:numPr>
          <w:ilvl w:val="0"/>
          <w:numId w:val="1"/>
        </w:numPr>
        <w:kinsoku/>
        <w:wordWrap/>
        <w:overflowPunct/>
        <w:topLinePunct w:val="0"/>
        <w:bidi w:val="0"/>
        <w:snapToGrid/>
        <w:spacing w:line="400" w:lineRule="exac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Name of the device:</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Trade/Proprietary Name : </w:t>
      </w:r>
      <w:r>
        <w:rPr>
          <w:rFonts w:hint="default" w:ascii="Times New Roman" w:hAnsi="Times New Roman" w:cs="Times New Roman"/>
          <w:b/>
          <w:bCs/>
          <w:i/>
          <w:color w:val="0000CC"/>
          <w:sz w:val="24"/>
          <w:szCs w:val="24"/>
        </w:rPr>
        <w:t>{填写申报产品名称 }</w:t>
      </w:r>
    </w:p>
    <w:p>
      <w:pPr>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Common Name :</w:t>
      </w:r>
      <w:r>
        <w:rPr>
          <w:rFonts w:hint="default" w:ascii="Times New Roman" w:hAnsi="Times New Roman" w:cs="Times New Roman"/>
          <w:b w:val="0"/>
          <w:bCs/>
          <w:sz w:val="24"/>
          <w:szCs w:val="24"/>
          <w:vertAlign w:val="baseline"/>
          <w:lang w:val="en-US" w:eastAsia="zh-CN"/>
        </w:rPr>
        <w:t xml:space="preserv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sz w:val="24"/>
          <w:szCs w:val="24"/>
          <w:lang w:val="en-US" w:eastAsia="zh-CN"/>
        </w:rPr>
        <w:t xml:space="preserve"> </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Model : </w:t>
      </w: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Classification : </w:t>
      </w:r>
      <w:r>
        <w:rPr>
          <w:rFonts w:hint="default" w:ascii="Times New Roman" w:hAnsi="Times New Roman" w:eastAsia="宋体" w:cs="Times New Roman"/>
          <w:sz w:val="24"/>
          <w:szCs w:val="24"/>
        </w:rPr>
        <w:t>II</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val="0"/>
          <w:bCs/>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Product Code: </w:t>
      </w:r>
      <w:r>
        <w:rPr>
          <w:rFonts w:hint="eastAsia" w:ascii="Times New Roman" w:hAnsi="Times New Roman" w:cs="Times New Roman"/>
          <w:b/>
          <w:bCs/>
          <w:i/>
          <w:color w:val="0000CC"/>
          <w:sz w:val="24"/>
          <w:szCs w:val="24"/>
          <w:lang w:val="en-US" w:eastAsia="zh-CN"/>
        </w:rPr>
        <w:t xml:space="preserve">{填写产品代码 } </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val="0"/>
          <w:bCs/>
          <w:sz w:val="24"/>
          <w:szCs w:val="24"/>
          <w:lang w:val="en-US" w:eastAsia="zh-CN"/>
        </w:rPr>
      </w:pPr>
    </w:p>
    <w:p>
      <w:pPr>
        <w:keepNext w:val="0"/>
        <w:keepLines w:val="0"/>
        <w:pageBreakBefore w:val="0"/>
        <w:widowControl/>
        <w:numPr>
          <w:ilvl w:val="0"/>
          <w:numId w:val="1"/>
        </w:numPr>
        <w:kinsoku/>
        <w:wordWrap/>
        <w:overflowPunct/>
        <w:topLinePunct w:val="0"/>
        <w:bidi w:val="0"/>
        <w:snapToGrid/>
        <w:spacing w:line="40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Device Description:</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b/>
          <w:sz w:val="24"/>
          <w:szCs w:val="24"/>
        </w:rPr>
      </w:pPr>
      <w:r>
        <w:rPr>
          <w:rFonts w:hint="eastAsia" w:ascii="Times New Roman" w:hAnsi="Times New Roman" w:cs="Times New Roman"/>
          <w:b/>
          <w:bCs/>
          <w:i/>
          <w:color w:val="0000CC"/>
          <w:sz w:val="24"/>
          <w:szCs w:val="24"/>
          <w:lang w:val="en-US" w:eastAsia="zh-CN"/>
        </w:rPr>
        <w:t>{填写产品描述 }</w:t>
      </w:r>
    </w:p>
    <w:p>
      <w:pPr>
        <w:keepNext w:val="0"/>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cs="Times New Roman"/>
          <w:sz w:val="24"/>
          <w:szCs w:val="24"/>
          <w:lang w:val="en-US" w:eastAsia="zh-CN"/>
        </w:rPr>
      </w:pPr>
      <w:bookmarkStart w:id="0" w:name="OLE_LINK24"/>
    </w:p>
    <w:p>
      <w:pPr>
        <w:numPr>
          <w:ilvl w:val="0"/>
          <w:numId w:val="0"/>
        </w:numP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4. Difference</w:t>
      </w:r>
    </w:p>
    <w:p>
      <w:pPr>
        <w:keepNext w:val="0"/>
        <w:keepLines w:val="0"/>
        <w:pageBreakBefore w:val="0"/>
        <w:numPr>
          <w:ilvl w:val="0"/>
          <w:numId w:val="0"/>
        </w:numPr>
        <w:kinsoku/>
        <w:wordWrap/>
        <w:overflowPunct/>
        <w:topLinePunct w:val="0"/>
        <w:bidi w:val="0"/>
        <w:snapToGrid/>
        <w:spacing w:line="400" w:lineRule="exact"/>
        <w:jc w:val="left"/>
        <w:textAlignment w:val="auto"/>
        <w:rPr>
          <w:rFonts w:hint="eastAsia" w:ascii="Times New Roman" w:hAnsi="Times New Roman" w:cs="Times New Roman"/>
          <w:b/>
          <w:bCs/>
          <w:i/>
          <w:color w:val="0000CC"/>
          <w:sz w:val="24"/>
          <w:szCs w:val="24"/>
          <w:lang w:val="en-US" w:eastAsia="zh-CN"/>
        </w:rPr>
      </w:pPr>
      <w:r>
        <w:rPr>
          <w:rFonts w:hint="default" w:ascii="Times New Roman" w:hAnsi="Times New Roman" w:cs="Times New Roman"/>
          <w:b w:val="0"/>
          <w:bCs/>
          <w:sz w:val="24"/>
          <w:szCs w:val="24"/>
          <w:lang w:val="en-US" w:eastAsia="zh-CN"/>
        </w:rPr>
        <w:t xml:space="preserve">The following table specifically describes the differences between each model of </w:t>
      </w:r>
      <w:bookmarkEnd w:id="0"/>
      <w:r>
        <w:rPr>
          <w:rFonts w:hint="eastAsia" w:ascii="Times New Roman" w:hAnsi="Times New Roman" w:cs="Times New Roman"/>
          <w:b/>
          <w:bCs/>
          <w:i/>
          <w:color w:val="0000CC"/>
          <w:sz w:val="24"/>
          <w:szCs w:val="24"/>
          <w:lang w:val="en-US" w:eastAsia="zh-CN"/>
        </w:rPr>
        <w:t>{填写器械名称，及所有型号}。</w:t>
      </w:r>
    </w:p>
    <w:p>
      <w:pPr>
        <w:pStyle w:val="2"/>
        <w:rPr>
          <w:rFonts w:hint="default"/>
          <w:lang w:val="en-US" w:eastAsia="zh-CN"/>
        </w:rPr>
      </w:pPr>
    </w:p>
    <w:tbl>
      <w:tblPr>
        <w:tblStyle w:val="5"/>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47"/>
        <w:gridCol w:w="1989"/>
        <w:gridCol w:w="1917"/>
        <w:gridCol w:w="191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No.</w:t>
            </w:r>
          </w:p>
        </w:tc>
        <w:tc>
          <w:tcPr>
            <w:tcW w:w="164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Item</w:t>
            </w:r>
            <w:r>
              <w:rPr>
                <w:rFonts w:hint="default" w:ascii="Times New Roman" w:hAnsi="Times New Roman" w:cs="Times New Roman"/>
                <w:b/>
                <w:bCs/>
                <w:sz w:val="24"/>
                <w:szCs w:val="24"/>
                <w:highlight w:val="none"/>
              </w:rPr>
              <w:t xml:space="preserve"> </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Model 1</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Model 2</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val="en-US" w:eastAsia="zh-CN"/>
              </w:rPr>
              <w:t>Model 3</w:t>
            </w:r>
          </w:p>
        </w:tc>
        <w:tc>
          <w:tcPr>
            <w:tcW w:w="1176"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64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{填写对应的项目}</w:t>
            </w:r>
          </w:p>
        </w:tc>
        <w:tc>
          <w:tcPr>
            <w:tcW w:w="1989"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917"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i/>
                <w:color w:val="0000CC"/>
                <w:sz w:val="24"/>
                <w:szCs w:val="24"/>
                <w:lang w:val="en-US" w:eastAsia="zh-CN"/>
              </w:rPr>
              <w:t>{填写对应的内容}</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64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89"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1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917"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c>
          <w:tcPr>
            <w:tcW w:w="1176"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righ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w:t>
            </w:r>
          </w:p>
        </w:tc>
      </w:tr>
    </w:tbl>
    <w:p>
      <w:pPr>
        <w:wordWrap/>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wordWrap/>
        <w:snapToGrid/>
        <w:spacing w:line="400" w:lineRule="exact"/>
        <w:ind w:right="0"/>
        <w:jc w:val="both"/>
        <w:textAlignment w:val="auto"/>
        <w:outlineLvl w:val="9"/>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5. Indication for Use</w:t>
      </w:r>
    </w:p>
    <w:p>
      <w:pPr>
        <w:pStyle w:val="2"/>
        <w:keepNext w:val="0"/>
        <w:keepLines w:val="0"/>
        <w:pageBreakBefore w:val="0"/>
        <w:kinsoku/>
        <w:wordWrap/>
        <w:overflowPunct/>
        <w:topLinePunct w:val="0"/>
        <w:bidi w:val="0"/>
        <w:snapToGrid/>
        <w:spacing w:beforeLines="0" w:afterLines="0" w:line="400" w:lineRule="exact"/>
        <w:textAlignment w:val="auto"/>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eastAsiaTheme="minorEastAsia"/>
          <w:b/>
          <w:bCs/>
          <w:i/>
          <w:color w:val="0000CC"/>
          <w:kern w:val="2"/>
          <w:sz w:val="24"/>
          <w:szCs w:val="24"/>
          <w:lang w:val="en-US" w:eastAsia="zh-CN" w:bidi="ar-SA"/>
        </w:rPr>
        <w:t>{填写产品适应症 }</w:t>
      </w:r>
    </w:p>
    <w:p>
      <w:pPr>
        <w:numPr>
          <w:ilvl w:val="0"/>
          <w:numId w:val="0"/>
        </w:numPr>
        <w:rPr>
          <w:rFonts w:hint="default" w:ascii="Times New Roman" w:hAnsi="Times New Roman" w:cs="Times New Roman"/>
          <w:b/>
          <w:sz w:val="24"/>
          <w:szCs w:val="24"/>
          <w:lang w:val="en-US" w:eastAsia="zh-CN"/>
        </w:rPr>
      </w:pPr>
    </w:p>
    <w:p>
      <w:pPr>
        <w:numPr>
          <w:ilvl w:val="0"/>
          <w:numId w:val="0"/>
        </w:numP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6. Technological Characteristics of Device as to Compare to the Predicate Device</w:t>
      </w:r>
    </w:p>
    <w:p>
      <w:pPr>
        <w:numPr>
          <w:ilvl w:val="0"/>
          <w:numId w:val="0"/>
        </w:numPr>
        <w:rPr>
          <w:rFonts w:hint="default" w:ascii="Times New Roman" w:hAnsi="Times New Roman" w:cs="Times New Roman"/>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 w:name="OLE_LINK2"/>
            <w:r>
              <w:rPr>
                <w:rFonts w:hint="default" w:ascii="Times New Roman" w:hAnsi="Times New Roman" w:cs="Times New Roman"/>
                <w:b/>
                <w:bCs/>
                <w:sz w:val="24"/>
                <w:szCs w:val="24"/>
                <w:vertAlign w:val="baseline"/>
                <w:lang w:val="en-US" w:eastAsia="zh-CN"/>
              </w:rPr>
              <w:t xml:space="preserve">Predicate Devices </w:t>
            </w:r>
            <w:bookmarkEnd w:id="1"/>
          </w:p>
        </w:tc>
        <w:tc>
          <w:tcPr>
            <w:tcW w:w="1022" w:type="dxa"/>
          </w:tcPr>
          <w:p>
            <w:pPr>
              <w:widowControl w:val="0"/>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widowControl w:val="0"/>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widowControl w:val="0"/>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widowControl w:val="0"/>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widowControl w:val="0"/>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（参考示例：Size）</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3283"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w:t>
            </w:r>
          </w:p>
        </w:tc>
        <w:tc>
          <w:tcPr>
            <w:tcW w:w="3283"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3404"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c>
          <w:tcPr>
            <w:tcW w:w="1022" w:type="dxa"/>
            <w:vAlign w:val="top"/>
          </w:tcPr>
          <w:p>
            <w:pPr>
              <w:numPr>
                <w:ilvl w:val="0"/>
                <w:numId w:val="0"/>
              </w:numPr>
              <w:ind w:left="0" w:leftChars="0" w:firstLine="0" w:firstLineChars="0"/>
              <w:rPr>
                <w:rFonts w:hint="default" w:ascii="Times New Roman" w:hAnsi="Times New Roman" w:cs="Times New Roman" w:eastAsiaTheme="minorEastAsia"/>
                <w:color w:val="auto"/>
                <w:kern w:val="2"/>
                <w:sz w:val="24"/>
                <w:szCs w:val="24"/>
                <w:lang w:val="en-US" w:eastAsia="zh-CN" w:bidi="ar-SA"/>
              </w:rPr>
            </w:pPr>
          </w:p>
        </w:tc>
      </w:tr>
    </w:tbl>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 xml:space="preserve">. Comparison Summary </w:t>
      </w: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Discussion of Similarities and Differences</w:t>
      </w:r>
    </w:p>
    <w:p>
      <w:pPr>
        <w:numPr>
          <w:ilvl w:val="0"/>
          <w:numId w:val="0"/>
        </w:numPr>
        <w:rPr>
          <w:rFonts w:hint="default" w:ascii="Times New Roman" w:hAnsi="Times New Roman" w:cs="Times New Roman"/>
          <w:sz w:val="24"/>
          <w:szCs w:val="24"/>
          <w:lang w:val="en-US" w:eastAsia="zh-CN"/>
        </w:rPr>
      </w:pP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 xml:space="preserve">The features of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kern w:val="0"/>
          <w:sz w:val="24"/>
          <w:szCs w:val="24"/>
          <w:highlight w:val="none"/>
          <w:lang w:val="en-US" w:eastAsia="zh-CN"/>
        </w:rPr>
        <w:t xml:space="preserve"> are compared to predicate devices in the form of above tables.</w:t>
      </w: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Our device and the predicate device differ in the following areas.</w:t>
      </w:r>
    </w:p>
    <w:p>
      <w:pPr>
        <w:numPr>
          <w:ilvl w:val="0"/>
          <w:numId w:val="0"/>
        </w:numPr>
        <w:rPr>
          <w:rFonts w:hint="default" w:ascii="Times New Roman" w:hAnsi="Times New Roman" w:cs="Times New Roman"/>
          <w:b w:val="0"/>
          <w:bCs w:val="0"/>
          <w:sz w:val="24"/>
          <w:szCs w:val="24"/>
          <w:vertAlign w:val="baseline"/>
          <w:lang w:val="en-US" w:eastAsia="zh-CN"/>
        </w:rPr>
      </w:pP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ascii="Times New Roman" w:hAnsi="Times New Roman" w:cs="Times New Roman"/>
          <w:b/>
          <w:bCs/>
          <w:sz w:val="24"/>
          <w:szCs w:val="24"/>
          <w:lang w:val="en-US" w:eastAsia="zh-CN"/>
        </w:rPr>
      </w:pPr>
      <w:r>
        <w:rPr>
          <w:rFonts w:hint="eastAsia" w:ascii="Times New Roman" w:hAnsi="Times New Roman" w:cs="Times New Roman"/>
          <w:b w:val="0"/>
          <w:bCs/>
          <w:sz w:val="24"/>
          <w:szCs w:val="24"/>
          <w:lang w:val="en-US" w:eastAsia="zh-CN"/>
        </w:rPr>
        <w:t>........</w:t>
      </w:r>
    </w:p>
    <w:p>
      <w:pPr>
        <w:pStyle w:val="2"/>
        <w:rPr>
          <w:rFonts w:hint="default" w:ascii="Times New Roman" w:hAnsi="Times New Roman" w:cs="Times New Roman"/>
          <w:b/>
          <w:bCs/>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.2 Argument for Substantial Equivalence to Predicate Devices:</w:t>
      </w:r>
    </w:p>
    <w:p>
      <w:pPr>
        <w:wordWrap/>
        <w:snapToGrid/>
        <w:spacing w:line="400" w:lineRule="exact"/>
        <w:ind w:left="0" w:leftChars="0" w:right="0" w:firstLine="0" w:firstLineChars="0"/>
        <w:jc w:val="both"/>
        <w:textAlignment w:val="auto"/>
        <w:outlineLvl w:val="9"/>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All above is the comparison between</w:t>
      </w:r>
      <w:r>
        <w:rPr>
          <w:rFonts w:hint="eastAsia"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kern w:val="0"/>
          <w:sz w:val="24"/>
          <w:szCs w:val="24"/>
          <w:highlight w:val="none"/>
          <w:lang w:val="en-US" w:eastAsia="zh-CN"/>
        </w:rPr>
        <w:t xml:space="preserve"> and legally marketed device, which shows the proposed device and the Predicate Device are substantially equivalent.</w:t>
      </w: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 xml:space="preserve">. Biocompatibility </w:t>
      </w:r>
    </w:p>
    <w:p>
      <w:pPr>
        <w:numPr>
          <w:ilvl w:val="0"/>
          <w:numId w:val="0"/>
        </w:numPr>
        <w:rPr>
          <w:rFonts w:hint="default" w:ascii="Times New Roman" w:hAnsi="Times New Roman" w:cs="Times New Roman"/>
          <w:b/>
          <w:sz w:val="24"/>
          <w:szCs w:val="24"/>
          <w:highlight w:val="none"/>
          <w:lang w:val="en-US" w:eastAsia="zh-CN"/>
        </w:rPr>
      </w:pPr>
    </w:p>
    <w:p>
      <w:pPr>
        <w:numPr>
          <w:ilvl w:val="0"/>
          <w:numId w:val="0"/>
        </w:numPr>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The</w:t>
      </w:r>
      <w:r>
        <w:rPr>
          <w:rFonts w:hint="eastAsia"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highlight w:val="none"/>
          <w:lang w:val="en-US" w:eastAsia="zh-CN"/>
        </w:rPr>
        <w:t xml:space="preserve"> have been evaluated in accordance with Part 10993 of the International Standard Organization (ISO). Standard tests administered include:</w:t>
      </w:r>
    </w:p>
    <w:p>
      <w:pPr>
        <w:numPr>
          <w:ilvl w:val="0"/>
          <w:numId w:val="0"/>
        </w:numPr>
        <w:rPr>
          <w:rFonts w:hint="default" w:ascii="Times New Roman" w:hAnsi="Times New Roman" w:cs="Times New Roman"/>
          <w:b w:val="0"/>
          <w:bCs w:val="0"/>
          <w:sz w:val="24"/>
          <w:szCs w:val="24"/>
          <w:highlight w:val="none"/>
          <w:lang w:val="en-US" w:eastAsia="zh-CN"/>
        </w:rPr>
      </w:pPr>
    </w:p>
    <w:p>
      <w:pPr>
        <w:numPr>
          <w:ilvl w:val="0"/>
          <w:numId w:val="2"/>
        </w:numPr>
        <w:ind w:left="420" w:leftChars="0" w:hanging="420" w:firstLineChars="0"/>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 xml:space="preserve">ISO 10993-5: 2009 Biological Evaluation of Medical Devices - Part 5: Tests for in vitro cytotoxicity. </w:t>
      </w:r>
    </w:p>
    <w:p>
      <w:pPr>
        <w:numPr>
          <w:ilvl w:val="0"/>
          <w:numId w:val="0"/>
        </w:numPr>
        <w:ind w:leftChars="0"/>
        <w:jc w:val="both"/>
        <w:rPr>
          <w:rFonts w:hint="default" w:ascii="Times New Roman" w:hAnsi="Times New Roman" w:cs="Times New Roman"/>
          <w:b w:val="0"/>
          <w:bCs w:val="0"/>
          <w:sz w:val="24"/>
          <w:szCs w:val="24"/>
          <w:highlight w:val="none"/>
          <w:lang w:val="en-US" w:eastAsia="zh-CN"/>
        </w:rPr>
      </w:pPr>
    </w:p>
    <w:p>
      <w:pPr>
        <w:numPr>
          <w:ilvl w:val="0"/>
          <w:numId w:val="2"/>
        </w:numPr>
        <w:ind w:left="420" w:leftChars="0" w:hanging="420" w:firstLineChars="0"/>
        <w:jc w:val="both"/>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ISO 10993-10 2010 Biological Evaluation of Medical Devices - Part 10: Tests for Irritation and Skin sensitization.</w:t>
      </w:r>
    </w:p>
    <w:p>
      <w:pPr>
        <w:numPr>
          <w:ilvl w:val="0"/>
          <w:numId w:val="0"/>
        </w:numPr>
        <w:rPr>
          <w:rFonts w:hint="default" w:ascii="Times New Roman" w:hAnsi="Times New Roman" w:cs="Times New Roman"/>
          <w:sz w:val="24"/>
          <w:szCs w:val="24"/>
          <w:highlight w:val="none"/>
          <w:lang w:val="en-US" w:eastAsia="zh-CN"/>
        </w:rPr>
      </w:pPr>
    </w:p>
    <w:p>
      <w:pPr>
        <w:numPr>
          <w:ilvl w:val="0"/>
          <w:numId w:val="3"/>
        </w:numPr>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 xml:space="preserve">Summary of non-clinical performance Tests </w:t>
      </w:r>
    </w:p>
    <w:p>
      <w:pPr>
        <w:numPr>
          <w:ilvl w:val="0"/>
          <w:numId w:val="0"/>
        </w:numPr>
        <w:rPr>
          <w:rFonts w:hint="default" w:ascii="Times New Roman" w:hAnsi="Times New Roman" w:cs="Times New Roman"/>
          <w:b/>
          <w:bCs/>
          <w:sz w:val="24"/>
          <w:szCs w:val="24"/>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{填写器械涉及标准}</w:t>
      </w:r>
    </w:p>
    <w:p>
      <w:pPr>
        <w:pStyle w:val="2"/>
        <w:rPr>
          <w:rFonts w:hint="default"/>
          <w:lang w:val="en-US" w:eastAsia="zh-CN"/>
        </w:rPr>
      </w:pPr>
    </w:p>
    <w:p>
      <w:pPr>
        <w:numPr>
          <w:ilvl w:val="0"/>
          <w:numId w:val="0"/>
        </w:numPr>
        <w:rPr>
          <w:rFonts w:hint="default" w:ascii="Times New Roman" w:hAnsi="Times New Roman" w:cs="Times New Roman"/>
          <w:b/>
          <w:sz w:val="24"/>
          <w:szCs w:val="24"/>
        </w:rPr>
      </w:pPr>
    </w:p>
    <w:p>
      <w:pPr>
        <w:numPr>
          <w:ilvl w:val="0"/>
          <w:numId w:val="0"/>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 xml:space="preserve">. Conclusion </w:t>
      </w:r>
    </w:p>
    <w:p>
      <w:pPr>
        <w:numPr>
          <w:ilvl w:val="0"/>
          <w:numId w:val="0"/>
        </w:numPr>
        <w:ind w:leftChars="0"/>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From the comparison above, w</w:t>
      </w:r>
      <w:r>
        <w:rPr>
          <w:rFonts w:hint="default" w:ascii="Times New Roman" w:hAnsi="Times New Roman" w:cs="Times New Roman"/>
          <w:sz w:val="24"/>
          <w:szCs w:val="24"/>
        </w:rPr>
        <w:t>e have demonstrated that there are no significant differences between</w:t>
      </w:r>
      <w:r>
        <w:rPr>
          <w:rFonts w:hint="default" w:ascii="Times New Roman" w:hAnsi="Times New Roman" w:cs="Times New Roman"/>
          <w:sz w:val="24"/>
          <w:szCs w:val="24"/>
          <w:lang w:val="en-US" w:eastAsia="zh-CN"/>
        </w:rPr>
        <w:t xml:space="preserve"> each model and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has the same intended use, similar technological characteristics as the predicate device. Moreover, non-clinical testing contained in this submission demonstrated that any difference in their technological characteristics does not raise any new issues of safety and effectiveness.</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In conclusion,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val="0"/>
          <w:sz w:val="24"/>
          <w:szCs w:val="24"/>
          <w:lang w:val="en-US" w:eastAsia="zh-CN"/>
        </w:rPr>
        <w:t xml:space="preserve"> is substantial equivalent to the predicate device.</w:t>
      </w:r>
    </w:p>
    <w:p>
      <w:pPr>
        <w:rPr>
          <w:i/>
          <w:color w:val="0000CC"/>
        </w:rPr>
      </w:pPr>
    </w:p>
    <w:p>
      <w:pPr>
        <w:rPr>
          <w:rFonts w:hint="default"/>
          <w:lang w:val="en-US" w:eastAsia="zh-CN"/>
        </w:rPr>
      </w:pPr>
      <w:bookmarkStart w:id="2" w:name="_GoBack"/>
      <w:bookmarkEnd w:id="2"/>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FCED1"/>
    <w:multiLevelType w:val="singleLevel"/>
    <w:tmpl w:val="E10FCED1"/>
    <w:lvl w:ilvl="0" w:tentative="0">
      <w:start w:val="1"/>
      <w:numFmt w:val="bullet"/>
      <w:lvlText w:val=""/>
      <w:lvlJc w:val="left"/>
      <w:pPr>
        <w:ind w:left="420" w:hanging="420"/>
      </w:pPr>
      <w:rPr>
        <w:rFonts w:hint="default" w:ascii="Wingdings" w:hAnsi="Wingdings"/>
      </w:rPr>
    </w:lvl>
  </w:abstractNum>
  <w:abstractNum w:abstractNumId="1">
    <w:nsid w:val="32FAC64B"/>
    <w:multiLevelType w:val="singleLevel"/>
    <w:tmpl w:val="32FAC64B"/>
    <w:lvl w:ilvl="0" w:tentative="0">
      <w:start w:val="9"/>
      <w:numFmt w:val="decimal"/>
      <w:suff w:val="space"/>
      <w:lvlText w:val="%1."/>
      <w:lvlJc w:val="left"/>
    </w:lvl>
  </w:abstractNum>
  <w:abstractNum w:abstractNumId="2">
    <w:nsid w:val="58DA1B22"/>
    <w:multiLevelType w:val="singleLevel"/>
    <w:tmpl w:val="58DA1B22"/>
    <w:lvl w:ilvl="0" w:tentative="0">
      <w:start w:val="1"/>
      <w:numFmt w:val="decimal"/>
      <w:suff w:val="space"/>
      <w:lvlText w:val="%1."/>
      <w:lvlJc w:val="left"/>
    </w:lvl>
  </w:abstractNum>
  <w:abstractNum w:abstractNumId="3">
    <w:nsid w:val="58DA3199"/>
    <w:multiLevelType w:val="singleLevel"/>
    <w:tmpl w:val="58DA3199"/>
    <w:lvl w:ilvl="0" w:tentative="0">
      <w:start w:val="1"/>
      <w:numFmt w:val="bullet"/>
      <w:lvlText w:val=""/>
      <w:lvlJc w:val="left"/>
      <w:pPr>
        <w:ind w:left="420" w:leftChars="0" w:hanging="420" w:firstLineChars="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ABB2901"/>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2023-05-22T05:48:32Z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