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lang w:val="en-US" w:eastAsia="zh-CN"/>
        </w:rPr>
        <w:t>【本模板主要用于指导无源无菌产品FDA认证项目，不仅可用于指导资料编写，也可适当的用于指导项目的进行，可参照模板中的批注、示例进行资料拟制、开展项目；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lang w:val="en-US" w:eastAsia="zh-CN"/>
        </w:rPr>
        <w:t>本模板主要用于无源无菌的产品，同时还可用于需要递交510(k)的部分有源产品附件；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lang w:val="en-US" w:eastAsia="zh-CN"/>
        </w:rPr>
        <w:t>本模板除了常规简单的无源无菌产品资料要求外，还在基础资料的基础上做了延展，以应对某些特殊的产品，如增加了临床相关的资料要求，列举了生物相容性的整体要求，给出了重复使用产品清洁、消毒相关的要求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lang w:val="en-US" w:eastAsia="zh-CN"/>
        </w:rPr>
        <w:t>】</w:t>
      </w:r>
    </w:p>
    <w:p>
      <w:pPr>
        <w:rPr>
          <w:i/>
          <w:color w:val="0000CC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nivers 57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E907AE9"/>
    <w:rsid w:val="3B07083A"/>
    <w:rsid w:val="42491C0F"/>
    <w:rsid w:val="46561FD1"/>
    <w:rsid w:val="4B950155"/>
    <w:rsid w:val="543A6A17"/>
    <w:rsid w:val="5854681A"/>
    <w:rsid w:val="5B3D4524"/>
    <w:rsid w:val="638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19</TotalTime>
  <ScaleCrop>false</ScaleCrop>
  <LinksUpToDate>false</LinksUpToDate>
  <CharactersWithSpaces>89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BenWang</cp:lastModifiedBy>
  <dcterms:modified xsi:type="dcterms:W3CDTF">2021-07-26T16:03:20Z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276E00956E904AD9B0009AAEEE1D5F38</vt:lpwstr>
  </property>
</Properties>
</file>