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风险管理计划</w:t>
      </w:r>
    </w:p>
    <w:p>
      <w:pPr>
        <w:jc w:val="cente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b/>
          <w:sz w:val="24"/>
          <w:szCs w:val="24"/>
        </w:rPr>
      </w:pPr>
    </w:p>
    <w:p>
      <w:pPr>
        <w:ind w:firstLine="1458" w:firstLineChars="605"/>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产品名称：</w:t>
      </w:r>
      <w:r>
        <w:rPr>
          <w:rFonts w:hint="eastAsia" w:asciiTheme="minorEastAsia" w:hAnsiTheme="minorEastAsia" w:eastAsiaTheme="minorEastAsia" w:cstheme="minorEastAsia"/>
          <w:b/>
          <w:sz w:val="24"/>
          <w:szCs w:val="24"/>
          <w:u w:val="single"/>
        </w:rPr>
        <w:t>　　　　　　　　　　　　　</w:t>
      </w:r>
    </w:p>
    <w:p>
      <w:pPr>
        <w:ind w:firstLine="1928" w:firstLineChars="800"/>
        <w:rPr>
          <w:rFonts w:hint="eastAsia" w:asciiTheme="minorEastAsia" w:hAnsiTheme="minorEastAsia" w:eastAsiaTheme="minorEastAsia" w:cstheme="minorEastAsia"/>
          <w:b/>
          <w:sz w:val="24"/>
          <w:szCs w:val="24"/>
        </w:rPr>
      </w:pPr>
    </w:p>
    <w:p>
      <w:pPr>
        <w:ind w:firstLine="1458" w:firstLineChars="60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文件编号：</w:t>
      </w:r>
      <w:r>
        <w:rPr>
          <w:rFonts w:hint="eastAsia" w:asciiTheme="minorEastAsia" w:hAnsiTheme="minorEastAsia" w:eastAsiaTheme="minorEastAsia" w:cstheme="minorEastAsia"/>
          <w:b/>
          <w:sz w:val="24"/>
          <w:szCs w:val="24"/>
          <w:u w:val="single"/>
        </w:rPr>
        <w:t>　　　　　　　　　　　　　</w:t>
      </w:r>
      <w:r>
        <w:rPr>
          <w:rFonts w:hint="eastAsia" w:asciiTheme="minorEastAsia" w:hAnsiTheme="minorEastAsia" w:eastAsiaTheme="minorEastAsia" w:cstheme="minorEastAsia"/>
          <w:b/>
          <w:sz w:val="24"/>
          <w:szCs w:val="24"/>
        </w:rPr>
        <w:t>　　　　　　　　　　　　　</w:t>
      </w:r>
    </w:p>
    <w:p>
      <w:pPr>
        <w:ind w:firstLine="1458" w:firstLineChars="605"/>
        <w:rPr>
          <w:rFonts w:hint="eastAsia" w:asciiTheme="minorEastAsia" w:hAnsiTheme="minorEastAsia" w:eastAsiaTheme="minorEastAsia" w:cstheme="minorEastAsia"/>
          <w:b/>
          <w:sz w:val="24"/>
          <w:szCs w:val="24"/>
        </w:rPr>
      </w:pPr>
    </w:p>
    <w:p>
      <w:pPr>
        <w:ind w:firstLine="1458" w:firstLineChars="60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版　　本：</w:t>
      </w:r>
      <w:bookmarkStart w:id="0" w:name="OLE_LINK1"/>
      <w:r>
        <w:rPr>
          <w:rFonts w:hint="eastAsia" w:asciiTheme="minorEastAsia" w:hAnsiTheme="minorEastAsia" w:eastAsiaTheme="minorEastAsia" w:cstheme="minorEastAsia"/>
          <w:b/>
          <w:sz w:val="24"/>
          <w:szCs w:val="24"/>
          <w:u w:val="single"/>
        </w:rPr>
        <w:t>　　　　　　　　　　　　　</w:t>
      </w:r>
      <w:r>
        <w:rPr>
          <w:rFonts w:hint="eastAsia" w:asciiTheme="minorEastAsia" w:hAnsiTheme="minorEastAsia" w:eastAsiaTheme="minorEastAsia" w:cstheme="minorEastAsia"/>
          <w:b/>
          <w:sz w:val="24"/>
          <w:szCs w:val="24"/>
        </w:rPr>
        <w:t>　　　　　　　　　　　</w:t>
      </w:r>
      <w:bookmarkEnd w:id="0"/>
      <w:r>
        <w:rPr>
          <w:rFonts w:hint="eastAsia" w:asciiTheme="minorEastAsia" w:hAnsiTheme="minorEastAsia" w:eastAsiaTheme="minorEastAsia" w:cstheme="minorEastAsia"/>
          <w:b/>
          <w:sz w:val="24"/>
          <w:szCs w:val="24"/>
        </w:rPr>
        <w:t>　　</w:t>
      </w:r>
    </w:p>
    <w:p>
      <w:pPr>
        <w:ind w:firstLine="1458" w:firstLineChars="605"/>
        <w:rPr>
          <w:rFonts w:hint="eastAsia" w:asciiTheme="minorEastAsia" w:hAnsiTheme="minorEastAsia" w:eastAsiaTheme="minorEastAsia" w:cstheme="minorEastAsia"/>
          <w:b/>
          <w:sz w:val="24"/>
          <w:szCs w:val="24"/>
        </w:rPr>
      </w:pPr>
    </w:p>
    <w:p>
      <w:pPr>
        <w:ind w:firstLine="1458" w:firstLineChars="60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　　制：</w:t>
      </w:r>
      <w:bookmarkStart w:id="1" w:name="OLE_LINK3"/>
      <w:bookmarkStart w:id="2" w:name="OLE_LINK2"/>
      <w:r>
        <w:rPr>
          <w:rFonts w:hint="eastAsia" w:asciiTheme="minorEastAsia" w:hAnsiTheme="minorEastAsia" w:eastAsiaTheme="minorEastAsia" w:cstheme="minorEastAsia"/>
          <w:b/>
          <w:sz w:val="24"/>
          <w:szCs w:val="24"/>
          <w:u w:val="single"/>
        </w:rPr>
        <w:t>　　　　　　　　　　　　　</w:t>
      </w:r>
      <w:r>
        <w:rPr>
          <w:rFonts w:hint="eastAsia" w:asciiTheme="minorEastAsia" w:hAnsiTheme="minorEastAsia" w:eastAsiaTheme="minorEastAsia" w:cstheme="minorEastAsia"/>
          <w:b/>
          <w:sz w:val="24"/>
          <w:szCs w:val="24"/>
        </w:rPr>
        <w:t>　　　　　　　　　　　　　</w:t>
      </w:r>
      <w:bookmarkEnd w:id="1"/>
      <w:bookmarkEnd w:id="2"/>
    </w:p>
    <w:p>
      <w:pPr>
        <w:ind w:firstLine="1458" w:firstLineChars="605"/>
        <w:rPr>
          <w:rFonts w:hint="eastAsia" w:asciiTheme="minorEastAsia" w:hAnsiTheme="minorEastAsia" w:eastAsiaTheme="minorEastAsia" w:cstheme="minorEastAsia"/>
          <w:b/>
          <w:sz w:val="24"/>
          <w:szCs w:val="24"/>
        </w:rPr>
      </w:pPr>
    </w:p>
    <w:p>
      <w:pPr>
        <w:ind w:firstLine="1458" w:firstLineChars="60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审　　核：</w:t>
      </w:r>
      <w:r>
        <w:rPr>
          <w:rFonts w:hint="eastAsia" w:asciiTheme="minorEastAsia" w:hAnsiTheme="minorEastAsia" w:eastAsiaTheme="minorEastAsia" w:cstheme="minorEastAsia"/>
          <w:b/>
          <w:sz w:val="24"/>
          <w:szCs w:val="24"/>
          <w:u w:val="single"/>
        </w:rPr>
        <w:t>　　　　　　　　　　　　　</w:t>
      </w:r>
      <w:r>
        <w:rPr>
          <w:rFonts w:hint="eastAsia" w:asciiTheme="minorEastAsia" w:hAnsiTheme="minorEastAsia" w:eastAsiaTheme="minorEastAsia" w:cstheme="minorEastAsia"/>
          <w:b/>
          <w:sz w:val="24"/>
          <w:szCs w:val="24"/>
        </w:rPr>
        <w:t>　　　　　　　　　　　　　</w:t>
      </w:r>
    </w:p>
    <w:p>
      <w:pPr>
        <w:ind w:firstLine="1458" w:firstLineChars="605"/>
        <w:rPr>
          <w:rFonts w:hint="eastAsia" w:asciiTheme="minorEastAsia" w:hAnsiTheme="minorEastAsia" w:eastAsiaTheme="minorEastAsia" w:cstheme="minorEastAsia"/>
          <w:b/>
          <w:sz w:val="24"/>
          <w:szCs w:val="24"/>
        </w:rPr>
      </w:pPr>
    </w:p>
    <w:p>
      <w:pPr>
        <w:ind w:firstLine="1458" w:firstLineChars="60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批　　准：</w:t>
      </w:r>
      <w:r>
        <w:rPr>
          <w:rFonts w:hint="eastAsia" w:asciiTheme="minorEastAsia" w:hAnsiTheme="minorEastAsia" w:eastAsiaTheme="minorEastAsia" w:cstheme="minorEastAsia"/>
          <w:b/>
          <w:sz w:val="24"/>
          <w:szCs w:val="24"/>
          <w:u w:val="single"/>
        </w:rPr>
        <w:t>　　　　　　　　　　　　　</w:t>
      </w:r>
      <w:r>
        <w:rPr>
          <w:rFonts w:hint="eastAsia" w:asciiTheme="minorEastAsia" w:hAnsiTheme="minorEastAsia" w:eastAsiaTheme="minorEastAsia" w:cstheme="minorEastAsia"/>
          <w:b/>
          <w:sz w:val="24"/>
          <w:szCs w:val="24"/>
        </w:rPr>
        <w:t>　　　　　　　　　　　　　</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jc w:val="center"/>
        <w:rPr>
          <w:rFonts w:hint="eastAsia" w:asciiTheme="minorEastAsia" w:hAnsiTheme="minorEastAsia" w:cstheme="minorEastAsia"/>
          <w:color w:val="FF0000"/>
          <w:sz w:val="24"/>
          <w:szCs w:val="24"/>
          <w:lang w:val="en-US" w:eastAsia="zh-CN"/>
        </w:rPr>
      </w:pPr>
      <w:r>
        <w:rPr>
          <w:rFonts w:hint="eastAsia" w:asciiTheme="minorEastAsia" w:hAnsiTheme="minorEastAsia" w:cstheme="minorEastAsia"/>
          <w:color w:val="FF0000"/>
          <w:sz w:val="24"/>
          <w:szCs w:val="24"/>
          <w:lang w:val="en-US" w:eastAsia="zh-CN"/>
        </w:rPr>
        <w:t>{公司名}</w:t>
      </w:r>
    </w:p>
    <w:p>
      <w:pPr>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color w:val="FF0000"/>
          <w:sz w:val="24"/>
          <w:szCs w:val="24"/>
          <w:lang w:val="en-US" w:eastAsia="zh-CN"/>
        </w:rPr>
        <w:t>{日期}</w:t>
      </w:r>
      <w:r>
        <w:rPr>
          <w:rFonts w:hint="eastAsia" w:asciiTheme="minorEastAsia" w:hAnsiTheme="minorEastAsia" w:eastAsiaTheme="minorEastAsia" w:cstheme="minorEastAsia"/>
          <w:sz w:val="24"/>
          <w:szCs w:val="24"/>
        </w:rPr>
        <w:br w:type="page"/>
      </w:r>
    </w:p>
    <w:sdt>
      <w:sdtPr>
        <w:rPr>
          <w:rFonts w:ascii="宋体" w:hAnsi="宋体" w:eastAsia="宋体" w:cstheme="minorBidi"/>
          <w:kern w:val="2"/>
          <w:sz w:val="21"/>
          <w:szCs w:val="22"/>
          <w:lang w:val="en-US" w:eastAsia="zh-CN" w:bidi="ar-SA"/>
        </w:rPr>
        <w:id w:val="147481421"/>
        <w15:color w:val="DBDBDB"/>
        <w:docPartObj>
          <w:docPartGallery w:val="Table of Contents"/>
          <w:docPartUnique/>
        </w:docPartObj>
      </w:sdtPr>
      <w:sdtEndPr>
        <w:rPr>
          <w:rFonts w:hint="eastAsia" w:asciiTheme="minorEastAsia" w:hAnsiTheme="minorEastAsia" w:eastAsiaTheme="minorEastAsia" w:cstheme="minorEastAsia"/>
          <w:bCs/>
          <w:kern w:val="44"/>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7"/>
            <w:tabs>
              <w:tab w:val="right" w:leader="dot" w:pos="8306"/>
            </w:tabs>
          </w:pPr>
          <w:r>
            <w:rPr>
              <w:rFonts w:hint="eastAsia" w:asciiTheme="minorEastAsia" w:hAnsiTheme="minorEastAsia" w:eastAsiaTheme="minorEastAsia" w:cstheme="minorEastAsia"/>
              <w:b/>
              <w:bCs/>
              <w:kern w:val="44"/>
              <w:sz w:val="24"/>
              <w:szCs w:val="24"/>
            </w:rPr>
            <w:fldChar w:fldCharType="begin"/>
          </w:r>
          <w:r>
            <w:rPr>
              <w:rFonts w:hint="eastAsia" w:asciiTheme="minorEastAsia" w:hAnsiTheme="minorEastAsia" w:eastAsiaTheme="minorEastAsia" w:cstheme="minorEastAsia"/>
              <w:b/>
              <w:bCs/>
              <w:kern w:val="44"/>
              <w:sz w:val="24"/>
              <w:szCs w:val="24"/>
            </w:rPr>
            <w:instrText xml:space="preserve">TOC \o "1-1" \h \u </w:instrText>
          </w:r>
          <w:r>
            <w:rPr>
              <w:rFonts w:hint="eastAsia" w:asciiTheme="minorEastAsia" w:hAnsiTheme="minorEastAsia" w:eastAsiaTheme="minorEastAsia" w:cstheme="minorEastAsia"/>
              <w:b/>
              <w:bCs/>
              <w:kern w:val="44"/>
              <w:sz w:val="24"/>
              <w:szCs w:val="24"/>
            </w:rPr>
            <w:fldChar w:fldCharType="separate"/>
          </w:r>
          <w:r>
            <w:rPr>
              <w:rFonts w:hint="eastAsia" w:asciiTheme="minorEastAsia" w:hAnsiTheme="minorEastAsia" w:eastAsiaTheme="minorEastAsia" w:cstheme="minorEastAsia"/>
              <w:bCs/>
              <w:kern w:val="44"/>
              <w:szCs w:val="24"/>
            </w:rPr>
            <w:fldChar w:fldCharType="begin"/>
          </w:r>
          <w:r>
            <w:rPr>
              <w:rFonts w:hint="eastAsia" w:asciiTheme="minorEastAsia" w:hAnsiTheme="minorEastAsia" w:eastAsiaTheme="minorEastAsia" w:cstheme="minorEastAsia"/>
              <w:bCs/>
              <w:kern w:val="44"/>
              <w:szCs w:val="24"/>
            </w:rPr>
            <w:instrText xml:space="preserve"> HYPERLINK \l _Toc2471 </w:instrText>
          </w:r>
          <w:r>
            <w:rPr>
              <w:rFonts w:hint="eastAsia" w:asciiTheme="minorEastAsia" w:hAnsiTheme="minorEastAsia" w:eastAsiaTheme="minorEastAsia" w:cstheme="minorEastAsia"/>
              <w:bCs/>
              <w:kern w:val="44"/>
              <w:szCs w:val="24"/>
            </w:rPr>
            <w:fldChar w:fldCharType="separate"/>
          </w:r>
          <w:r>
            <w:rPr>
              <w:rFonts w:hint="default"/>
            </w:rPr>
            <w:t xml:space="preserve">1. </w:t>
          </w:r>
          <w:r>
            <w:rPr>
              <w:rFonts w:hint="eastAsia"/>
            </w:rPr>
            <w:t>背景</w:t>
          </w:r>
          <w:r>
            <w:tab/>
          </w:r>
          <w:r>
            <w:fldChar w:fldCharType="begin"/>
          </w:r>
          <w:r>
            <w:instrText xml:space="preserve"> PAGEREF _Toc2471 \h </w:instrText>
          </w:r>
          <w:r>
            <w:fldChar w:fldCharType="separate"/>
          </w:r>
          <w:r>
            <w:t>1</w:t>
          </w:r>
          <w:r>
            <w:fldChar w:fldCharType="end"/>
          </w:r>
          <w:r>
            <w:rPr>
              <w:rFonts w:hint="eastAsia" w:asciiTheme="minorEastAsia" w:hAnsiTheme="minorEastAsia" w:eastAsiaTheme="minorEastAsia" w:cstheme="minorEastAsia"/>
              <w:bCs/>
              <w:kern w:val="44"/>
              <w:szCs w:val="24"/>
            </w:rPr>
            <w:fldChar w:fldCharType="end"/>
          </w:r>
        </w:p>
        <w:p>
          <w:pPr>
            <w:pStyle w:val="17"/>
            <w:tabs>
              <w:tab w:val="right" w:leader="dot" w:pos="8306"/>
            </w:tabs>
          </w:pPr>
          <w:r>
            <w:rPr>
              <w:rFonts w:hint="eastAsia" w:asciiTheme="minorEastAsia" w:hAnsiTheme="minorEastAsia" w:eastAsiaTheme="minorEastAsia" w:cstheme="minorEastAsia"/>
              <w:bCs/>
              <w:kern w:val="44"/>
              <w:szCs w:val="24"/>
            </w:rPr>
            <w:fldChar w:fldCharType="begin"/>
          </w:r>
          <w:r>
            <w:rPr>
              <w:rFonts w:hint="eastAsia" w:asciiTheme="minorEastAsia" w:hAnsiTheme="minorEastAsia" w:eastAsiaTheme="minorEastAsia" w:cstheme="minorEastAsia"/>
              <w:bCs/>
              <w:kern w:val="44"/>
              <w:szCs w:val="24"/>
            </w:rPr>
            <w:instrText xml:space="preserve"> HYPERLINK \l _Toc5986 </w:instrText>
          </w:r>
          <w:r>
            <w:rPr>
              <w:rFonts w:hint="eastAsia" w:asciiTheme="minorEastAsia" w:hAnsiTheme="minorEastAsia" w:eastAsiaTheme="minorEastAsia" w:cstheme="minorEastAsia"/>
              <w:bCs/>
              <w:kern w:val="44"/>
              <w:szCs w:val="24"/>
            </w:rPr>
            <w:fldChar w:fldCharType="separate"/>
          </w:r>
          <w:r>
            <w:rPr>
              <w:rFonts w:hint="default"/>
            </w:rPr>
            <w:t xml:space="preserve">2. </w:t>
          </w:r>
          <w:r>
            <w:rPr>
              <w:rFonts w:hint="eastAsia"/>
            </w:rPr>
            <w:t>产品介绍</w:t>
          </w:r>
          <w:r>
            <w:tab/>
          </w:r>
          <w:r>
            <w:fldChar w:fldCharType="begin"/>
          </w:r>
          <w:r>
            <w:instrText xml:space="preserve"> PAGEREF _Toc5986 \h </w:instrText>
          </w:r>
          <w:r>
            <w:fldChar w:fldCharType="separate"/>
          </w:r>
          <w:r>
            <w:t>1</w:t>
          </w:r>
          <w:r>
            <w:fldChar w:fldCharType="end"/>
          </w:r>
          <w:r>
            <w:rPr>
              <w:rFonts w:hint="eastAsia" w:asciiTheme="minorEastAsia" w:hAnsiTheme="minorEastAsia" w:eastAsiaTheme="minorEastAsia" w:cstheme="minorEastAsia"/>
              <w:bCs/>
              <w:kern w:val="44"/>
              <w:szCs w:val="24"/>
            </w:rPr>
            <w:fldChar w:fldCharType="end"/>
          </w:r>
        </w:p>
        <w:p>
          <w:pPr>
            <w:pStyle w:val="17"/>
            <w:tabs>
              <w:tab w:val="right" w:leader="dot" w:pos="8306"/>
            </w:tabs>
          </w:pPr>
          <w:r>
            <w:rPr>
              <w:rFonts w:hint="eastAsia" w:asciiTheme="minorEastAsia" w:hAnsiTheme="minorEastAsia" w:eastAsiaTheme="minorEastAsia" w:cstheme="minorEastAsia"/>
              <w:bCs/>
              <w:kern w:val="44"/>
              <w:szCs w:val="24"/>
            </w:rPr>
            <w:fldChar w:fldCharType="begin"/>
          </w:r>
          <w:r>
            <w:rPr>
              <w:rFonts w:hint="eastAsia" w:asciiTheme="minorEastAsia" w:hAnsiTheme="minorEastAsia" w:eastAsiaTheme="minorEastAsia" w:cstheme="minorEastAsia"/>
              <w:bCs/>
              <w:kern w:val="44"/>
              <w:szCs w:val="24"/>
            </w:rPr>
            <w:instrText xml:space="preserve"> HYPERLINK \l _Toc1675 </w:instrText>
          </w:r>
          <w:r>
            <w:rPr>
              <w:rFonts w:hint="eastAsia" w:asciiTheme="minorEastAsia" w:hAnsiTheme="minorEastAsia" w:eastAsiaTheme="minorEastAsia" w:cstheme="minorEastAsia"/>
              <w:bCs/>
              <w:kern w:val="44"/>
              <w:szCs w:val="24"/>
            </w:rPr>
            <w:fldChar w:fldCharType="separate"/>
          </w:r>
          <w:r>
            <w:rPr>
              <w:rFonts w:hint="default"/>
            </w:rPr>
            <w:t xml:space="preserve">3. </w:t>
          </w:r>
          <w:r>
            <w:rPr>
              <w:rFonts w:hAnsi="宋体" w:cs="Arial"/>
              <w:bCs/>
            </w:rPr>
            <w:t>职责分配</w:t>
          </w:r>
          <w:r>
            <w:tab/>
          </w:r>
          <w:r>
            <w:fldChar w:fldCharType="begin"/>
          </w:r>
          <w:r>
            <w:instrText xml:space="preserve"> PAGEREF _Toc1675 \h </w:instrText>
          </w:r>
          <w:r>
            <w:fldChar w:fldCharType="separate"/>
          </w:r>
          <w:r>
            <w:t>2</w:t>
          </w:r>
          <w:r>
            <w:fldChar w:fldCharType="end"/>
          </w:r>
          <w:r>
            <w:rPr>
              <w:rFonts w:hint="eastAsia" w:asciiTheme="minorEastAsia" w:hAnsiTheme="minorEastAsia" w:eastAsiaTheme="minorEastAsia" w:cstheme="minorEastAsia"/>
              <w:bCs/>
              <w:kern w:val="44"/>
              <w:szCs w:val="24"/>
            </w:rPr>
            <w:fldChar w:fldCharType="end"/>
          </w:r>
        </w:p>
        <w:p>
          <w:pPr>
            <w:pStyle w:val="17"/>
            <w:tabs>
              <w:tab w:val="right" w:leader="dot" w:pos="8306"/>
            </w:tabs>
          </w:pPr>
          <w:r>
            <w:rPr>
              <w:rFonts w:hint="eastAsia" w:asciiTheme="minorEastAsia" w:hAnsiTheme="minorEastAsia" w:eastAsiaTheme="minorEastAsia" w:cstheme="minorEastAsia"/>
              <w:bCs/>
              <w:kern w:val="44"/>
              <w:szCs w:val="24"/>
            </w:rPr>
            <w:fldChar w:fldCharType="begin"/>
          </w:r>
          <w:r>
            <w:rPr>
              <w:rFonts w:hint="eastAsia" w:asciiTheme="minorEastAsia" w:hAnsiTheme="minorEastAsia" w:eastAsiaTheme="minorEastAsia" w:cstheme="minorEastAsia"/>
              <w:bCs/>
              <w:kern w:val="44"/>
              <w:szCs w:val="24"/>
            </w:rPr>
            <w:instrText xml:space="preserve"> HYPERLINK \l _Toc28532 </w:instrText>
          </w:r>
          <w:r>
            <w:rPr>
              <w:rFonts w:hint="eastAsia" w:asciiTheme="minorEastAsia" w:hAnsiTheme="minorEastAsia" w:eastAsiaTheme="minorEastAsia" w:cstheme="minorEastAsia"/>
              <w:bCs/>
              <w:kern w:val="44"/>
              <w:szCs w:val="24"/>
            </w:rPr>
            <w:fldChar w:fldCharType="separate"/>
          </w:r>
          <w:r>
            <w:rPr>
              <w:rFonts w:hint="default"/>
            </w:rPr>
            <w:t xml:space="preserve">4. </w:t>
          </w:r>
          <w:r>
            <w:rPr>
              <w:rFonts w:hint="eastAsia"/>
            </w:rPr>
            <w:t>风险管理</w:t>
          </w:r>
          <w:r>
            <w:rPr>
              <w:rFonts w:hint="eastAsia"/>
              <w:lang w:eastAsia="zh-CN"/>
            </w:rPr>
            <w:t>计划</w:t>
          </w:r>
          <w:r>
            <w:tab/>
          </w:r>
          <w:r>
            <w:fldChar w:fldCharType="begin"/>
          </w:r>
          <w:r>
            <w:instrText xml:space="preserve"> PAGEREF _Toc28532 \h </w:instrText>
          </w:r>
          <w:r>
            <w:fldChar w:fldCharType="separate"/>
          </w:r>
          <w:r>
            <w:t>2</w:t>
          </w:r>
          <w:r>
            <w:fldChar w:fldCharType="end"/>
          </w:r>
          <w:r>
            <w:rPr>
              <w:rFonts w:hint="eastAsia" w:asciiTheme="minorEastAsia" w:hAnsiTheme="minorEastAsia" w:eastAsiaTheme="minorEastAsia" w:cstheme="minorEastAsia"/>
              <w:bCs/>
              <w:kern w:val="44"/>
              <w:szCs w:val="24"/>
            </w:rPr>
            <w:fldChar w:fldCharType="end"/>
          </w:r>
        </w:p>
        <w:p>
          <w:pPr>
            <w:pStyle w:val="17"/>
            <w:tabs>
              <w:tab w:val="right" w:leader="dot" w:pos="8306"/>
            </w:tabs>
          </w:pPr>
          <w:r>
            <w:rPr>
              <w:rFonts w:hint="eastAsia" w:asciiTheme="minorEastAsia" w:hAnsiTheme="minorEastAsia" w:eastAsiaTheme="minorEastAsia" w:cstheme="minorEastAsia"/>
              <w:bCs/>
              <w:kern w:val="44"/>
              <w:szCs w:val="24"/>
            </w:rPr>
            <w:fldChar w:fldCharType="begin"/>
          </w:r>
          <w:r>
            <w:rPr>
              <w:rFonts w:hint="eastAsia" w:asciiTheme="minorEastAsia" w:hAnsiTheme="minorEastAsia" w:eastAsiaTheme="minorEastAsia" w:cstheme="minorEastAsia"/>
              <w:bCs/>
              <w:kern w:val="44"/>
              <w:szCs w:val="24"/>
            </w:rPr>
            <w:instrText xml:space="preserve"> HYPERLINK \l _Toc21306 </w:instrText>
          </w:r>
          <w:r>
            <w:rPr>
              <w:rFonts w:hint="eastAsia" w:asciiTheme="minorEastAsia" w:hAnsiTheme="minorEastAsia" w:eastAsiaTheme="minorEastAsia" w:cstheme="minorEastAsia"/>
              <w:bCs/>
              <w:kern w:val="44"/>
              <w:szCs w:val="24"/>
            </w:rPr>
            <w:fldChar w:fldCharType="separate"/>
          </w:r>
          <w:r>
            <w:rPr>
              <w:rFonts w:hint="default"/>
            </w:rPr>
            <w:t xml:space="preserve">5. </w:t>
          </w:r>
          <w:r>
            <w:rPr>
              <w:rFonts w:hint="eastAsia"/>
            </w:rPr>
            <w:t>风险管理活动的评审要求</w:t>
          </w:r>
          <w:r>
            <w:tab/>
          </w:r>
          <w:r>
            <w:fldChar w:fldCharType="begin"/>
          </w:r>
          <w:r>
            <w:instrText xml:space="preserve"> PAGEREF _Toc21306 \h </w:instrText>
          </w:r>
          <w:r>
            <w:fldChar w:fldCharType="separate"/>
          </w:r>
          <w:r>
            <w:t>3</w:t>
          </w:r>
          <w:r>
            <w:fldChar w:fldCharType="end"/>
          </w:r>
          <w:r>
            <w:rPr>
              <w:rFonts w:hint="eastAsia" w:asciiTheme="minorEastAsia" w:hAnsiTheme="minorEastAsia" w:eastAsiaTheme="minorEastAsia" w:cstheme="minorEastAsia"/>
              <w:bCs/>
              <w:kern w:val="44"/>
              <w:szCs w:val="24"/>
            </w:rPr>
            <w:fldChar w:fldCharType="end"/>
          </w:r>
        </w:p>
        <w:p>
          <w:pPr>
            <w:pStyle w:val="17"/>
            <w:tabs>
              <w:tab w:val="right" w:leader="dot" w:pos="8306"/>
            </w:tabs>
          </w:pPr>
          <w:r>
            <w:rPr>
              <w:rFonts w:hint="eastAsia" w:asciiTheme="minorEastAsia" w:hAnsiTheme="minorEastAsia" w:eastAsiaTheme="minorEastAsia" w:cstheme="minorEastAsia"/>
              <w:bCs/>
              <w:kern w:val="44"/>
              <w:szCs w:val="24"/>
            </w:rPr>
            <w:fldChar w:fldCharType="begin"/>
          </w:r>
          <w:r>
            <w:rPr>
              <w:rFonts w:hint="eastAsia" w:asciiTheme="minorEastAsia" w:hAnsiTheme="minorEastAsia" w:eastAsiaTheme="minorEastAsia" w:cstheme="minorEastAsia"/>
              <w:bCs/>
              <w:kern w:val="44"/>
              <w:szCs w:val="24"/>
            </w:rPr>
            <w:instrText xml:space="preserve"> HYPERLINK \l _Toc18259 </w:instrText>
          </w:r>
          <w:r>
            <w:rPr>
              <w:rFonts w:hint="eastAsia" w:asciiTheme="minorEastAsia" w:hAnsiTheme="minorEastAsia" w:eastAsiaTheme="minorEastAsia" w:cstheme="minorEastAsia"/>
              <w:bCs/>
              <w:kern w:val="44"/>
              <w:szCs w:val="24"/>
            </w:rPr>
            <w:fldChar w:fldCharType="separate"/>
          </w:r>
          <w:r>
            <w:rPr>
              <w:rFonts w:hint="default"/>
            </w:rPr>
            <w:t xml:space="preserve">6. </w:t>
          </w:r>
          <w:r>
            <w:rPr>
              <w:rFonts w:hint="eastAsia"/>
            </w:rPr>
            <w:t>风险分析</w:t>
          </w:r>
          <w:r>
            <w:tab/>
          </w:r>
          <w:r>
            <w:fldChar w:fldCharType="begin"/>
          </w:r>
          <w:r>
            <w:instrText xml:space="preserve"> PAGEREF _Toc18259 \h </w:instrText>
          </w:r>
          <w:r>
            <w:fldChar w:fldCharType="separate"/>
          </w:r>
          <w:r>
            <w:t>3</w:t>
          </w:r>
          <w:r>
            <w:fldChar w:fldCharType="end"/>
          </w:r>
          <w:r>
            <w:rPr>
              <w:rFonts w:hint="eastAsia" w:asciiTheme="minorEastAsia" w:hAnsiTheme="minorEastAsia" w:eastAsiaTheme="minorEastAsia" w:cstheme="minorEastAsia"/>
              <w:bCs/>
              <w:kern w:val="44"/>
              <w:szCs w:val="24"/>
            </w:rPr>
            <w:fldChar w:fldCharType="end"/>
          </w:r>
        </w:p>
        <w:p>
          <w:pPr>
            <w:pStyle w:val="17"/>
            <w:tabs>
              <w:tab w:val="right" w:leader="dot" w:pos="8306"/>
            </w:tabs>
          </w:pPr>
          <w:r>
            <w:rPr>
              <w:rFonts w:hint="eastAsia" w:asciiTheme="minorEastAsia" w:hAnsiTheme="minorEastAsia" w:eastAsiaTheme="minorEastAsia" w:cstheme="minorEastAsia"/>
              <w:bCs/>
              <w:kern w:val="44"/>
              <w:szCs w:val="24"/>
            </w:rPr>
            <w:fldChar w:fldCharType="begin"/>
          </w:r>
          <w:r>
            <w:rPr>
              <w:rFonts w:hint="eastAsia" w:asciiTheme="minorEastAsia" w:hAnsiTheme="minorEastAsia" w:eastAsiaTheme="minorEastAsia" w:cstheme="minorEastAsia"/>
              <w:bCs/>
              <w:kern w:val="44"/>
              <w:szCs w:val="24"/>
            </w:rPr>
            <w:instrText xml:space="preserve"> HYPERLINK \l _Toc23547 </w:instrText>
          </w:r>
          <w:r>
            <w:rPr>
              <w:rFonts w:hint="eastAsia" w:asciiTheme="minorEastAsia" w:hAnsiTheme="minorEastAsia" w:eastAsiaTheme="minorEastAsia" w:cstheme="minorEastAsia"/>
              <w:bCs/>
              <w:kern w:val="44"/>
              <w:szCs w:val="24"/>
            </w:rPr>
            <w:fldChar w:fldCharType="separate"/>
          </w:r>
          <w:r>
            <w:rPr>
              <w:rFonts w:hint="default"/>
            </w:rPr>
            <w:t xml:space="preserve">7. </w:t>
          </w:r>
          <w:r>
            <w:rPr>
              <w:rFonts w:hint="eastAsia"/>
            </w:rPr>
            <w:t>风险控制</w:t>
          </w:r>
          <w:r>
            <w:tab/>
          </w:r>
          <w:r>
            <w:fldChar w:fldCharType="begin"/>
          </w:r>
          <w:r>
            <w:instrText xml:space="preserve"> PAGEREF _Toc23547 \h </w:instrText>
          </w:r>
          <w:r>
            <w:fldChar w:fldCharType="separate"/>
          </w:r>
          <w:r>
            <w:t>6</w:t>
          </w:r>
          <w:r>
            <w:fldChar w:fldCharType="end"/>
          </w:r>
          <w:r>
            <w:rPr>
              <w:rFonts w:hint="eastAsia" w:asciiTheme="minorEastAsia" w:hAnsiTheme="minorEastAsia" w:eastAsiaTheme="minorEastAsia" w:cstheme="minorEastAsia"/>
              <w:bCs/>
              <w:kern w:val="44"/>
              <w:szCs w:val="24"/>
            </w:rPr>
            <w:fldChar w:fldCharType="end"/>
          </w:r>
        </w:p>
        <w:p>
          <w:pPr>
            <w:pStyle w:val="17"/>
            <w:tabs>
              <w:tab w:val="right" w:leader="dot" w:pos="8306"/>
            </w:tabs>
          </w:pPr>
          <w:r>
            <w:rPr>
              <w:rFonts w:hint="eastAsia" w:asciiTheme="minorEastAsia" w:hAnsiTheme="minorEastAsia" w:eastAsiaTheme="minorEastAsia" w:cstheme="minorEastAsia"/>
              <w:bCs/>
              <w:kern w:val="44"/>
              <w:szCs w:val="24"/>
            </w:rPr>
            <w:fldChar w:fldCharType="begin"/>
          </w:r>
          <w:r>
            <w:rPr>
              <w:rFonts w:hint="eastAsia" w:asciiTheme="minorEastAsia" w:hAnsiTheme="minorEastAsia" w:eastAsiaTheme="minorEastAsia" w:cstheme="minorEastAsia"/>
              <w:bCs/>
              <w:kern w:val="44"/>
              <w:szCs w:val="24"/>
            </w:rPr>
            <w:instrText xml:space="preserve"> HYPERLINK \l _Toc7580 </w:instrText>
          </w:r>
          <w:r>
            <w:rPr>
              <w:rFonts w:hint="eastAsia" w:asciiTheme="minorEastAsia" w:hAnsiTheme="minorEastAsia" w:eastAsiaTheme="minorEastAsia" w:cstheme="minorEastAsia"/>
              <w:bCs/>
              <w:kern w:val="44"/>
              <w:szCs w:val="24"/>
            </w:rPr>
            <w:fldChar w:fldCharType="separate"/>
          </w:r>
          <w:r>
            <w:rPr>
              <w:rFonts w:hint="default"/>
            </w:rPr>
            <w:t xml:space="preserve">8. </w:t>
          </w:r>
          <w:r>
            <w:rPr>
              <w:rFonts w:hint="eastAsia"/>
            </w:rPr>
            <w:t>验证</w:t>
          </w:r>
          <w:r>
            <w:rPr>
              <w:rFonts w:hint="eastAsia"/>
              <w:lang w:eastAsia="zh-CN"/>
            </w:rPr>
            <w:t>活动及计划</w:t>
          </w:r>
          <w:r>
            <w:tab/>
          </w:r>
          <w:r>
            <w:fldChar w:fldCharType="begin"/>
          </w:r>
          <w:r>
            <w:instrText xml:space="preserve"> PAGEREF _Toc7580 \h </w:instrText>
          </w:r>
          <w:r>
            <w:fldChar w:fldCharType="separate"/>
          </w:r>
          <w:r>
            <w:t>7</w:t>
          </w:r>
          <w:r>
            <w:fldChar w:fldCharType="end"/>
          </w:r>
          <w:r>
            <w:rPr>
              <w:rFonts w:hint="eastAsia" w:asciiTheme="minorEastAsia" w:hAnsiTheme="minorEastAsia" w:eastAsiaTheme="minorEastAsia" w:cstheme="minorEastAsia"/>
              <w:bCs/>
              <w:kern w:val="44"/>
              <w:szCs w:val="24"/>
            </w:rPr>
            <w:fldChar w:fldCharType="end"/>
          </w:r>
        </w:p>
        <w:p>
          <w:pPr>
            <w:pStyle w:val="17"/>
            <w:tabs>
              <w:tab w:val="right" w:leader="dot" w:pos="8306"/>
            </w:tabs>
          </w:pPr>
          <w:r>
            <w:rPr>
              <w:rFonts w:hint="eastAsia" w:asciiTheme="minorEastAsia" w:hAnsiTheme="minorEastAsia" w:eastAsiaTheme="minorEastAsia" w:cstheme="minorEastAsia"/>
              <w:bCs/>
              <w:kern w:val="44"/>
              <w:szCs w:val="24"/>
            </w:rPr>
            <w:fldChar w:fldCharType="begin"/>
          </w:r>
          <w:r>
            <w:rPr>
              <w:rFonts w:hint="eastAsia" w:asciiTheme="minorEastAsia" w:hAnsiTheme="minorEastAsia" w:eastAsiaTheme="minorEastAsia" w:cstheme="minorEastAsia"/>
              <w:bCs/>
              <w:kern w:val="44"/>
              <w:szCs w:val="24"/>
            </w:rPr>
            <w:instrText xml:space="preserve"> HYPERLINK \l _Toc8858 </w:instrText>
          </w:r>
          <w:r>
            <w:rPr>
              <w:rFonts w:hint="eastAsia" w:asciiTheme="minorEastAsia" w:hAnsiTheme="minorEastAsia" w:eastAsiaTheme="minorEastAsia" w:cstheme="minorEastAsia"/>
              <w:bCs/>
              <w:kern w:val="44"/>
              <w:szCs w:val="24"/>
            </w:rPr>
            <w:fldChar w:fldCharType="separate"/>
          </w:r>
          <w:r>
            <w:rPr>
              <w:rFonts w:hint="default"/>
            </w:rPr>
            <w:t xml:space="preserve">9. </w:t>
          </w:r>
          <w:r>
            <w:rPr>
              <w:rFonts w:hint="eastAsia"/>
            </w:rPr>
            <w:t>综合剩余风险分析</w:t>
          </w:r>
          <w:r>
            <w:tab/>
          </w:r>
          <w:r>
            <w:fldChar w:fldCharType="begin"/>
          </w:r>
          <w:r>
            <w:instrText xml:space="preserve"> PAGEREF _Toc8858 \h </w:instrText>
          </w:r>
          <w:r>
            <w:fldChar w:fldCharType="separate"/>
          </w:r>
          <w:r>
            <w:t>7</w:t>
          </w:r>
          <w:r>
            <w:fldChar w:fldCharType="end"/>
          </w:r>
          <w:r>
            <w:rPr>
              <w:rFonts w:hint="eastAsia" w:asciiTheme="minorEastAsia" w:hAnsiTheme="minorEastAsia" w:eastAsiaTheme="minorEastAsia" w:cstheme="minorEastAsia"/>
              <w:bCs/>
              <w:kern w:val="44"/>
              <w:szCs w:val="24"/>
            </w:rPr>
            <w:fldChar w:fldCharType="end"/>
          </w:r>
        </w:p>
        <w:p>
          <w:pPr>
            <w:pStyle w:val="17"/>
            <w:tabs>
              <w:tab w:val="right" w:leader="dot" w:pos="8306"/>
            </w:tabs>
          </w:pPr>
          <w:r>
            <w:rPr>
              <w:rFonts w:hint="eastAsia" w:asciiTheme="minorEastAsia" w:hAnsiTheme="minorEastAsia" w:eastAsiaTheme="minorEastAsia" w:cstheme="minorEastAsia"/>
              <w:bCs/>
              <w:kern w:val="44"/>
              <w:szCs w:val="24"/>
            </w:rPr>
            <w:fldChar w:fldCharType="begin"/>
          </w:r>
          <w:r>
            <w:rPr>
              <w:rFonts w:hint="eastAsia" w:asciiTheme="minorEastAsia" w:hAnsiTheme="minorEastAsia" w:eastAsiaTheme="minorEastAsia" w:cstheme="minorEastAsia"/>
              <w:bCs/>
              <w:kern w:val="44"/>
              <w:szCs w:val="24"/>
            </w:rPr>
            <w:instrText xml:space="preserve"> HYPERLINK \l _Toc7152 </w:instrText>
          </w:r>
          <w:r>
            <w:rPr>
              <w:rFonts w:hint="eastAsia" w:asciiTheme="minorEastAsia" w:hAnsiTheme="minorEastAsia" w:eastAsiaTheme="minorEastAsia" w:cstheme="minorEastAsia"/>
              <w:bCs/>
              <w:kern w:val="44"/>
              <w:szCs w:val="24"/>
            </w:rPr>
            <w:fldChar w:fldCharType="separate"/>
          </w:r>
          <w:r>
            <w:rPr>
              <w:rFonts w:hint="default"/>
            </w:rPr>
            <w:t xml:space="preserve">10. </w:t>
          </w:r>
          <w:r>
            <w:rPr>
              <w:rFonts w:hint="eastAsia"/>
            </w:rPr>
            <w:t>生产和生产后信息</w:t>
          </w:r>
          <w:r>
            <w:tab/>
          </w:r>
          <w:r>
            <w:fldChar w:fldCharType="begin"/>
          </w:r>
          <w:r>
            <w:instrText xml:space="preserve"> PAGEREF _Toc7152 \h </w:instrText>
          </w:r>
          <w:r>
            <w:fldChar w:fldCharType="separate"/>
          </w:r>
          <w:r>
            <w:t>8</w:t>
          </w:r>
          <w:r>
            <w:fldChar w:fldCharType="end"/>
          </w:r>
          <w:r>
            <w:rPr>
              <w:rFonts w:hint="eastAsia" w:asciiTheme="minorEastAsia" w:hAnsiTheme="minorEastAsia" w:eastAsiaTheme="minorEastAsia" w:cstheme="minorEastAsia"/>
              <w:bCs/>
              <w:kern w:val="44"/>
              <w:szCs w:val="24"/>
            </w:rPr>
            <w:fldChar w:fldCharType="end"/>
          </w:r>
        </w:p>
        <w:p>
          <w:pPr>
            <w:pStyle w:val="17"/>
            <w:tabs>
              <w:tab w:val="right" w:leader="dot" w:pos="8306"/>
            </w:tabs>
          </w:pPr>
          <w:r>
            <w:rPr>
              <w:rFonts w:hint="eastAsia" w:asciiTheme="minorEastAsia" w:hAnsiTheme="minorEastAsia" w:eastAsiaTheme="minorEastAsia" w:cstheme="minorEastAsia"/>
              <w:bCs/>
              <w:kern w:val="44"/>
              <w:szCs w:val="24"/>
            </w:rPr>
            <w:fldChar w:fldCharType="begin"/>
          </w:r>
          <w:r>
            <w:rPr>
              <w:rFonts w:hint="eastAsia" w:asciiTheme="minorEastAsia" w:hAnsiTheme="minorEastAsia" w:eastAsiaTheme="minorEastAsia" w:cstheme="minorEastAsia"/>
              <w:bCs/>
              <w:kern w:val="44"/>
              <w:szCs w:val="24"/>
            </w:rPr>
            <w:instrText xml:space="preserve"> HYPERLINK \l _Toc9524 </w:instrText>
          </w:r>
          <w:r>
            <w:rPr>
              <w:rFonts w:hint="eastAsia" w:asciiTheme="minorEastAsia" w:hAnsiTheme="minorEastAsia" w:eastAsiaTheme="minorEastAsia" w:cstheme="minorEastAsia"/>
              <w:bCs/>
              <w:kern w:val="44"/>
              <w:szCs w:val="24"/>
            </w:rPr>
            <w:fldChar w:fldCharType="separate"/>
          </w:r>
          <w:r>
            <w:rPr>
              <w:rFonts w:hint="default"/>
            </w:rPr>
            <w:t xml:space="preserve">11. </w:t>
          </w:r>
          <w:r>
            <w:rPr>
              <w:rFonts w:hint="eastAsia"/>
            </w:rPr>
            <w:t>年度风险分析</w:t>
          </w:r>
          <w:r>
            <w:tab/>
          </w:r>
          <w:r>
            <w:fldChar w:fldCharType="begin"/>
          </w:r>
          <w:r>
            <w:instrText xml:space="preserve"> PAGEREF _Toc9524 \h </w:instrText>
          </w:r>
          <w:r>
            <w:fldChar w:fldCharType="separate"/>
          </w:r>
          <w:r>
            <w:t>9</w:t>
          </w:r>
          <w:r>
            <w:fldChar w:fldCharType="end"/>
          </w:r>
          <w:r>
            <w:rPr>
              <w:rFonts w:hint="eastAsia" w:asciiTheme="minorEastAsia" w:hAnsiTheme="minorEastAsia" w:eastAsiaTheme="minorEastAsia" w:cstheme="minorEastAsia"/>
              <w:bCs/>
              <w:kern w:val="44"/>
              <w:szCs w:val="24"/>
            </w:rPr>
            <w:fldChar w:fldCharType="end"/>
          </w:r>
        </w:p>
        <w:p>
          <w:pPr>
            <w:pStyle w:val="17"/>
            <w:tabs>
              <w:tab w:val="right" w:leader="dot" w:pos="8306"/>
            </w:tabs>
          </w:pPr>
          <w:r>
            <w:rPr>
              <w:rFonts w:hint="eastAsia" w:asciiTheme="minorEastAsia" w:hAnsiTheme="minorEastAsia" w:eastAsiaTheme="minorEastAsia" w:cstheme="minorEastAsia"/>
              <w:bCs/>
              <w:kern w:val="44"/>
              <w:szCs w:val="24"/>
            </w:rPr>
            <w:fldChar w:fldCharType="begin"/>
          </w:r>
          <w:r>
            <w:rPr>
              <w:rFonts w:hint="eastAsia" w:asciiTheme="minorEastAsia" w:hAnsiTheme="minorEastAsia" w:eastAsiaTheme="minorEastAsia" w:cstheme="minorEastAsia"/>
              <w:bCs/>
              <w:kern w:val="44"/>
              <w:szCs w:val="24"/>
            </w:rPr>
            <w:instrText xml:space="preserve"> HYPERLINK \l _Toc16131 </w:instrText>
          </w:r>
          <w:r>
            <w:rPr>
              <w:rFonts w:hint="eastAsia" w:asciiTheme="minorEastAsia" w:hAnsiTheme="minorEastAsia" w:eastAsiaTheme="minorEastAsia" w:cstheme="minorEastAsia"/>
              <w:bCs/>
              <w:kern w:val="44"/>
              <w:szCs w:val="24"/>
            </w:rPr>
            <w:fldChar w:fldCharType="separate"/>
          </w:r>
          <w:r>
            <w:rPr>
              <w:rFonts w:hint="default"/>
            </w:rPr>
            <w:t xml:space="preserve">12. </w:t>
          </w:r>
          <w:r>
            <w:rPr>
              <w:rFonts w:hint="eastAsia"/>
            </w:rPr>
            <w:t>风险管理报告</w:t>
          </w:r>
          <w:r>
            <w:tab/>
          </w:r>
          <w:r>
            <w:fldChar w:fldCharType="begin"/>
          </w:r>
          <w:r>
            <w:instrText xml:space="preserve"> PAGEREF _Toc16131 \h </w:instrText>
          </w:r>
          <w:r>
            <w:fldChar w:fldCharType="separate"/>
          </w:r>
          <w:r>
            <w:t>9</w:t>
          </w:r>
          <w:r>
            <w:fldChar w:fldCharType="end"/>
          </w:r>
          <w:r>
            <w:rPr>
              <w:rFonts w:hint="eastAsia" w:asciiTheme="minorEastAsia" w:hAnsiTheme="minorEastAsia" w:eastAsiaTheme="minorEastAsia" w:cstheme="minorEastAsia"/>
              <w:bCs/>
              <w:kern w:val="44"/>
              <w:szCs w:val="24"/>
            </w:rPr>
            <w:fldChar w:fldCharType="end"/>
          </w:r>
        </w:p>
        <w:p>
          <w:pPr>
            <w:pStyle w:val="17"/>
            <w:tabs>
              <w:tab w:val="right" w:leader="dot" w:pos="8306"/>
            </w:tabs>
          </w:pPr>
          <w:r>
            <w:rPr>
              <w:rFonts w:hint="eastAsia" w:asciiTheme="minorEastAsia" w:hAnsiTheme="minorEastAsia" w:eastAsiaTheme="minorEastAsia" w:cstheme="minorEastAsia"/>
              <w:bCs/>
              <w:kern w:val="44"/>
              <w:szCs w:val="24"/>
            </w:rPr>
            <w:fldChar w:fldCharType="begin"/>
          </w:r>
          <w:r>
            <w:rPr>
              <w:rFonts w:hint="eastAsia" w:asciiTheme="minorEastAsia" w:hAnsiTheme="minorEastAsia" w:eastAsiaTheme="minorEastAsia" w:cstheme="minorEastAsia"/>
              <w:bCs/>
              <w:kern w:val="44"/>
              <w:szCs w:val="24"/>
            </w:rPr>
            <w:instrText xml:space="preserve"> HYPERLINK \l _Toc20594 </w:instrText>
          </w:r>
          <w:r>
            <w:rPr>
              <w:rFonts w:hint="eastAsia" w:asciiTheme="minorEastAsia" w:hAnsiTheme="minorEastAsia" w:eastAsiaTheme="minorEastAsia" w:cstheme="minorEastAsia"/>
              <w:bCs/>
              <w:kern w:val="44"/>
              <w:szCs w:val="24"/>
            </w:rPr>
            <w:fldChar w:fldCharType="separate"/>
          </w:r>
          <w:r>
            <w:rPr>
              <w:rFonts w:hint="default"/>
              <w:lang w:eastAsia="zh-CN"/>
            </w:rPr>
            <w:t xml:space="preserve">13. </w:t>
          </w:r>
          <w:r>
            <w:rPr>
              <w:rFonts w:hint="eastAsia"/>
              <w:lang w:eastAsia="zh-CN"/>
            </w:rPr>
            <w:t>评审意见及记录</w:t>
          </w:r>
          <w:r>
            <w:tab/>
          </w:r>
          <w:r>
            <w:fldChar w:fldCharType="begin"/>
          </w:r>
          <w:r>
            <w:instrText xml:space="preserve"> PAGEREF _Toc20594 \h </w:instrText>
          </w:r>
          <w:r>
            <w:fldChar w:fldCharType="separate"/>
          </w:r>
          <w:r>
            <w:t>9</w:t>
          </w:r>
          <w:r>
            <w:fldChar w:fldCharType="end"/>
          </w:r>
          <w:r>
            <w:rPr>
              <w:rFonts w:hint="eastAsia" w:asciiTheme="minorEastAsia" w:hAnsiTheme="minorEastAsia" w:eastAsiaTheme="minorEastAsia" w:cstheme="minorEastAsia"/>
              <w:bCs/>
              <w:kern w:val="44"/>
              <w:szCs w:val="24"/>
            </w:rPr>
            <w:fldChar w:fldCharType="end"/>
          </w:r>
        </w:p>
        <w:p>
          <w:pPr>
            <w:widowControl/>
            <w:jc w:val="left"/>
            <w:rPr>
              <w:rFonts w:hint="eastAsia" w:asciiTheme="minorEastAsia" w:hAnsiTheme="minorEastAsia" w:eastAsiaTheme="minorEastAsia" w:cstheme="minorEastAsia"/>
              <w:b/>
              <w:bCs/>
              <w:kern w:val="44"/>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425" w:num="1"/>
              <w:titlePg/>
              <w:docGrid w:type="lines" w:linePitch="312" w:charSpace="0"/>
            </w:sectPr>
          </w:pPr>
          <w:r>
            <w:rPr>
              <w:rFonts w:hint="eastAsia" w:asciiTheme="minorEastAsia" w:hAnsiTheme="minorEastAsia" w:eastAsiaTheme="minorEastAsia" w:cstheme="minorEastAsia"/>
              <w:bCs/>
              <w:kern w:val="44"/>
              <w:szCs w:val="24"/>
            </w:rPr>
            <w:fldChar w:fldCharType="end"/>
          </w:r>
          <w:bookmarkStart w:id="27" w:name="_GoBack"/>
          <w:bookmarkEnd w:id="27"/>
        </w:p>
      </w:sdtContent>
    </w:sdt>
    <w:p>
      <w:pPr>
        <w:pStyle w:val="2"/>
        <w:bidi w:val="0"/>
        <w:ind w:left="448" w:leftChars="0" w:hanging="448" w:firstLineChars="0"/>
        <w:rPr>
          <w:rFonts w:hint="eastAsia"/>
        </w:rPr>
      </w:pPr>
      <w:bookmarkStart w:id="3" w:name="_Toc2471"/>
      <w:r>
        <w:rPr>
          <w:rFonts w:hint="eastAsia"/>
        </w:rPr>
        <w:t>背景</w:t>
      </w:r>
      <w:bookmarkEnd w:id="3"/>
    </w:p>
    <w:p>
      <w:pPr>
        <w:pStyle w:val="3"/>
        <w:bidi w:val="0"/>
        <w:ind w:left="575" w:leftChars="0" w:hanging="575" w:firstLineChars="0"/>
        <w:rPr>
          <w:rFonts w:hint="eastAsia"/>
        </w:rPr>
      </w:pPr>
      <w:bookmarkStart w:id="4" w:name="_Toc424200014"/>
      <w:r>
        <w:rPr>
          <w:rFonts w:hint="eastAsia"/>
        </w:rPr>
        <w:t>目的</w:t>
      </w:r>
      <w:bookmarkEnd w:id="4"/>
    </w:p>
    <w:p>
      <w:pPr>
        <w:ind w:firstLine="364" w:firstLineChars="152"/>
        <w:rPr>
          <w:rFonts w:hint="eastAsia" w:asciiTheme="minorEastAsia" w:hAnsiTheme="minorEastAsia" w:eastAsiaTheme="minorEastAsia" w:cstheme="minorEastAsia"/>
          <w:color w:val="00B050"/>
          <w:sz w:val="24"/>
          <w:szCs w:val="24"/>
          <w:lang w:val="en-US" w:eastAsia="zh-CN"/>
        </w:rPr>
      </w:pPr>
      <w:r>
        <w:rPr>
          <w:rFonts w:hint="eastAsia" w:asciiTheme="minorEastAsia" w:hAnsiTheme="minorEastAsia" w:cstheme="minorEastAsia"/>
          <w:color w:val="00B050"/>
          <w:sz w:val="24"/>
          <w:szCs w:val="24"/>
          <w:lang w:eastAsia="zh-CN"/>
        </w:rPr>
        <w:t>（示例：</w:t>
      </w:r>
      <w:r>
        <w:rPr>
          <w:rFonts w:hint="eastAsia" w:asciiTheme="minorEastAsia" w:hAnsiTheme="minorEastAsia" w:eastAsiaTheme="minorEastAsia" w:cstheme="minorEastAsia"/>
          <w:color w:val="00B050"/>
          <w:sz w:val="24"/>
          <w:szCs w:val="24"/>
        </w:rPr>
        <w:t>本风险管理计划按照ISO14971以及产品适用的相应国际标准，对</w:t>
      </w:r>
      <w:r>
        <w:rPr>
          <w:rFonts w:hint="eastAsia" w:asciiTheme="minorEastAsia" w:hAnsiTheme="minorEastAsia" w:cstheme="minorEastAsia"/>
          <w:color w:val="FF0000"/>
          <w:sz w:val="24"/>
          <w:szCs w:val="24"/>
          <w:lang w:val="en-US" w:eastAsia="zh-CN"/>
        </w:rPr>
        <w:t>{填写产品名称}</w:t>
      </w:r>
      <w:r>
        <w:rPr>
          <w:rFonts w:hint="eastAsia" w:asciiTheme="minorEastAsia" w:hAnsiTheme="minorEastAsia" w:eastAsiaTheme="minorEastAsia" w:cstheme="minorEastAsia"/>
          <w:color w:val="00B050"/>
          <w:sz w:val="24"/>
          <w:szCs w:val="24"/>
        </w:rPr>
        <w:t>产品在其整个生命周期内的风险管理活动进行指导。通过对产品的风险管理活动，使产品在预期用途使用条件下，对病人、使用者、环境以及其他相关人员的风险降低到最低的、可接受的水平。</w:t>
      </w:r>
      <w:r>
        <w:rPr>
          <w:rFonts w:hint="eastAsia" w:asciiTheme="minorEastAsia" w:hAnsiTheme="minorEastAsia" w:cstheme="minorEastAsia"/>
          <w:color w:val="00B050"/>
          <w:sz w:val="24"/>
          <w:szCs w:val="24"/>
          <w:lang w:eastAsia="zh-CN"/>
        </w:rPr>
        <w:t>）</w:t>
      </w:r>
    </w:p>
    <w:p>
      <w:pPr>
        <w:pStyle w:val="3"/>
        <w:bidi w:val="0"/>
        <w:ind w:left="575" w:leftChars="0" w:hanging="575" w:firstLineChars="0"/>
        <w:rPr>
          <w:rFonts w:hint="eastAsia"/>
        </w:rPr>
      </w:pPr>
      <w:bookmarkStart w:id="5" w:name="_Toc424200015"/>
      <w:r>
        <w:rPr>
          <w:rFonts w:hint="eastAsia"/>
        </w:rPr>
        <w:t>范围</w:t>
      </w:r>
      <w:bookmarkEnd w:id="5"/>
    </w:p>
    <w:p>
      <w:pPr>
        <w:spacing w:line="360" w:lineRule="auto"/>
        <w:ind w:firstLine="420"/>
        <w:rPr>
          <w:rFonts w:hint="eastAsia" w:asciiTheme="minorEastAsia" w:hAnsiTheme="minorEastAsia" w:eastAsiaTheme="minorEastAsia" w:cstheme="minorEastAsia"/>
          <w:i/>
          <w:color w:val="00B050"/>
          <w:sz w:val="24"/>
          <w:szCs w:val="24"/>
          <w:lang w:eastAsia="zh-CN"/>
        </w:rPr>
      </w:pPr>
      <w:bookmarkStart w:id="6" w:name="OLE_LINK4"/>
      <w:bookmarkStart w:id="7" w:name="OLE_LINK5"/>
      <w:r>
        <w:rPr>
          <w:rFonts w:hint="eastAsia" w:asciiTheme="minorEastAsia" w:hAnsiTheme="minorEastAsia" w:cstheme="minorEastAsia"/>
          <w:color w:val="00B050"/>
          <w:sz w:val="24"/>
          <w:szCs w:val="24"/>
          <w:lang w:eastAsia="zh-CN"/>
        </w:rPr>
        <w:t>（示例：</w:t>
      </w:r>
      <w:r>
        <w:rPr>
          <w:rFonts w:hint="eastAsia" w:asciiTheme="minorEastAsia" w:hAnsiTheme="minorEastAsia" w:eastAsiaTheme="minorEastAsia" w:cstheme="minorEastAsia"/>
          <w:color w:val="00B050"/>
          <w:sz w:val="24"/>
          <w:szCs w:val="24"/>
        </w:rPr>
        <w:t>本计划适用于</w:t>
      </w:r>
      <w:r>
        <w:rPr>
          <w:rFonts w:hint="eastAsia" w:asciiTheme="minorEastAsia" w:hAnsiTheme="minorEastAsia" w:cstheme="minorEastAsia"/>
          <w:color w:val="FF0000"/>
          <w:sz w:val="24"/>
          <w:szCs w:val="24"/>
          <w:lang w:val="en-US" w:eastAsia="zh-CN"/>
        </w:rPr>
        <w:t>{填写产品名称}</w:t>
      </w:r>
      <w:r>
        <w:rPr>
          <w:rFonts w:hint="eastAsia" w:asciiTheme="minorEastAsia" w:hAnsiTheme="minorEastAsia" w:eastAsiaTheme="minorEastAsia" w:cstheme="minorEastAsia"/>
          <w:color w:val="00B050"/>
          <w:sz w:val="24"/>
          <w:szCs w:val="24"/>
        </w:rPr>
        <w:t>产品在整个生命周期内所有阶段（包括设计开发、产品实现、最终停用和处置阶段）的风险管理与控制。按照本计划，判定XX产品及其附件有关的危害，估计和评价风险，控制这些风险，并监控控制措施的有效性。本风险管理计划的范围包括仪器整机系统以及由于其他配附件失效可能导致的仪器整机风险，对于配附件以本身不作风险分析。配附件的风险分析由进货检验以及采购质量保证予以保证。</w:t>
      </w:r>
      <w:r>
        <w:rPr>
          <w:rFonts w:hint="eastAsia" w:asciiTheme="minorEastAsia" w:hAnsiTheme="minorEastAsia" w:cstheme="minorEastAsia"/>
          <w:color w:val="00B050"/>
          <w:sz w:val="24"/>
          <w:szCs w:val="24"/>
          <w:lang w:eastAsia="zh-CN"/>
        </w:rPr>
        <w:t>）</w:t>
      </w:r>
    </w:p>
    <w:bookmarkEnd w:id="6"/>
    <w:bookmarkEnd w:id="7"/>
    <w:p>
      <w:pPr>
        <w:pStyle w:val="2"/>
        <w:bidi w:val="0"/>
        <w:ind w:left="432" w:leftChars="0" w:hanging="432" w:firstLineChars="0"/>
        <w:rPr>
          <w:rFonts w:hint="eastAsia"/>
        </w:rPr>
      </w:pPr>
      <w:bookmarkStart w:id="8" w:name="_Toc5986"/>
      <w:r>
        <w:rPr>
          <w:rFonts w:hint="eastAsia"/>
        </w:rPr>
        <w:t>产品介绍</w:t>
      </w:r>
      <w:bookmarkEnd w:id="8"/>
    </w:p>
    <w:p>
      <w:pPr>
        <w:pStyle w:val="3"/>
        <w:spacing w:before="0" w:after="0" w:line="415"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产品描述</w:t>
      </w:r>
    </w:p>
    <w:p>
      <w:pPr>
        <w:spacing w:line="360" w:lineRule="auto"/>
        <w:ind w:firstLine="420"/>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cstheme="minorEastAsia"/>
          <w:color w:val="FF0000"/>
          <w:sz w:val="24"/>
          <w:szCs w:val="24"/>
          <w:lang w:val="en-US" w:eastAsia="zh-CN"/>
        </w:rPr>
        <w:t>{填写产品的外观、预期用途等方面的介绍}</w:t>
      </w:r>
    </w:p>
    <w:p>
      <w:pPr>
        <w:pStyle w:val="3"/>
        <w:spacing w:before="0" w:after="0" w:line="415"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产品组成</w:t>
      </w:r>
    </w:p>
    <w:p>
      <w:pPr>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cstheme="minorEastAsia"/>
          <w:color w:val="FF0000"/>
          <w:sz w:val="24"/>
          <w:szCs w:val="24"/>
          <w:lang w:val="en-US" w:eastAsia="zh-CN"/>
        </w:rPr>
        <w:t>{填写产品组成（包括但不限于结构、组件等）的介绍}</w:t>
      </w:r>
    </w:p>
    <w:p>
      <w:pPr>
        <w:pStyle w:val="3"/>
        <w:spacing w:before="0" w:after="0" w:line="415"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工作原理</w:t>
      </w:r>
    </w:p>
    <w:p>
      <w:pPr>
        <w:spacing w:line="360" w:lineRule="auto"/>
        <w:ind w:firstLine="420"/>
        <w:rPr>
          <w:rFonts w:hint="eastAsia" w:asciiTheme="minorEastAsia" w:hAnsiTheme="minorEastAsia" w:eastAsiaTheme="minorEastAsia" w:cstheme="minorEastAsia"/>
          <w:sz w:val="24"/>
          <w:szCs w:val="24"/>
        </w:rPr>
      </w:pPr>
      <w:bookmarkStart w:id="9" w:name="_Toc451939577"/>
      <w:bookmarkStart w:id="10" w:name="_Toc361847743"/>
      <w:r>
        <w:rPr>
          <w:rFonts w:hint="eastAsia" w:asciiTheme="minorEastAsia" w:hAnsiTheme="minorEastAsia" w:cstheme="minorEastAsia"/>
          <w:color w:val="FF0000"/>
          <w:sz w:val="24"/>
          <w:szCs w:val="24"/>
          <w:lang w:val="en-US" w:eastAsia="zh-CN"/>
        </w:rPr>
        <w:t>{填写产品工作原理的介绍}</w:t>
      </w:r>
    </w:p>
    <w:p>
      <w:pPr>
        <w:pStyle w:val="3"/>
        <w:spacing w:before="0" w:after="0" w:line="415"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产品功能</w:t>
      </w:r>
      <w:bookmarkEnd w:id="9"/>
      <w:bookmarkEnd w:id="10"/>
    </w:p>
    <w:p>
      <w:pPr>
        <w:spacing w:line="360" w:lineRule="auto"/>
        <w:ind w:firstLine="420"/>
        <w:rPr>
          <w:rFonts w:hint="eastAsia" w:asciiTheme="minorEastAsia" w:hAnsiTheme="minorEastAsia" w:eastAsiaTheme="minorEastAsia" w:cstheme="minorEastAsia"/>
          <w:sz w:val="24"/>
          <w:szCs w:val="24"/>
        </w:rPr>
      </w:pPr>
      <w:bookmarkStart w:id="11" w:name="_Toc451939578"/>
      <w:r>
        <w:rPr>
          <w:rFonts w:hint="eastAsia" w:asciiTheme="minorEastAsia" w:hAnsiTheme="minorEastAsia" w:cstheme="minorEastAsia"/>
          <w:color w:val="FF0000"/>
          <w:sz w:val="24"/>
          <w:szCs w:val="24"/>
          <w:lang w:val="en-US" w:eastAsia="zh-CN"/>
        </w:rPr>
        <w:t>{填写产品的功能的介绍}</w:t>
      </w:r>
    </w:p>
    <w:p>
      <w:pPr>
        <w:pStyle w:val="3"/>
        <w:spacing w:before="0" w:after="0" w:line="415"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预期使用寿命</w:t>
      </w:r>
      <w:bookmarkEnd w:id="11"/>
    </w:p>
    <w:p>
      <w:pPr>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cstheme="minorEastAsia"/>
          <w:color w:val="FF0000"/>
          <w:sz w:val="24"/>
          <w:szCs w:val="24"/>
          <w:lang w:val="en-US" w:eastAsia="zh-CN"/>
        </w:rPr>
        <w:t>{填写产品预期使用寿命的介绍}</w:t>
      </w:r>
    </w:p>
    <w:p>
      <w:pPr>
        <w:pStyle w:val="2"/>
        <w:bidi w:val="0"/>
        <w:ind w:left="432" w:leftChars="0" w:hanging="432" w:firstLineChars="0"/>
        <w:rPr>
          <w:rFonts w:hint="eastAsia"/>
        </w:rPr>
      </w:pPr>
      <w:bookmarkStart w:id="12" w:name="_Toc1675"/>
      <w:r>
        <w:rPr>
          <w:rFonts w:hAnsi="宋体" w:cs="Arial"/>
          <w:bCs/>
          <w:color w:val="000000"/>
        </w:rPr>
        <w:t>职责分配</w:t>
      </w:r>
      <w:bookmarkEnd w:id="12"/>
    </w:p>
    <w:p>
      <w:pPr>
        <w:rPr>
          <w:rFonts w:hint="eastAsia" w:eastAsiaTheme="minorEastAsia"/>
          <w:color w:val="00B0F0"/>
          <w:lang w:eastAsia="zh-CN"/>
        </w:rPr>
      </w:pPr>
      <w:r>
        <w:rPr>
          <w:rFonts w:hint="eastAsia" w:hAnsi="宋体" w:cs="Arial"/>
          <w:bCs/>
          <w:color w:val="00B0F0"/>
          <w:lang w:eastAsia="zh-CN"/>
        </w:rPr>
        <w:t>【以下内容仅为示例，可以根据实际情况对以下内容进行调整、修改和删减】</w:t>
      </w:r>
    </w:p>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公司组成了风险管理小组，确定了</w:t>
      </w:r>
      <w:r>
        <w:rPr>
          <w:rFonts w:hint="eastAsia" w:asciiTheme="minorEastAsia" w:hAnsiTheme="minorEastAsia" w:cstheme="minorEastAsia"/>
          <w:sz w:val="24"/>
          <w:szCs w:val="24"/>
          <w:lang w:eastAsia="zh-CN"/>
        </w:rPr>
        <w:t>本产品</w:t>
      </w:r>
      <w:r>
        <w:rPr>
          <w:rFonts w:hint="eastAsia" w:asciiTheme="minorEastAsia" w:hAnsiTheme="minorEastAsia" w:eastAsiaTheme="minorEastAsia" w:cstheme="minorEastAsia"/>
          <w:sz w:val="24"/>
          <w:szCs w:val="24"/>
        </w:rPr>
        <w:t>风险管理的负责人，确保风险管理活动有效地实施。</w:t>
      </w:r>
    </w:p>
    <w:tbl>
      <w:tblPr>
        <w:tblStyle w:val="20"/>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2413"/>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22"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参与人员</w:t>
            </w:r>
          </w:p>
        </w:tc>
        <w:tc>
          <w:tcPr>
            <w:tcW w:w="2413"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风险管理活动角色</w:t>
            </w:r>
          </w:p>
        </w:tc>
        <w:tc>
          <w:tcPr>
            <w:tcW w:w="5318"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风险管理活动职责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22" w:type="dxa"/>
            <w:shd w:val="clear" w:color="auto" w:fill="auto"/>
            <w:noWrap w:val="0"/>
            <w:vAlign w:val="center"/>
          </w:tcPr>
          <w:p>
            <w:pPr>
              <w:jc w:val="center"/>
              <w:rPr>
                <w:rFonts w:hint="eastAsia" w:asciiTheme="minorEastAsia" w:hAnsiTheme="minorEastAsia" w:eastAsiaTheme="minorEastAsia" w:cstheme="minorEastAsia"/>
                <w:sz w:val="24"/>
                <w:szCs w:val="24"/>
              </w:rPr>
            </w:pPr>
          </w:p>
        </w:tc>
        <w:tc>
          <w:tcPr>
            <w:tcW w:w="2413"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风险管理小组组长</w:t>
            </w:r>
          </w:p>
        </w:tc>
        <w:tc>
          <w:tcPr>
            <w:tcW w:w="5318"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本产品</w:t>
            </w:r>
            <w:r>
              <w:rPr>
                <w:rFonts w:hint="eastAsia" w:asciiTheme="minorEastAsia" w:hAnsiTheme="minorEastAsia" w:eastAsiaTheme="minorEastAsia" w:cstheme="minorEastAsia"/>
                <w:sz w:val="24"/>
                <w:szCs w:val="24"/>
              </w:rPr>
              <w:t>风险管理的负责人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负责批准风险可接受准则，并最终决定该产品风险管理活动是否有效。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shd w:val="clear" w:color="auto" w:fill="auto"/>
            <w:noWrap w:val="0"/>
            <w:vAlign w:val="top"/>
          </w:tcPr>
          <w:p>
            <w:pPr>
              <w:jc w:val="center"/>
              <w:rPr>
                <w:rFonts w:hint="eastAsia" w:asciiTheme="minorEastAsia" w:hAnsiTheme="minorEastAsia" w:eastAsiaTheme="minorEastAsia" w:cstheme="minorEastAsia"/>
                <w:sz w:val="24"/>
                <w:szCs w:val="24"/>
              </w:rPr>
            </w:pPr>
          </w:p>
        </w:tc>
        <w:tc>
          <w:tcPr>
            <w:tcW w:w="2413"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产品安全工程师</w:t>
            </w:r>
          </w:p>
        </w:tc>
        <w:tc>
          <w:tcPr>
            <w:tcW w:w="5318"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负责关注是否符合法规和标准的要求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shd w:val="clear" w:color="auto" w:fill="auto"/>
            <w:noWrap w:val="0"/>
            <w:vAlign w:val="top"/>
          </w:tcPr>
          <w:p>
            <w:pPr>
              <w:jc w:val="center"/>
              <w:rPr>
                <w:rFonts w:hint="eastAsia" w:asciiTheme="minorEastAsia" w:hAnsiTheme="minorEastAsia" w:eastAsiaTheme="minorEastAsia" w:cstheme="minorEastAsia"/>
                <w:sz w:val="24"/>
                <w:szCs w:val="24"/>
              </w:rPr>
            </w:pPr>
          </w:p>
        </w:tc>
        <w:tc>
          <w:tcPr>
            <w:tcW w:w="2413"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产品认证工程师</w:t>
            </w:r>
          </w:p>
        </w:tc>
        <w:tc>
          <w:tcPr>
            <w:tcW w:w="5318"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负责关注是否符合法规和标准的要求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shd w:val="clear" w:color="auto" w:fill="auto"/>
            <w:noWrap w:val="0"/>
            <w:vAlign w:val="top"/>
          </w:tcPr>
          <w:p>
            <w:pPr>
              <w:jc w:val="center"/>
              <w:rPr>
                <w:rFonts w:hint="eastAsia" w:asciiTheme="minorEastAsia" w:hAnsiTheme="minorEastAsia" w:eastAsiaTheme="minorEastAsia" w:cstheme="minorEastAsia"/>
                <w:sz w:val="24"/>
                <w:szCs w:val="24"/>
              </w:rPr>
            </w:pPr>
          </w:p>
        </w:tc>
        <w:tc>
          <w:tcPr>
            <w:tcW w:w="2413"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临床工程师</w:t>
            </w:r>
          </w:p>
        </w:tc>
        <w:tc>
          <w:tcPr>
            <w:tcW w:w="5318"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负责从临床角度关注风险是否被有效降低到了可接受范围内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shd w:val="clear" w:color="auto" w:fill="auto"/>
            <w:noWrap w:val="0"/>
            <w:vAlign w:val="top"/>
          </w:tcPr>
          <w:p>
            <w:pPr>
              <w:jc w:val="center"/>
              <w:rPr>
                <w:rFonts w:hint="eastAsia" w:asciiTheme="minorEastAsia" w:hAnsiTheme="minorEastAsia" w:eastAsiaTheme="minorEastAsia" w:cstheme="minorEastAsia"/>
                <w:sz w:val="24"/>
                <w:szCs w:val="24"/>
              </w:rPr>
            </w:pPr>
          </w:p>
        </w:tc>
        <w:tc>
          <w:tcPr>
            <w:tcW w:w="2413"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系统设计工程师</w:t>
            </w:r>
          </w:p>
        </w:tc>
        <w:tc>
          <w:tcPr>
            <w:tcW w:w="5318"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负责从系统角度关注风险是否被有效降低到了可接受范围内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shd w:val="clear" w:color="auto" w:fill="auto"/>
            <w:noWrap w:val="0"/>
            <w:vAlign w:val="top"/>
          </w:tcPr>
          <w:p>
            <w:pPr>
              <w:jc w:val="center"/>
              <w:rPr>
                <w:rFonts w:hint="eastAsia" w:asciiTheme="minorEastAsia" w:hAnsiTheme="minorEastAsia" w:eastAsiaTheme="minorEastAsia" w:cstheme="minorEastAsia"/>
                <w:sz w:val="24"/>
                <w:szCs w:val="24"/>
              </w:rPr>
            </w:pPr>
          </w:p>
        </w:tc>
        <w:tc>
          <w:tcPr>
            <w:tcW w:w="2413"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测试负责人</w:t>
            </w:r>
          </w:p>
        </w:tc>
        <w:tc>
          <w:tcPr>
            <w:tcW w:w="5318"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负责关注风险控制措施的验证是否在整机测试中有效开展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shd w:val="clear" w:color="auto" w:fill="auto"/>
            <w:noWrap w:val="0"/>
            <w:vAlign w:val="top"/>
          </w:tcPr>
          <w:p>
            <w:pPr>
              <w:jc w:val="center"/>
              <w:rPr>
                <w:rFonts w:hint="eastAsia" w:asciiTheme="minorEastAsia" w:hAnsiTheme="minorEastAsia" w:eastAsiaTheme="minorEastAsia" w:cstheme="minorEastAsia"/>
                <w:sz w:val="24"/>
                <w:szCs w:val="24"/>
              </w:rPr>
            </w:pPr>
          </w:p>
        </w:tc>
        <w:tc>
          <w:tcPr>
            <w:tcW w:w="2413"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项目QA</w:t>
            </w:r>
          </w:p>
        </w:tc>
        <w:tc>
          <w:tcPr>
            <w:tcW w:w="5318" w:type="dxa"/>
            <w:shd w:val="clear" w:color="auto" w:fill="auto"/>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负责确保风险管理活动的开展符合公司流程要求</w:t>
            </w:r>
          </w:p>
        </w:tc>
      </w:tr>
    </w:tbl>
    <w:p>
      <w:pPr>
        <w:pStyle w:val="2"/>
        <w:bidi w:val="0"/>
        <w:ind w:left="432" w:leftChars="0" w:hanging="432" w:firstLineChars="0"/>
        <w:rPr>
          <w:rFonts w:hint="eastAsia"/>
        </w:rPr>
      </w:pPr>
      <w:bookmarkStart w:id="13" w:name="_Toc28532"/>
      <w:r>
        <w:rPr>
          <w:rFonts w:hint="eastAsia"/>
        </w:rPr>
        <w:t>风险管理</w:t>
      </w:r>
      <w:r>
        <w:rPr>
          <w:rFonts w:hint="eastAsia"/>
          <w:lang w:eastAsia="zh-CN"/>
        </w:rPr>
        <w:t>计划</w:t>
      </w:r>
      <w:bookmarkEnd w:id="13"/>
    </w:p>
    <w:p>
      <w:pPr>
        <w:rPr>
          <w:rFonts w:hint="eastAsia" w:eastAsiaTheme="minorEastAsia"/>
          <w:color w:val="00B0F0"/>
          <w:lang w:eastAsia="zh-CN"/>
        </w:rPr>
      </w:pPr>
      <w:r>
        <w:rPr>
          <w:rFonts w:hint="eastAsia" w:hAnsi="宋体" w:cs="Arial"/>
          <w:bCs/>
          <w:color w:val="00B0F0"/>
          <w:lang w:eastAsia="zh-CN"/>
        </w:rPr>
        <w:t>【以下内容仅为示例，可以根据实际情况对以下内容进行调整、修改和删减】</w:t>
      </w:r>
    </w:p>
    <w:p>
      <w:pPr>
        <w:rPr>
          <w:rFonts w:hint="eastAsia"/>
        </w:rPr>
      </w:pPr>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按据公司《风险管理控制程序》 的要求执行风险管理过程。风险管理过程包括：风险管理计划、风险分析、风险评价、风险控制、综合剩余风险评价、风险管理报告、生产及生产后信息等步骤。具体如下：</w:t>
      </w:r>
    </w:p>
    <w:tbl>
      <w:tblPr>
        <w:tblStyle w:val="20"/>
        <w:tblW w:w="84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1412"/>
        <w:gridCol w:w="1413"/>
        <w:gridCol w:w="2825"/>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风险管理活动</w:t>
            </w:r>
          </w:p>
        </w:tc>
        <w:tc>
          <w:tcPr>
            <w:tcW w:w="1412" w:type="dxa"/>
          </w:tcPr>
          <w:p>
            <w:pPr>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cstheme="minorEastAsia"/>
                <w:b/>
                <w:sz w:val="24"/>
                <w:szCs w:val="24"/>
                <w:lang w:eastAsia="zh-CN"/>
              </w:rPr>
              <w:t>计划开始时间</w:t>
            </w:r>
          </w:p>
        </w:tc>
        <w:tc>
          <w:tcPr>
            <w:tcW w:w="1413" w:type="dxa"/>
          </w:tcPr>
          <w:p>
            <w:pPr>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cstheme="minorEastAsia"/>
                <w:b/>
                <w:sz w:val="24"/>
                <w:szCs w:val="24"/>
                <w:lang w:eastAsia="zh-CN"/>
              </w:rPr>
              <w:t>计划完成时间</w:t>
            </w:r>
          </w:p>
        </w:tc>
        <w:tc>
          <w:tcPr>
            <w:tcW w:w="2825" w:type="dxa"/>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评审通过准则</w:t>
            </w:r>
          </w:p>
        </w:tc>
        <w:tc>
          <w:tcPr>
            <w:tcW w:w="1308" w:type="dxa"/>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风险管理计划</w:t>
            </w:r>
          </w:p>
        </w:tc>
        <w:tc>
          <w:tcPr>
            <w:tcW w:w="1412" w:type="dxa"/>
          </w:tcPr>
          <w:p>
            <w:pPr>
              <w:rPr>
                <w:rFonts w:hint="eastAsia" w:asciiTheme="minorEastAsia" w:hAnsiTheme="minorEastAsia" w:eastAsiaTheme="minorEastAsia" w:cstheme="minorEastAsia"/>
                <w:sz w:val="24"/>
                <w:szCs w:val="24"/>
              </w:rPr>
            </w:pPr>
          </w:p>
        </w:tc>
        <w:tc>
          <w:tcPr>
            <w:tcW w:w="1413" w:type="dxa"/>
          </w:tcPr>
          <w:p>
            <w:pPr>
              <w:rPr>
                <w:rFonts w:hint="eastAsia" w:asciiTheme="minorEastAsia" w:hAnsiTheme="minorEastAsia" w:eastAsiaTheme="minorEastAsia" w:cstheme="minorEastAsia"/>
                <w:sz w:val="24"/>
                <w:szCs w:val="24"/>
              </w:rPr>
            </w:pPr>
          </w:p>
        </w:tc>
        <w:tc>
          <w:tcPr>
            <w:tcW w:w="282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完成风险管理计划。</w:t>
            </w:r>
          </w:p>
        </w:tc>
        <w:tc>
          <w:tcPr>
            <w:tcW w:w="1308"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风险分析</w:t>
            </w:r>
          </w:p>
        </w:tc>
        <w:tc>
          <w:tcPr>
            <w:tcW w:w="1412" w:type="dxa"/>
          </w:tcPr>
          <w:p>
            <w:pPr>
              <w:rPr>
                <w:rFonts w:hint="eastAsia" w:asciiTheme="minorEastAsia" w:hAnsiTheme="minorEastAsia" w:eastAsiaTheme="minorEastAsia" w:cstheme="minorEastAsia"/>
                <w:sz w:val="24"/>
                <w:szCs w:val="24"/>
              </w:rPr>
            </w:pPr>
          </w:p>
        </w:tc>
        <w:tc>
          <w:tcPr>
            <w:tcW w:w="1413" w:type="dxa"/>
          </w:tcPr>
          <w:p>
            <w:pPr>
              <w:rPr>
                <w:rFonts w:hint="eastAsia" w:asciiTheme="minorEastAsia" w:hAnsiTheme="minorEastAsia" w:eastAsiaTheme="minorEastAsia" w:cstheme="minorEastAsia"/>
                <w:sz w:val="24"/>
                <w:szCs w:val="24"/>
              </w:rPr>
            </w:pPr>
          </w:p>
        </w:tc>
        <w:tc>
          <w:tcPr>
            <w:tcW w:w="282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完成《初始安全特征判定》、《危害判定和初始风险控制方案分析》。</w:t>
            </w:r>
          </w:p>
        </w:tc>
        <w:tc>
          <w:tcPr>
            <w:tcW w:w="1308"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风险评价、风险控制</w:t>
            </w:r>
          </w:p>
        </w:tc>
        <w:tc>
          <w:tcPr>
            <w:tcW w:w="1412" w:type="dxa"/>
          </w:tcPr>
          <w:p>
            <w:pPr>
              <w:rPr>
                <w:rFonts w:hint="eastAsia" w:asciiTheme="minorEastAsia" w:hAnsiTheme="minorEastAsia" w:eastAsiaTheme="minorEastAsia" w:cstheme="minorEastAsia"/>
                <w:sz w:val="24"/>
                <w:szCs w:val="24"/>
              </w:rPr>
            </w:pPr>
          </w:p>
        </w:tc>
        <w:tc>
          <w:tcPr>
            <w:tcW w:w="1413" w:type="dxa"/>
          </w:tcPr>
          <w:p>
            <w:pPr>
              <w:rPr>
                <w:rFonts w:hint="eastAsia" w:asciiTheme="minorEastAsia" w:hAnsiTheme="minorEastAsia" w:eastAsiaTheme="minorEastAsia" w:cstheme="minorEastAsia"/>
                <w:sz w:val="24"/>
                <w:szCs w:val="24"/>
              </w:rPr>
            </w:pPr>
          </w:p>
        </w:tc>
        <w:tc>
          <w:tcPr>
            <w:tcW w:w="282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完成《风险评价、风险控制措施记录表》中的风险评价、风险控制措施、采取措施后的风险分析评价及采取措施后是否引发新风险部分。</w:t>
            </w:r>
          </w:p>
        </w:tc>
        <w:tc>
          <w:tcPr>
            <w:tcW w:w="1308"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风险控制措施验证</w:t>
            </w:r>
          </w:p>
        </w:tc>
        <w:tc>
          <w:tcPr>
            <w:tcW w:w="1412" w:type="dxa"/>
          </w:tcPr>
          <w:p>
            <w:pPr>
              <w:rPr>
                <w:rFonts w:hint="eastAsia" w:asciiTheme="minorEastAsia" w:hAnsiTheme="minorEastAsia" w:eastAsiaTheme="minorEastAsia" w:cstheme="minorEastAsia"/>
                <w:sz w:val="24"/>
                <w:szCs w:val="24"/>
              </w:rPr>
            </w:pPr>
          </w:p>
        </w:tc>
        <w:tc>
          <w:tcPr>
            <w:tcW w:w="1413" w:type="dxa"/>
          </w:tcPr>
          <w:p>
            <w:pPr>
              <w:rPr>
                <w:rFonts w:hint="eastAsia" w:asciiTheme="minorEastAsia" w:hAnsiTheme="minorEastAsia" w:eastAsiaTheme="minorEastAsia" w:cstheme="minorEastAsia"/>
                <w:sz w:val="24"/>
                <w:szCs w:val="24"/>
              </w:rPr>
            </w:pPr>
          </w:p>
        </w:tc>
        <w:tc>
          <w:tcPr>
            <w:tcW w:w="282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对风险控制措施的有效性和风险控制措施的落实情况已进行验证，将结果填写在《风险评价、风险控制措施记录表》中。</w:t>
            </w:r>
          </w:p>
        </w:tc>
        <w:tc>
          <w:tcPr>
            <w:tcW w:w="1308"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综合剩余风险的可接受性评价</w:t>
            </w:r>
          </w:p>
        </w:tc>
        <w:tc>
          <w:tcPr>
            <w:tcW w:w="1412" w:type="dxa"/>
          </w:tcPr>
          <w:p>
            <w:pPr>
              <w:rPr>
                <w:rFonts w:hint="eastAsia" w:asciiTheme="minorEastAsia" w:hAnsiTheme="minorEastAsia" w:eastAsiaTheme="minorEastAsia" w:cstheme="minorEastAsia"/>
                <w:sz w:val="24"/>
                <w:szCs w:val="24"/>
              </w:rPr>
            </w:pPr>
          </w:p>
        </w:tc>
        <w:tc>
          <w:tcPr>
            <w:tcW w:w="1413" w:type="dxa"/>
          </w:tcPr>
          <w:p>
            <w:pPr>
              <w:rPr>
                <w:rFonts w:hint="eastAsia" w:asciiTheme="minorEastAsia" w:hAnsiTheme="minorEastAsia" w:eastAsiaTheme="minorEastAsia" w:cstheme="minorEastAsia"/>
                <w:sz w:val="24"/>
                <w:szCs w:val="24"/>
              </w:rPr>
            </w:pPr>
          </w:p>
        </w:tc>
        <w:tc>
          <w:tcPr>
            <w:tcW w:w="282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全部剩余风险都可接受，没有未记录在风险管理报告的危害，完成《综合剩余风险评价记录表》部分。</w:t>
            </w:r>
          </w:p>
        </w:tc>
        <w:tc>
          <w:tcPr>
            <w:tcW w:w="1308"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试产阶段的风险评价</w:t>
            </w:r>
          </w:p>
        </w:tc>
        <w:tc>
          <w:tcPr>
            <w:tcW w:w="1412" w:type="dxa"/>
          </w:tcPr>
          <w:p>
            <w:pPr>
              <w:rPr>
                <w:rFonts w:hint="eastAsia" w:asciiTheme="minorEastAsia" w:hAnsiTheme="minorEastAsia" w:eastAsiaTheme="minorEastAsia" w:cstheme="minorEastAsia"/>
                <w:sz w:val="24"/>
                <w:szCs w:val="24"/>
              </w:rPr>
            </w:pPr>
          </w:p>
        </w:tc>
        <w:tc>
          <w:tcPr>
            <w:tcW w:w="1413" w:type="dxa"/>
          </w:tcPr>
          <w:p>
            <w:pPr>
              <w:rPr>
                <w:rFonts w:hint="eastAsia" w:asciiTheme="minorEastAsia" w:hAnsiTheme="minorEastAsia" w:eastAsiaTheme="minorEastAsia" w:cstheme="minorEastAsia"/>
                <w:sz w:val="24"/>
                <w:szCs w:val="24"/>
              </w:rPr>
            </w:pPr>
          </w:p>
        </w:tc>
        <w:tc>
          <w:tcPr>
            <w:tcW w:w="282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试产阶段不产生新的安全性问题</w:t>
            </w:r>
          </w:p>
        </w:tc>
        <w:tc>
          <w:tcPr>
            <w:tcW w:w="1308"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生产和生产后信息</w:t>
            </w:r>
            <w:r>
              <w:rPr>
                <w:rFonts w:hint="eastAsia" w:asciiTheme="minorEastAsia" w:hAnsiTheme="minorEastAsia" w:cstheme="minorEastAsia"/>
                <w:sz w:val="24"/>
                <w:szCs w:val="24"/>
                <w:lang w:eastAsia="zh-CN"/>
              </w:rPr>
              <w:t>评价</w:t>
            </w:r>
          </w:p>
        </w:tc>
        <w:tc>
          <w:tcPr>
            <w:tcW w:w="1412" w:type="dxa"/>
          </w:tcPr>
          <w:p>
            <w:pPr>
              <w:rPr>
                <w:rFonts w:hint="eastAsia" w:asciiTheme="minorEastAsia" w:hAnsiTheme="minorEastAsia" w:eastAsiaTheme="minorEastAsia" w:cstheme="minorEastAsia"/>
                <w:sz w:val="24"/>
                <w:szCs w:val="24"/>
              </w:rPr>
            </w:pPr>
          </w:p>
        </w:tc>
        <w:tc>
          <w:tcPr>
            <w:tcW w:w="1413" w:type="dxa"/>
          </w:tcPr>
          <w:p>
            <w:pPr>
              <w:rPr>
                <w:rFonts w:hint="eastAsia" w:asciiTheme="minorEastAsia" w:hAnsiTheme="minorEastAsia" w:eastAsiaTheme="minorEastAsia" w:cstheme="minorEastAsia"/>
                <w:sz w:val="24"/>
                <w:szCs w:val="24"/>
              </w:rPr>
            </w:pPr>
          </w:p>
        </w:tc>
        <w:tc>
          <w:tcPr>
            <w:tcW w:w="282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新增危害风险可接受且不影响综合剩余风险的可接受性</w:t>
            </w:r>
          </w:p>
        </w:tc>
        <w:tc>
          <w:tcPr>
            <w:tcW w:w="1308"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风险管理小组</w:t>
            </w:r>
          </w:p>
        </w:tc>
      </w:tr>
    </w:tbl>
    <w:p>
      <w:pPr>
        <w:pStyle w:val="2"/>
        <w:bidi w:val="0"/>
        <w:ind w:left="432" w:leftChars="0" w:hanging="432" w:firstLineChars="0"/>
        <w:rPr>
          <w:rFonts w:hint="eastAsia"/>
        </w:rPr>
      </w:pPr>
      <w:bookmarkStart w:id="14" w:name="_Toc21306"/>
      <w:r>
        <w:rPr>
          <w:rFonts w:hint="eastAsia"/>
        </w:rPr>
        <w:t>风险管理活动的评审要求</w:t>
      </w:r>
      <w:bookmarkEnd w:id="14"/>
    </w:p>
    <w:p>
      <w:pPr>
        <w:rPr>
          <w:rFonts w:hint="eastAsia"/>
        </w:rPr>
      </w:pPr>
      <w:r>
        <w:rPr>
          <w:rFonts w:hint="eastAsia" w:hAnsi="宋体" w:cs="Arial"/>
          <w:bCs/>
          <w:color w:val="00B0F0"/>
          <w:lang w:eastAsia="zh-CN"/>
        </w:rPr>
        <w:t>【以下内容仅为示例，可以根据实际情况对以下内容进行调整、修改和删减】</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评审小组的构成必须包括熟悉产品原理及功能的成员，熟悉产品制造的成员，以及熟悉产品应用的成员，以及法规工程师。评审组成员应对评审结果的正确性和有效性负责。各部门应配合评审组成员对与产品安全性有关的信息进行评审，为综合剩余风险的评价提供依据。</w:t>
      </w:r>
    </w:p>
    <w:p>
      <w:pPr>
        <w:pStyle w:val="28"/>
        <w:numPr>
          <w:ilvl w:val="0"/>
          <w:numId w:val="2"/>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风险管理计划是否已适当实施的验证，包括：</w:t>
      </w:r>
    </w:p>
    <w:p>
      <w:pPr>
        <w:pStyle w:val="28"/>
        <w:ind w:left="846"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根据以下和安全性有关的信息在产品的设计开发、工程化、试生产及产品生产与售后阶段进行评审：</w:t>
      </w:r>
    </w:p>
    <w:p>
      <w:pPr>
        <w:pStyle w:val="28"/>
        <w:numPr>
          <w:ilvl w:val="0"/>
          <w:numId w:val="3"/>
        </w:numPr>
        <w:ind w:left="1276"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是否有事先未知的危害出现；</w:t>
      </w:r>
    </w:p>
    <w:p>
      <w:pPr>
        <w:pStyle w:val="28"/>
        <w:numPr>
          <w:ilvl w:val="0"/>
          <w:numId w:val="3"/>
        </w:numPr>
        <w:ind w:left="1276"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是否有某项危害造成的已被估计的风险（一个或多个）不再是可接受的；</w:t>
      </w:r>
    </w:p>
    <w:p>
      <w:pPr>
        <w:pStyle w:val="28"/>
        <w:numPr>
          <w:ilvl w:val="0"/>
          <w:numId w:val="3"/>
        </w:numPr>
        <w:ind w:left="1276"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是否初始评定的其它方面已经失效；</w:t>
      </w:r>
    </w:p>
    <w:p>
      <w:pPr>
        <w:pStyle w:val="28"/>
        <w:numPr>
          <w:ilvl w:val="0"/>
          <w:numId w:val="3"/>
        </w:numPr>
        <w:ind w:left="1276"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产品综合剩余风险是否已降低至可接受水平或经过风险/受益分析判断为可接受。</w:t>
      </w:r>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应对产品生产和生产后信息的获取方式进行评审，保持评审记录以证实风险管理计划的每个要素在产品特定的生命周期阶段已被适当的实施。</w:t>
      </w:r>
    </w:p>
    <w:p>
      <w:pPr>
        <w:pStyle w:val="28"/>
        <w:numPr>
          <w:ilvl w:val="0"/>
          <w:numId w:val="2"/>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风险管理活动效果验证</w:t>
      </w:r>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评审组可通过收集临床资料及生产和生产后信息对风险管理实施效果进行验证以确保风险管理活动的有效性。</w:t>
      </w:r>
    </w:p>
    <w:p>
      <w:pPr>
        <w:pStyle w:val="2"/>
        <w:bidi w:val="0"/>
        <w:ind w:left="432" w:leftChars="0" w:hanging="432" w:firstLineChars="0"/>
        <w:rPr>
          <w:rFonts w:hint="eastAsia"/>
        </w:rPr>
      </w:pPr>
      <w:bookmarkStart w:id="15" w:name="_Toc18259"/>
      <w:r>
        <w:rPr>
          <w:rFonts w:hint="eastAsia"/>
        </w:rPr>
        <w:t>风险分析</w:t>
      </w:r>
      <w:bookmarkEnd w:id="15"/>
    </w:p>
    <w:p>
      <w:pPr>
        <w:rPr>
          <w:rFonts w:hint="eastAsia"/>
        </w:rPr>
      </w:pPr>
      <w:r>
        <w:rPr>
          <w:rFonts w:hint="eastAsia" w:hAnsi="宋体" w:cs="Arial"/>
          <w:bCs/>
          <w:color w:val="00B0F0"/>
          <w:lang w:eastAsia="zh-CN"/>
        </w:rPr>
        <w:t>【以下内容仅为示例，可以根据实际情况对以下内容进行调整、修改和删减】</w:t>
      </w:r>
    </w:p>
    <w:p>
      <w:pPr>
        <w:pStyle w:val="3"/>
        <w:spacing w:before="0" w:after="0" w:line="415" w:lineRule="auto"/>
        <w:rPr>
          <w:rFonts w:hint="eastAsia" w:asciiTheme="minorEastAsia" w:hAnsiTheme="minorEastAsia" w:eastAsiaTheme="minorEastAsia" w:cstheme="minorEastAsia"/>
          <w:sz w:val="24"/>
          <w:szCs w:val="24"/>
        </w:rPr>
      </w:pPr>
      <w:bookmarkStart w:id="16" w:name="_Toc424200025"/>
      <w:r>
        <w:rPr>
          <w:rFonts w:hint="eastAsia" w:asciiTheme="minorEastAsia" w:hAnsiTheme="minorEastAsia" w:eastAsiaTheme="minorEastAsia" w:cstheme="minorEastAsia"/>
          <w:sz w:val="24"/>
          <w:szCs w:val="24"/>
        </w:rPr>
        <w:t>风险分析的内容</w:t>
      </w:r>
      <w:bookmarkEnd w:id="16"/>
    </w:p>
    <w:p>
      <w:pPr>
        <w:spacing w:line="360" w:lineRule="auto"/>
        <w:ind w:left="420" w:hanging="360" w:hangingChars="15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1）可能的危害及危害事件序列</w:t>
      </w:r>
    </w:p>
    <w:p>
      <w:pPr>
        <w:spacing w:line="360" w:lineRule="auto"/>
        <w:ind w:left="420" w:hanging="360" w:hangingChars="15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2）危害发生及其引起损害的概率</w:t>
      </w:r>
    </w:p>
    <w:p>
      <w:pPr>
        <w:spacing w:line="360" w:lineRule="auto"/>
        <w:ind w:left="420" w:hanging="360" w:hangingChars="15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3）损害的严重度</w:t>
      </w:r>
    </w:p>
    <w:p>
      <w:pPr>
        <w:pStyle w:val="3"/>
        <w:spacing w:before="0" w:after="0" w:line="415" w:lineRule="auto"/>
        <w:rPr>
          <w:rFonts w:hint="eastAsia" w:asciiTheme="minorEastAsia" w:hAnsiTheme="minorEastAsia" w:eastAsiaTheme="minorEastAsia" w:cstheme="minorEastAsia"/>
          <w:sz w:val="24"/>
          <w:szCs w:val="24"/>
        </w:rPr>
      </w:pPr>
      <w:bookmarkStart w:id="17" w:name="_Toc424200026"/>
      <w:r>
        <w:rPr>
          <w:rFonts w:hint="eastAsia" w:asciiTheme="minorEastAsia" w:hAnsiTheme="minorEastAsia" w:eastAsiaTheme="minorEastAsia" w:cstheme="minorEastAsia"/>
          <w:sz w:val="24"/>
          <w:szCs w:val="24"/>
        </w:rPr>
        <w:t>风险分析的方法</w:t>
      </w:r>
      <w:bookmarkEnd w:id="17"/>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本项目风险分析方法包括《ISO14971：2007 医疗器械——风险管理对医疗器械的应用》中《附录G (提示性)风险管理技术资料》中的G.2“初步危害分析法”（PHA）和G.4“失效模式和效应分析法”（FMEA）。</w:t>
      </w:r>
    </w:p>
    <w:p>
      <w:pPr>
        <w:pStyle w:val="3"/>
        <w:spacing w:before="0" w:after="0" w:line="415"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风险可接收性准则</w:t>
      </w:r>
    </w:p>
    <w:p>
      <w:pPr>
        <w:rPr>
          <w:rFonts w:hint="eastAsia"/>
        </w:rPr>
      </w:pPr>
      <w:r>
        <w:rPr>
          <w:rFonts w:hint="eastAsia" w:hAnsi="宋体" w:cs="Arial"/>
          <w:bCs/>
          <w:color w:val="00B0F0"/>
          <w:lang w:eastAsia="zh-CN"/>
        </w:rPr>
        <w:t>【以下内容仅为示例，可以根据实际情况对以下内容进行调整、修改和删减】</w:t>
      </w:r>
    </w:p>
    <w:p>
      <w:pPr>
        <w:rPr>
          <w:rFonts w:hint="eastAsia"/>
        </w:rPr>
      </w:pPr>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团队对经风险分析判断出的危害进行发生概率与损害严重度的分析，根据本计划确定的风险可接受准则判断风险的可接受性。以下是本产品确定的风险可接受准则，其中损害的严重度采用定性分析，损害发生的概率采用半定量分析，风险可接受性准则以4</w:t>
      </w:r>
      <w:r>
        <w:rPr>
          <w:rFonts w:hint="eastAsia" w:asciiTheme="minorEastAsia" w:hAnsiTheme="minorEastAsia" w:eastAsiaTheme="minorEastAsia" w:cstheme="minorEastAsia"/>
          <w:sz w:val="24"/>
          <w:szCs w:val="24"/>
        </w:rPr>
        <w:sym w:font="Symbol" w:char="F0B4"/>
      </w:r>
      <w:r>
        <w:rPr>
          <w:rFonts w:hint="eastAsia" w:asciiTheme="minorEastAsia" w:hAnsiTheme="minorEastAsia" w:eastAsiaTheme="minorEastAsia" w:cstheme="minorEastAsia"/>
          <w:sz w:val="24"/>
          <w:szCs w:val="24"/>
        </w:rPr>
        <w:t>6三分区矩阵图表示。</w:t>
      </w:r>
    </w:p>
    <w:p>
      <w:pPr>
        <w:pStyle w:val="4"/>
        <w:bidi w:val="0"/>
        <w:ind w:left="720" w:leftChars="0" w:hanging="720" w:firstLineChars="0"/>
        <w:rPr>
          <w:rFonts w:hint="eastAsia"/>
        </w:rPr>
      </w:pPr>
      <w:bookmarkStart w:id="18" w:name="_Toc424200028"/>
      <w:r>
        <w:rPr>
          <w:rFonts w:hint="eastAsia"/>
        </w:rPr>
        <w:t>损害发生的概率等级</w:t>
      </w:r>
      <w:bookmarkEnd w:id="18"/>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093"/>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43" w:type="dxa"/>
            <w:tcBorders>
              <w:bottom w:val="single" w:color="auto" w:sz="4" w:space="0"/>
            </w:tcBorders>
            <w:shd w:val="clear" w:color="auto" w:fill="C0C0C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等级名称</w:t>
            </w:r>
          </w:p>
        </w:tc>
        <w:tc>
          <w:tcPr>
            <w:tcW w:w="2095" w:type="dxa"/>
            <w:tcBorders>
              <w:bottom w:val="single" w:color="auto" w:sz="4" w:space="0"/>
            </w:tcBorders>
            <w:shd w:val="clear" w:color="auto" w:fill="C0C0C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代号</w:t>
            </w:r>
          </w:p>
        </w:tc>
        <w:tc>
          <w:tcPr>
            <w:tcW w:w="3591" w:type="dxa"/>
            <w:tcBorders>
              <w:bottom w:val="single" w:color="auto" w:sz="4" w:space="0"/>
            </w:tcBorders>
            <w:shd w:val="clear" w:color="auto" w:fill="C0C0C0"/>
            <w:vAlign w:val="center"/>
          </w:tcPr>
          <w:p>
            <w:pPr>
              <w:tabs>
                <w:tab w:val="left" w:pos="675"/>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频次（次数/年/单个产品）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43"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频繁</w:t>
            </w:r>
          </w:p>
        </w:tc>
        <w:tc>
          <w:tcPr>
            <w:tcW w:w="2095"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591" w:type="dxa"/>
            <w:shd w:val="clear" w:color="auto" w:fill="auto"/>
            <w:vAlign w:val="center"/>
          </w:tcPr>
          <w:p>
            <w:pPr>
              <w:tabs>
                <w:tab w:val="left" w:pos="675"/>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43"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很可能</w:t>
            </w:r>
          </w:p>
        </w:tc>
        <w:tc>
          <w:tcPr>
            <w:tcW w:w="2095"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591" w:type="dxa"/>
            <w:shd w:val="clear" w:color="auto" w:fill="auto"/>
            <w:vAlign w:val="center"/>
          </w:tcPr>
          <w:p>
            <w:pPr>
              <w:tabs>
                <w:tab w:val="left" w:pos="675"/>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w:t>
            </w:r>
            <w:r>
              <w:rPr>
                <w:rFonts w:hint="eastAsia" w:asciiTheme="minorEastAsia" w:hAnsiTheme="minorEastAsia" w:eastAsiaTheme="minorEastAsia" w:cstheme="minorEastAsia"/>
                <w:sz w:val="24"/>
                <w:szCs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43"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偶然</w:t>
            </w:r>
          </w:p>
        </w:tc>
        <w:tc>
          <w:tcPr>
            <w:tcW w:w="2095"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591" w:type="dxa"/>
            <w:shd w:val="clear" w:color="auto" w:fill="auto"/>
            <w:vAlign w:val="center"/>
          </w:tcPr>
          <w:p>
            <w:pPr>
              <w:tabs>
                <w:tab w:val="left" w:pos="675"/>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vertAlign w:val="superscript"/>
              </w:rPr>
              <w:t>-1</w:t>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43"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很少</w:t>
            </w:r>
          </w:p>
        </w:tc>
        <w:tc>
          <w:tcPr>
            <w:tcW w:w="2095"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591" w:type="dxa"/>
            <w:shd w:val="clear" w:color="auto" w:fill="auto"/>
            <w:vAlign w:val="center"/>
          </w:tcPr>
          <w:p>
            <w:pPr>
              <w:tabs>
                <w:tab w:val="left" w:pos="675"/>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43"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未必可能</w:t>
            </w:r>
          </w:p>
        </w:tc>
        <w:tc>
          <w:tcPr>
            <w:tcW w:w="2095"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591" w:type="dxa"/>
            <w:shd w:val="clear" w:color="auto" w:fill="auto"/>
            <w:vAlign w:val="center"/>
          </w:tcPr>
          <w:p>
            <w:pPr>
              <w:tabs>
                <w:tab w:val="left" w:pos="675"/>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vertAlign w:val="superscript"/>
              </w:rPr>
              <w:t>-4</w:t>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43"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难以置信</w:t>
            </w:r>
          </w:p>
        </w:tc>
        <w:tc>
          <w:tcPr>
            <w:tcW w:w="2095"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591" w:type="dxa"/>
            <w:shd w:val="clear" w:color="auto" w:fill="auto"/>
            <w:vAlign w:val="center"/>
          </w:tcPr>
          <w:p>
            <w:pPr>
              <w:tabs>
                <w:tab w:val="left" w:pos="675"/>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&lt;10</w:t>
            </w:r>
            <w:r>
              <w:rPr>
                <w:rFonts w:hint="eastAsia" w:asciiTheme="minorEastAsia" w:hAnsiTheme="minorEastAsia" w:eastAsiaTheme="minorEastAsia" w:cstheme="minorEastAsia"/>
                <w:sz w:val="24"/>
                <w:szCs w:val="24"/>
                <w:vertAlign w:val="superscript"/>
              </w:rPr>
              <w:t>-6</w:t>
            </w:r>
          </w:p>
        </w:tc>
      </w:tr>
    </w:tbl>
    <w:p>
      <w:pPr>
        <w:pStyle w:val="4"/>
        <w:bidi w:val="0"/>
        <w:ind w:left="720" w:leftChars="0" w:hanging="720" w:firstLineChars="0"/>
        <w:rPr>
          <w:rFonts w:hint="eastAsia"/>
        </w:rPr>
      </w:pPr>
      <w:bookmarkStart w:id="19" w:name="_Toc424200029"/>
      <w:r>
        <w:rPr>
          <w:rFonts w:hint="eastAsia"/>
        </w:rPr>
        <w:t>损害的严重度</w:t>
      </w:r>
      <w:bookmarkEnd w:id="19"/>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701"/>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tcBorders>
              <w:bottom w:val="single" w:color="auto" w:sz="4" w:space="0"/>
            </w:tcBorders>
            <w:shd w:val="clear" w:color="auto" w:fill="C0C0C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等级名称</w:t>
            </w:r>
          </w:p>
        </w:tc>
        <w:tc>
          <w:tcPr>
            <w:tcW w:w="1701" w:type="dxa"/>
            <w:tcBorders>
              <w:bottom w:val="single" w:color="auto" w:sz="4" w:space="0"/>
            </w:tcBorders>
            <w:shd w:val="clear" w:color="auto" w:fill="C0C0C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代号</w:t>
            </w:r>
          </w:p>
        </w:tc>
        <w:tc>
          <w:tcPr>
            <w:tcW w:w="4586" w:type="dxa"/>
            <w:tcBorders>
              <w:bottom w:val="single" w:color="auto" w:sz="4" w:space="0"/>
            </w:tcBorders>
            <w:shd w:val="clear" w:color="auto" w:fill="C0C0C0"/>
            <w:vAlign w:val="center"/>
          </w:tcPr>
          <w:p>
            <w:pPr>
              <w:tabs>
                <w:tab w:val="left" w:pos="675"/>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可忽略</w:t>
            </w:r>
          </w:p>
        </w:tc>
        <w:tc>
          <w:tcPr>
            <w:tcW w:w="1701"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586" w:type="dxa"/>
            <w:shd w:val="clear" w:color="auto" w:fill="auto"/>
            <w:vAlign w:val="center"/>
          </w:tcPr>
          <w:p>
            <w:pPr>
              <w:tabs>
                <w:tab w:val="left" w:pos="67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几乎没有或没有潜在伤害的可能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边际</w:t>
            </w:r>
          </w:p>
        </w:tc>
        <w:tc>
          <w:tcPr>
            <w:tcW w:w="1701"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586" w:type="dxa"/>
            <w:shd w:val="clear" w:color="auto" w:fill="auto"/>
            <w:vAlign w:val="center"/>
          </w:tcPr>
          <w:p>
            <w:pPr>
              <w:tabs>
                <w:tab w:val="left" w:pos="67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潜在伤害可能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危重</w:t>
            </w:r>
          </w:p>
        </w:tc>
        <w:tc>
          <w:tcPr>
            <w:tcW w:w="1701"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586" w:type="dxa"/>
            <w:shd w:val="clear" w:color="auto" w:fill="auto"/>
            <w:vAlign w:val="center"/>
          </w:tcPr>
          <w:p>
            <w:pPr>
              <w:tabs>
                <w:tab w:val="left" w:pos="67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潜在死亡或严重伤害可能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灾难</w:t>
            </w:r>
          </w:p>
        </w:tc>
        <w:tc>
          <w:tcPr>
            <w:tcW w:w="1701"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586" w:type="dxa"/>
            <w:shd w:val="clear" w:color="auto" w:fill="auto"/>
            <w:vAlign w:val="center"/>
          </w:tcPr>
          <w:p>
            <w:pPr>
              <w:tabs>
                <w:tab w:val="left" w:pos="67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潜在多重死亡或严重伤害可能</w:t>
            </w:r>
          </w:p>
        </w:tc>
      </w:tr>
    </w:tbl>
    <w:p>
      <w:pPr>
        <w:pStyle w:val="4"/>
        <w:bidi w:val="0"/>
        <w:ind w:left="720" w:leftChars="0" w:hanging="720" w:firstLineChars="0"/>
        <w:rPr>
          <w:rFonts w:hint="eastAsia"/>
        </w:rPr>
      </w:pPr>
      <w:bookmarkStart w:id="20" w:name="_Toc424200030"/>
      <w:r>
        <w:rPr>
          <w:rFonts w:hint="eastAsia"/>
        </w:rPr>
        <w:t>可接受风险决策方法</w:t>
      </w:r>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依据本计划中规定的风险可接受性准则，由风险管理团队对</w:t>
      </w:r>
      <w:r>
        <w:rPr>
          <w:rFonts w:hint="eastAsia" w:asciiTheme="minorEastAsia" w:hAnsiTheme="minorEastAsia" w:eastAsiaTheme="minorEastAsia" w:cstheme="minorEastAsia"/>
          <w:color w:val="FF0000"/>
          <w:sz w:val="24"/>
          <w:szCs w:val="24"/>
        </w:rPr>
        <w:t>XX</w:t>
      </w:r>
      <w:r>
        <w:rPr>
          <w:rFonts w:hint="eastAsia" w:asciiTheme="minorEastAsia" w:hAnsiTheme="minorEastAsia" w:eastAsiaTheme="minorEastAsia" w:cstheme="minorEastAsia"/>
          <w:sz w:val="24"/>
          <w:szCs w:val="24"/>
        </w:rPr>
        <w:t>产品相关危害在正常使用、可预见误用以及单一故障情况下可能导致的风险进行评审，评审时基于以下方法判断危害的严重程度：</w:t>
      </w:r>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——使用已执行的有规定要求的适用标准；</w:t>
      </w:r>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——已在使用的类似医疗器械的现场资料；</w:t>
      </w:r>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——由典型使用者进行的适用性实验；</w:t>
      </w:r>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——临床证据、适当的调研结果、科学技术资料、专家意见；</w:t>
      </w:r>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——外部质量评定情况；</w:t>
      </w:r>
    </w:p>
    <w:p>
      <w:pPr>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对风险是否可接受进行决策时，必须以当前社会价值为基础。</w:t>
      </w:r>
    </w:p>
    <w:p>
      <w:pPr>
        <w:pStyle w:val="3"/>
        <w:spacing w:beforeLines="50" w:afterLines="5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风险评价</w:t>
      </w:r>
      <w:bookmarkEnd w:id="20"/>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可使用概率等级和严重度对风险进行综合估计：（风险系数=严重度（S）×概率(P)）</w:t>
      </w:r>
    </w:p>
    <w:p>
      <w:pPr>
        <w:ind w:firstLine="480" w:firstLineChars="200"/>
        <w:rPr>
          <w:rFonts w:hint="eastAsia" w:asciiTheme="minorEastAsia" w:hAnsiTheme="minorEastAsia" w:eastAsiaTheme="minorEastAsia" w:cstheme="minorEastAsia"/>
          <w:sz w:val="24"/>
          <w:szCs w:val="24"/>
        </w:rPr>
      </w:pPr>
    </w:p>
    <w:tbl>
      <w:tblPr>
        <w:tblStyle w:val="20"/>
        <w:tblW w:w="851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8"/>
        <w:gridCol w:w="1565"/>
        <w:gridCol w:w="1456"/>
        <w:gridCol w:w="1276"/>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568" w:type="dxa"/>
            <w:tcBorders>
              <w:left w:val="single" w:color="auto" w:sz="4" w:space="0"/>
              <w:bottom w:val="single" w:color="auto" w:sz="4" w:space="0"/>
              <w:right w:val="single" w:color="auto" w:sz="4" w:space="0"/>
              <w:tl2br w:val="single" w:color="auto" w:sz="4" w:space="0"/>
            </w:tcBorders>
          </w:tcPr>
          <w:p>
            <w:pPr>
              <w:spacing w:beforeLines="15" w:afterLines="1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 xml:space="preserve">  严重度</w:t>
            </w:r>
          </w:p>
          <w:p>
            <w:pPr>
              <w:spacing w:beforeLines="15" w:afterLines="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概率</w:t>
            </w:r>
          </w:p>
        </w:tc>
        <w:tc>
          <w:tcPr>
            <w:tcW w:w="1565" w:type="dxa"/>
            <w:tcBorders>
              <w:left w:val="single" w:color="auto" w:sz="4" w:space="0"/>
              <w:bottom w:val="single" w:color="auto" w:sz="4" w:space="0"/>
              <w:right w:val="single"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可忽略</w:t>
            </w:r>
          </w:p>
        </w:tc>
        <w:tc>
          <w:tcPr>
            <w:tcW w:w="1456" w:type="dxa"/>
            <w:tcBorders>
              <w:left w:val="single" w:color="auto" w:sz="4" w:space="0"/>
              <w:bottom w:val="single" w:color="auto" w:sz="4" w:space="0"/>
              <w:right w:val="single"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边际</w:t>
            </w:r>
          </w:p>
        </w:tc>
        <w:tc>
          <w:tcPr>
            <w:tcW w:w="1276" w:type="dxa"/>
            <w:tcBorders>
              <w:left w:val="single" w:color="auto" w:sz="4" w:space="0"/>
              <w:bottom w:val="single" w:color="auto" w:sz="4" w:space="0"/>
              <w:right w:val="single"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危重</w:t>
            </w:r>
          </w:p>
        </w:tc>
        <w:tc>
          <w:tcPr>
            <w:tcW w:w="1653" w:type="dxa"/>
            <w:tcBorders>
              <w:left w:val="single" w:color="auto" w:sz="4" w:space="0"/>
              <w:bottom w:val="single" w:color="auto" w:sz="4" w:space="0"/>
              <w:right w:val="single"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灾难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68" w:type="dxa"/>
            <w:tcBorders>
              <w:top w:val="single" w:color="auto" w:sz="4" w:space="0"/>
              <w:left w:val="single" w:color="auto" w:sz="4" w:space="0"/>
              <w:bottom w:val="single" w:color="auto" w:sz="4" w:space="0"/>
              <w:right w:val="single" w:color="auto" w:sz="4" w:space="0"/>
            </w:tcBorders>
            <w:vAlign w:val="center"/>
          </w:tcPr>
          <w:p>
            <w:pPr>
              <w:spacing w:beforeLines="15" w:afterLines="15"/>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频繁</w:t>
            </w:r>
          </w:p>
        </w:tc>
        <w:tc>
          <w:tcPr>
            <w:tcW w:w="1565" w:type="dxa"/>
            <w:tcBorders>
              <w:top w:val="single" w:color="auto" w:sz="4" w:space="0"/>
              <w:left w:val="single"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456" w:type="dxa"/>
            <w:tcBorders>
              <w:top w:val="single" w:color="auto" w:sz="4" w:space="0"/>
              <w:left w:val="dashSmallGap"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 / ACC</w:t>
            </w:r>
          </w:p>
        </w:tc>
        <w:tc>
          <w:tcPr>
            <w:tcW w:w="1276" w:type="dxa"/>
            <w:tcBorders>
              <w:top w:val="single" w:color="auto" w:sz="4" w:space="0"/>
              <w:left w:val="dashSmallGap"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 / ACC</w:t>
            </w:r>
          </w:p>
        </w:tc>
        <w:tc>
          <w:tcPr>
            <w:tcW w:w="1653" w:type="dxa"/>
            <w:tcBorders>
              <w:top w:val="single" w:color="auto" w:sz="4" w:space="0"/>
              <w:left w:val="dashSmallGap" w:color="auto" w:sz="4" w:space="0"/>
              <w:bottom w:val="dashSmallGap" w:color="auto" w:sz="4" w:space="0"/>
              <w:right w:val="single"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 / 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68" w:type="dxa"/>
            <w:tcBorders>
              <w:top w:val="single" w:color="auto" w:sz="4" w:space="0"/>
              <w:left w:val="single" w:color="auto" w:sz="4" w:space="0"/>
              <w:bottom w:val="single" w:color="auto" w:sz="4" w:space="0"/>
              <w:right w:val="single" w:color="auto" w:sz="4" w:space="0"/>
            </w:tcBorders>
            <w:vAlign w:val="center"/>
          </w:tcPr>
          <w:p>
            <w:pPr>
              <w:spacing w:beforeLines="15" w:afterLines="15"/>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很可能</w:t>
            </w:r>
          </w:p>
        </w:tc>
        <w:tc>
          <w:tcPr>
            <w:tcW w:w="1565" w:type="dxa"/>
            <w:tcBorders>
              <w:top w:val="dashSmallGap" w:color="auto" w:sz="4" w:space="0"/>
              <w:left w:val="single"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456" w:type="dxa"/>
            <w:tcBorders>
              <w:top w:val="dashSmallGap" w:color="auto" w:sz="4" w:space="0"/>
              <w:left w:val="dashSmallGap"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76" w:type="dxa"/>
            <w:tcBorders>
              <w:top w:val="dashSmallGap" w:color="auto" w:sz="4" w:space="0"/>
              <w:left w:val="dashSmallGap"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 / ACC</w:t>
            </w:r>
          </w:p>
        </w:tc>
        <w:tc>
          <w:tcPr>
            <w:tcW w:w="1653" w:type="dxa"/>
            <w:tcBorders>
              <w:top w:val="dashSmallGap" w:color="auto" w:sz="4" w:space="0"/>
              <w:left w:val="dashSmallGap" w:color="auto" w:sz="4" w:space="0"/>
              <w:bottom w:val="dashSmallGap" w:color="auto" w:sz="4" w:space="0"/>
              <w:right w:val="single"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 / 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68" w:type="dxa"/>
            <w:tcBorders>
              <w:top w:val="single" w:color="auto" w:sz="4" w:space="0"/>
              <w:left w:val="single" w:color="auto" w:sz="4" w:space="0"/>
              <w:bottom w:val="single" w:color="auto" w:sz="4" w:space="0"/>
              <w:right w:val="single" w:color="auto" w:sz="4" w:space="0"/>
            </w:tcBorders>
            <w:vAlign w:val="center"/>
          </w:tcPr>
          <w:p>
            <w:pPr>
              <w:spacing w:beforeLines="15" w:afterLines="15"/>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偶然</w:t>
            </w:r>
          </w:p>
        </w:tc>
        <w:tc>
          <w:tcPr>
            <w:tcW w:w="1565" w:type="dxa"/>
            <w:tcBorders>
              <w:top w:val="dashSmallGap" w:color="auto" w:sz="4" w:space="0"/>
              <w:left w:val="single"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456" w:type="dxa"/>
            <w:tcBorders>
              <w:top w:val="dashSmallGap" w:color="auto" w:sz="4" w:space="0"/>
              <w:left w:val="dashSmallGap"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76" w:type="dxa"/>
            <w:tcBorders>
              <w:top w:val="dashSmallGap" w:color="auto" w:sz="4" w:space="0"/>
              <w:left w:val="dashSmallGap"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53" w:type="dxa"/>
            <w:tcBorders>
              <w:top w:val="dashSmallGap" w:color="auto" w:sz="4" w:space="0"/>
              <w:left w:val="dashSmallGap" w:color="auto" w:sz="4" w:space="0"/>
              <w:bottom w:val="dashSmallGap" w:color="auto" w:sz="4" w:space="0"/>
              <w:right w:val="single"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 / 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68" w:type="dxa"/>
            <w:tcBorders>
              <w:top w:val="single" w:color="auto" w:sz="4" w:space="0"/>
              <w:left w:val="single" w:color="auto" w:sz="4" w:space="0"/>
              <w:bottom w:val="single" w:color="auto" w:sz="4" w:space="0"/>
              <w:right w:val="single" w:color="auto" w:sz="4" w:space="0"/>
            </w:tcBorders>
            <w:vAlign w:val="center"/>
          </w:tcPr>
          <w:p>
            <w:pPr>
              <w:spacing w:beforeLines="15" w:afterLines="15"/>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很少</w:t>
            </w:r>
          </w:p>
        </w:tc>
        <w:tc>
          <w:tcPr>
            <w:tcW w:w="1565" w:type="dxa"/>
            <w:tcBorders>
              <w:top w:val="dashSmallGap" w:color="auto" w:sz="4" w:space="0"/>
              <w:left w:val="single"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ACC</w:t>
            </w:r>
          </w:p>
        </w:tc>
        <w:tc>
          <w:tcPr>
            <w:tcW w:w="1456" w:type="dxa"/>
            <w:tcBorders>
              <w:top w:val="dashSmallGap" w:color="auto" w:sz="4" w:space="0"/>
              <w:left w:val="dashSmallGap"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76" w:type="dxa"/>
            <w:tcBorders>
              <w:top w:val="dashSmallGap" w:color="auto" w:sz="4" w:space="0"/>
              <w:left w:val="dashSmallGap"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53" w:type="dxa"/>
            <w:tcBorders>
              <w:top w:val="dashSmallGap" w:color="auto" w:sz="4" w:space="0"/>
              <w:left w:val="dashSmallGap" w:color="auto" w:sz="4" w:space="0"/>
              <w:bottom w:val="dashSmallGap" w:color="auto" w:sz="4" w:space="0"/>
              <w:right w:val="single"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68" w:type="dxa"/>
            <w:tcBorders>
              <w:top w:val="single" w:color="auto" w:sz="4" w:space="0"/>
              <w:left w:val="single" w:color="auto" w:sz="4" w:space="0"/>
              <w:bottom w:val="single" w:color="auto" w:sz="4" w:space="0"/>
              <w:right w:val="single" w:color="auto" w:sz="4" w:space="0"/>
            </w:tcBorders>
            <w:vAlign w:val="center"/>
          </w:tcPr>
          <w:p>
            <w:pPr>
              <w:spacing w:beforeLines="15" w:afterLines="15"/>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未必可能</w:t>
            </w:r>
          </w:p>
        </w:tc>
        <w:tc>
          <w:tcPr>
            <w:tcW w:w="1565" w:type="dxa"/>
            <w:tcBorders>
              <w:top w:val="dashSmallGap" w:color="auto" w:sz="4" w:space="0"/>
              <w:left w:val="single"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ACC</w:t>
            </w:r>
          </w:p>
        </w:tc>
        <w:tc>
          <w:tcPr>
            <w:tcW w:w="1456" w:type="dxa"/>
            <w:tcBorders>
              <w:top w:val="dashSmallGap" w:color="auto" w:sz="4" w:space="0"/>
              <w:left w:val="dashSmallGap"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ACC</w:t>
            </w:r>
          </w:p>
        </w:tc>
        <w:tc>
          <w:tcPr>
            <w:tcW w:w="1276" w:type="dxa"/>
            <w:tcBorders>
              <w:top w:val="dashSmallGap" w:color="auto" w:sz="4" w:space="0"/>
              <w:left w:val="dashSmallGap" w:color="auto" w:sz="4" w:space="0"/>
              <w:bottom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53" w:type="dxa"/>
            <w:tcBorders>
              <w:top w:val="dashSmallGap" w:color="auto" w:sz="4" w:space="0"/>
              <w:left w:val="dashSmallGap" w:color="auto" w:sz="4" w:space="0"/>
              <w:bottom w:val="dashSmallGap" w:color="auto" w:sz="4" w:space="0"/>
              <w:right w:val="single"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68" w:type="dxa"/>
            <w:tcBorders>
              <w:top w:val="single" w:color="auto" w:sz="4" w:space="0"/>
              <w:left w:val="single" w:color="auto" w:sz="4" w:space="0"/>
              <w:right w:val="single" w:color="auto" w:sz="4" w:space="0"/>
            </w:tcBorders>
            <w:vAlign w:val="center"/>
          </w:tcPr>
          <w:p>
            <w:pPr>
              <w:spacing w:beforeLines="15" w:afterLines="15"/>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难以置信</w:t>
            </w:r>
          </w:p>
        </w:tc>
        <w:tc>
          <w:tcPr>
            <w:tcW w:w="1565" w:type="dxa"/>
            <w:tcBorders>
              <w:top w:val="dashSmallGap" w:color="auto" w:sz="4" w:space="0"/>
              <w:left w:val="single"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ACC</w:t>
            </w:r>
          </w:p>
        </w:tc>
        <w:tc>
          <w:tcPr>
            <w:tcW w:w="1456" w:type="dxa"/>
            <w:tcBorders>
              <w:top w:val="dashSmallGap" w:color="auto" w:sz="4" w:space="0"/>
              <w:left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ACC</w:t>
            </w:r>
          </w:p>
        </w:tc>
        <w:tc>
          <w:tcPr>
            <w:tcW w:w="1276" w:type="dxa"/>
            <w:tcBorders>
              <w:top w:val="dashSmallGap" w:color="auto" w:sz="4" w:space="0"/>
              <w:left w:val="dashSmallGap" w:color="auto" w:sz="4" w:space="0"/>
              <w:right w:val="dashSmallGap"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ACC</w:t>
            </w:r>
          </w:p>
        </w:tc>
        <w:tc>
          <w:tcPr>
            <w:tcW w:w="1653" w:type="dxa"/>
            <w:tcBorders>
              <w:top w:val="dashSmallGap" w:color="auto" w:sz="4" w:space="0"/>
              <w:left w:val="dashSmallGap" w:color="auto" w:sz="4" w:space="0"/>
              <w:right w:val="single" w:color="auto" w:sz="4" w:space="0"/>
            </w:tcBorders>
            <w:vAlign w:val="center"/>
          </w:tcPr>
          <w:p>
            <w:pPr>
              <w:spacing w:beforeLines="15" w:afterLines="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ACC</w:t>
            </w:r>
          </w:p>
        </w:tc>
      </w:tr>
    </w:tbl>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说明：N/ACC: 不经过风险/受益分析即判定为不可接受风险。</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 (ALARP)：合理可降低的风险。</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ACC: 广泛可接受风险。</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经过风险分析和风险评价过程判断出的产品所有的风险均应采取合理可行的措施降至可接受区。当所有风险控制措施已经实施并验证后，应根据本准则判断由产品造成的剩余风险的可接受性。当剩余风险被判断为不可接受时，应收集和评审有关预期用途、预期目的的医疗受益的资料和文献，对剩余风险进行风险/受益分析。如果受益大于风险，则该风险还是可接受的，如果风险大于受益则设计应放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损害概率不能加以估计的危害处境，应编写一个危害的可能后果清单以用于风险评价和风险控制，采取合理可行降低法将风险降低到合理可行的最低水平，对于无法降低的风险进行风险/受益分析，如果受益大于风险，则该危害可接受，如果风险大于受益，则风险不可接受。受益必须大于风险，才能判定为可接受。</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在可接受区，风险是很低的，但是还应主动采取可行的措施将风险降至最低。</w:t>
      </w:r>
    </w:p>
    <w:p>
      <w:pPr>
        <w:pStyle w:val="2"/>
        <w:bidi w:val="0"/>
        <w:ind w:left="432" w:leftChars="0" w:hanging="432" w:firstLineChars="0"/>
        <w:rPr>
          <w:rFonts w:hint="eastAsia"/>
        </w:rPr>
      </w:pPr>
      <w:bookmarkStart w:id="21" w:name="_Toc23547"/>
      <w:r>
        <w:rPr>
          <w:rFonts w:hint="eastAsia"/>
        </w:rPr>
        <w:t>风险控制</w:t>
      </w:r>
      <w:bookmarkEnd w:id="21"/>
    </w:p>
    <w:p>
      <w:pPr>
        <w:rPr>
          <w:rFonts w:hint="eastAsia"/>
        </w:rPr>
      </w:pPr>
      <w:r>
        <w:rPr>
          <w:rFonts w:hint="eastAsia" w:hAnsi="宋体" w:cs="Arial"/>
          <w:bCs/>
          <w:color w:val="00B0F0"/>
          <w:lang w:eastAsia="zh-CN"/>
        </w:rPr>
        <w:t>【以下内容仅为示例，可以根据实际情况对以下内容进行调整、修改和删减】</w:t>
      </w:r>
    </w:p>
    <w:p>
      <w:pPr>
        <w:rPr>
          <w:rFonts w:hint="eastAsia"/>
        </w:rPr>
      </w:pP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对于经判断为不可接受的风险，应在设计开发阶段从以下几个方面进行风险控制方案分析，识别一个或多个风险控制措施，以把风险降低到可接受水平。</w:t>
      </w:r>
    </w:p>
    <w:p>
      <w:pPr>
        <w:pStyle w:val="28"/>
        <w:spacing w:line="360" w:lineRule="auto"/>
        <w:ind w:left="45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1）用设计方法取得固有安全性</w:t>
      </w:r>
    </w:p>
    <w:p>
      <w:pPr>
        <w:pStyle w:val="28"/>
        <w:spacing w:line="360" w:lineRule="auto"/>
        <w:ind w:left="45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--消除特定的危害；</w:t>
      </w:r>
    </w:p>
    <w:p>
      <w:pPr>
        <w:pStyle w:val="28"/>
        <w:spacing w:line="360" w:lineRule="auto"/>
        <w:ind w:left="45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--降低损害的发生概率；</w:t>
      </w:r>
    </w:p>
    <w:p>
      <w:pPr>
        <w:pStyle w:val="28"/>
        <w:spacing w:line="360" w:lineRule="auto"/>
        <w:ind w:left="45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--降低损害的严重度。</w:t>
      </w:r>
    </w:p>
    <w:p>
      <w:pPr>
        <w:pStyle w:val="28"/>
        <w:spacing w:line="360" w:lineRule="auto"/>
        <w:ind w:left="45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2）在产品本身或在制造过程中的防护措施。</w:t>
      </w:r>
    </w:p>
    <w:p>
      <w:pPr>
        <w:pStyle w:val="28"/>
        <w:spacing w:line="360" w:lineRule="auto"/>
        <w:ind w:left="45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3）安全信息</w:t>
      </w:r>
    </w:p>
    <w:p>
      <w:pPr>
        <w:pStyle w:val="28"/>
        <w:spacing w:line="360" w:lineRule="auto"/>
        <w:ind w:left="45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--在产品随附文件中给出警告、使用说明；</w:t>
      </w:r>
    </w:p>
    <w:p>
      <w:pPr>
        <w:pStyle w:val="28"/>
        <w:spacing w:line="360" w:lineRule="auto"/>
        <w:ind w:left="45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--限制医疗器械的使用或限制使用环境；</w:t>
      </w:r>
    </w:p>
    <w:p>
      <w:pPr>
        <w:pStyle w:val="28"/>
        <w:spacing w:line="360" w:lineRule="auto"/>
        <w:ind w:left="45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--对操作者进行培训。</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在产品试生产或生产阶段，对产品制造过程进行控制，如运用HACCP技术。（危害分析和关键控制点）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如果经方案分析确定所需的风险降低是不可行的，则各部门应收集相关资料对剩余风险进行风险/受益分析，若经评审所收集的资料和文献不支持受益大于风险，则设计应放弃。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各部门应确保经判定的危害处境产生的一个或多个风险得到了考虑，保证风险控制的完整性。</w:t>
      </w:r>
    </w:p>
    <w:p>
      <w:pPr>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在风险控制方案实施中或实施后，应对实施效果进行验证，以确定控制措施的适应性和有效性，对任何剩余风险都应采取本计划中第4条的风险可接受准则进行评价，对判断为不可接受的应采取进一步的风险控制措施，如果控制措施不可行，则应收集和评审相关的资料和文献对剩余风险进行风险/受益分析，若受益大于风险，则剩余风险依然是可接收到，如果风险大于受益，则为不可接受。对于判断为可接受的剩余风险，、销售部应配合技术部决定那些剩余风险应予以公开，依据ISO14971附件J的指南公开哪些剩余风险。同时对控制措施的实施是否会引起的一个或多个新的风险或对采取措施之前评价的风险是否有影响进行分析，必要时进行再次风险分析、风险评价和风险控制，所采取活动的结果应进行记录并保持，此过程预期30个月</w:t>
      </w:r>
      <w:r>
        <w:rPr>
          <w:rFonts w:hint="eastAsia" w:asciiTheme="minorEastAsia" w:hAnsiTheme="minorEastAsia" w:eastAsiaTheme="minorEastAsia" w:cstheme="minorEastAsia"/>
          <w:sz w:val="24"/>
          <w:szCs w:val="24"/>
          <w:lang w:val="en-US"/>
        </w:rPr>
        <w:t>.</w:t>
      </w:r>
    </w:p>
    <w:p>
      <w:pPr>
        <w:pStyle w:val="2"/>
        <w:bidi w:val="0"/>
        <w:ind w:left="432" w:leftChars="0" w:hanging="432" w:firstLineChars="0"/>
        <w:rPr>
          <w:rFonts w:hint="eastAsia"/>
        </w:rPr>
      </w:pPr>
      <w:bookmarkStart w:id="22" w:name="_Toc7580"/>
      <w:r>
        <w:rPr>
          <w:rFonts w:hint="eastAsia"/>
        </w:rPr>
        <w:t>验证</w:t>
      </w:r>
      <w:r>
        <w:rPr>
          <w:rFonts w:hint="eastAsia"/>
          <w:lang w:eastAsia="zh-CN"/>
        </w:rPr>
        <w:t>活动及计划</w:t>
      </w:r>
      <w:bookmarkEnd w:id="22"/>
    </w:p>
    <w:p>
      <w:pPr>
        <w:rPr>
          <w:rFonts w:hint="eastAsia"/>
        </w:rPr>
      </w:pPr>
      <w:r>
        <w:rPr>
          <w:rFonts w:hint="eastAsia" w:hAnsi="宋体" w:cs="Arial"/>
          <w:bCs/>
          <w:color w:val="00B0F0"/>
          <w:lang w:eastAsia="zh-CN"/>
        </w:rPr>
        <w:t>【以下内容仅为示例，可以根据实际情况对以下内容进行调整、修改和删减】</w:t>
      </w:r>
    </w:p>
    <w:p>
      <w:pPr>
        <w:rPr>
          <w:rFonts w:hint="eastAsia"/>
        </w:rPr>
      </w:pPr>
    </w:p>
    <w:p>
      <w:pPr>
        <w:pStyle w:val="3"/>
        <w:bidi w:val="0"/>
        <w:ind w:left="575" w:leftChars="0" w:hanging="575" w:firstLineChars="0"/>
        <w:rPr>
          <w:rFonts w:hint="eastAsia"/>
        </w:rPr>
      </w:pPr>
      <w:r>
        <w:rPr>
          <w:rFonts w:hint="eastAsia"/>
          <w:lang w:eastAsia="zh-CN"/>
        </w:rPr>
        <w:t>总则</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应确保经判定的危害处境产生的一个或多个风险得到了考虑，并保证所有已评价的风险已通过合理可行的措施降低至可接受水平，保证风险控制的完整性。</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风险管理评审小组负责对风险管理计划的实施情况进行验证，以查看风险管理文档的方式查看风险分析、风险评价、风险控制等记录，确保风险管理计划中策划的风险管理活动已得到适当的实施。</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风险控制方案实施中或实施后，应对实施效果进行验证，可通过收集临床资料及生产和生产后信息对风险管理实施效果进行验证以确保风险管理活动的有效性。同时对控制措施的实施是否会引起的一个或多个新的风险或对采取措施之前评价的风险是否有影响进行分析，必要时进行再次风险分析、风险评价和风险控制。</w:t>
      </w:r>
    </w:p>
    <w:p>
      <w:pPr>
        <w:ind w:firstLine="480" w:firstLineChars="200"/>
        <w:rPr>
          <w:rFonts w:hint="eastAsia" w:asciiTheme="minorEastAsia" w:hAnsiTheme="minorEastAsia" w:eastAsiaTheme="minorEastAsia" w:cstheme="minorEastAsia"/>
          <w:sz w:val="24"/>
          <w:szCs w:val="24"/>
        </w:rPr>
      </w:pPr>
    </w:p>
    <w:p>
      <w:pPr>
        <w:pStyle w:val="3"/>
        <w:bidi w:val="0"/>
        <w:ind w:left="575" w:leftChars="0" w:hanging="575" w:firstLineChars="0"/>
        <w:rPr>
          <w:rFonts w:hint="eastAsia"/>
        </w:rPr>
      </w:pPr>
      <w:r>
        <w:rPr>
          <w:rFonts w:hint="eastAsia"/>
          <w:lang w:eastAsia="zh-CN"/>
        </w:rPr>
        <w:t>验证计划</w:t>
      </w:r>
    </w:p>
    <w:p>
      <w:pPr>
        <w:ind w:firstLine="480" w:firstLineChars="200"/>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cstheme="minorEastAsia"/>
          <w:color w:val="FF0000"/>
          <w:sz w:val="24"/>
          <w:szCs w:val="24"/>
          <w:lang w:val="en-US" w:eastAsia="zh-CN"/>
        </w:rPr>
        <w:t>{填写具体的验证计划}</w:t>
      </w:r>
    </w:p>
    <w:p>
      <w:pPr>
        <w:ind w:firstLine="480" w:firstLineChars="200"/>
        <w:rPr>
          <w:rFonts w:hint="eastAsia" w:asciiTheme="minorEastAsia" w:hAnsiTheme="minorEastAsia" w:eastAsiaTheme="minorEastAsia" w:cstheme="minorEastAsia"/>
          <w:sz w:val="24"/>
          <w:szCs w:val="24"/>
        </w:rPr>
      </w:pPr>
    </w:p>
    <w:p>
      <w:pPr>
        <w:pStyle w:val="2"/>
        <w:bidi w:val="0"/>
        <w:ind w:left="432" w:leftChars="0" w:hanging="432" w:firstLineChars="0"/>
        <w:rPr>
          <w:rFonts w:hint="eastAsia"/>
        </w:rPr>
      </w:pPr>
      <w:bookmarkStart w:id="23" w:name="_Toc8858"/>
      <w:r>
        <w:rPr>
          <w:rFonts w:hint="eastAsia"/>
        </w:rPr>
        <w:t>综合剩余风险分析</w:t>
      </w:r>
      <w:bookmarkEnd w:id="23"/>
    </w:p>
    <w:p>
      <w:pPr>
        <w:rPr>
          <w:rFonts w:hint="eastAsia"/>
        </w:rPr>
      </w:pPr>
      <w:r>
        <w:rPr>
          <w:rFonts w:hint="eastAsia" w:hAnsi="宋体" w:cs="Arial"/>
          <w:bCs/>
          <w:color w:val="00B0F0"/>
          <w:lang w:eastAsia="zh-CN"/>
        </w:rPr>
        <w:t>【以下内容仅为示例，可以根据实际情况对以下内容进行调整、修改和删减】</w:t>
      </w:r>
    </w:p>
    <w:p>
      <w:pPr>
        <w:pStyle w:val="3"/>
        <w:bidi w:val="0"/>
        <w:ind w:left="575" w:leftChars="0" w:hanging="575" w:firstLineChars="0"/>
        <w:rPr>
          <w:rFonts w:hint="eastAsia"/>
        </w:rPr>
      </w:pPr>
      <w:r>
        <w:rPr>
          <w:rFonts w:hint="eastAsia"/>
          <w:lang w:eastAsia="zh-CN"/>
        </w:rPr>
        <w:t>总则</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所有风险控制措施已经实施并验证后，各部门应考虑是否所有由该产品造成的综合剩余风险依据本计划中第4条的准则判断是可接受的，如果判断为不可接受，则各部门应收集和评审有关资料和文献，以便决定预期用途的医疗受益是否超过综合剩余风险，如果上述证据支持医疗受益超过综合剩余风险的结论，则综合剩余风险是可接受的，否则综合剩余风险任然是不可接受的。</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各部门可以参考一下的一些方法评价综合剩余风险</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1）事件树分析法：对单个风险进行共同研究，以便确定综合剩余风险是否可以接受；</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2）故障树分析：同一种损害可能是由不同概率的危害处境造成的，该方法可以导出损害的结合概率；</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3）对单个风险控制措施进行综合评审：对单个风险是适宜的风险控制措施可能产生相互矛盾的要求；</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4）警告的评审：单个警告可能提供风险降低，但过多的警告可能降低警告的效果；</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5）评审操作说明书：对产品全部操作说明书的评审可能检出信息是不一致的，或者难以遵守的；</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6）比较风险：将整理过的单个剩余风险和类似现有的产品考虑不同使用情形下的风险进行逐个比较，尤其是最新的不良事件。</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各部门应决定哪些综合剩余风险应依据ISO14971附录J予以公布，应保持综合剩余风险的评价结果记录，此过程预期3个月。</w:t>
      </w:r>
    </w:p>
    <w:p>
      <w:pPr>
        <w:ind w:firstLine="480" w:firstLineChars="200"/>
        <w:rPr>
          <w:rFonts w:hint="eastAsia" w:asciiTheme="minorEastAsia" w:hAnsiTheme="minorEastAsia" w:eastAsiaTheme="minorEastAsia" w:cstheme="minorEastAsia"/>
          <w:sz w:val="24"/>
          <w:szCs w:val="24"/>
        </w:rPr>
      </w:pPr>
    </w:p>
    <w:p>
      <w:pPr>
        <w:pStyle w:val="3"/>
        <w:bidi w:val="0"/>
        <w:ind w:left="575" w:leftChars="0" w:hanging="575" w:firstLineChars="0"/>
        <w:rPr>
          <w:rFonts w:hint="eastAsia"/>
        </w:rPr>
      </w:pPr>
      <w:r>
        <w:rPr>
          <w:rFonts w:hint="eastAsia"/>
        </w:rPr>
        <w:t>综合剩余风险分析</w:t>
      </w:r>
      <w:r>
        <w:rPr>
          <w:rFonts w:hint="eastAsia"/>
          <w:lang w:eastAsia="zh-CN"/>
        </w:rPr>
        <w:t>计划</w:t>
      </w:r>
    </w:p>
    <w:p>
      <w:pPr>
        <w:ind w:firstLine="480" w:firstLineChars="200"/>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cstheme="minorEastAsia"/>
          <w:color w:val="FF0000"/>
          <w:sz w:val="24"/>
          <w:szCs w:val="24"/>
          <w:lang w:val="en-US" w:eastAsia="zh-CN"/>
        </w:rPr>
        <w:t>{填写具体的综合剩余风险分析计划}</w:t>
      </w:r>
    </w:p>
    <w:p>
      <w:pPr>
        <w:ind w:firstLine="480" w:firstLineChars="200"/>
        <w:rPr>
          <w:rFonts w:hint="eastAsia" w:asciiTheme="minorEastAsia" w:hAnsiTheme="minorEastAsia" w:eastAsiaTheme="minorEastAsia" w:cstheme="minorEastAsia"/>
          <w:sz w:val="24"/>
          <w:szCs w:val="24"/>
        </w:rPr>
      </w:pPr>
    </w:p>
    <w:p>
      <w:pPr>
        <w:pStyle w:val="2"/>
        <w:bidi w:val="0"/>
        <w:ind w:left="432" w:leftChars="0" w:hanging="432" w:firstLineChars="0"/>
        <w:rPr>
          <w:rFonts w:hint="eastAsia"/>
        </w:rPr>
      </w:pPr>
      <w:bookmarkStart w:id="24" w:name="_Toc7152"/>
      <w:r>
        <w:rPr>
          <w:rFonts w:hint="eastAsia"/>
        </w:rPr>
        <w:t>生产和生产后信息</w:t>
      </w:r>
      <w:bookmarkEnd w:id="24"/>
    </w:p>
    <w:p>
      <w:pPr>
        <w:rPr>
          <w:rFonts w:hint="eastAsia"/>
        </w:rPr>
      </w:pPr>
      <w:r>
        <w:rPr>
          <w:rFonts w:hint="eastAsia" w:hAnsi="宋体" w:cs="Arial"/>
          <w:bCs/>
          <w:color w:val="00B0F0"/>
          <w:lang w:eastAsia="zh-CN"/>
        </w:rPr>
        <w:t>【以下内容仅为示例，可以根据实际情况对以下内容进行调整、修改和删减】</w:t>
      </w:r>
    </w:p>
    <w:p>
      <w:pPr>
        <w:pStyle w:val="3"/>
        <w:bidi w:val="0"/>
        <w:ind w:left="575" w:leftChars="0" w:hanging="575" w:firstLineChars="0"/>
        <w:rPr>
          <w:rFonts w:hint="eastAsia"/>
        </w:rPr>
      </w:pPr>
      <w:r>
        <w:rPr>
          <w:rFonts w:hint="eastAsia"/>
          <w:lang w:eastAsia="zh-CN"/>
        </w:rPr>
        <w:t>总则</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产品开发完成投入生产的过程中，要密切关注该产品的生产以及原材料的采购，各部门如果得到有关同类或类似产品中可能与安全有关的信息后，需要立即反馈研发部，研发部应对这些信息作出及时的评价，包括的评价有：</w:t>
      </w:r>
    </w:p>
    <w:p>
      <w:pPr>
        <w:pStyle w:val="28"/>
        <w:numPr>
          <w:ilvl w:val="0"/>
          <w:numId w:val="4"/>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是否有事先未认知的危害出现；</w:t>
      </w:r>
    </w:p>
    <w:p>
      <w:pPr>
        <w:pStyle w:val="28"/>
        <w:numPr>
          <w:ilvl w:val="0"/>
          <w:numId w:val="4"/>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是否有某项危害造成的已被估计的一个或多个风险不再是可以接受的；</w:t>
      </w:r>
    </w:p>
    <w:p>
      <w:pPr>
        <w:pStyle w:val="28"/>
        <w:numPr>
          <w:ilvl w:val="0"/>
          <w:numId w:val="4"/>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初始评定是否无效。</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上述条件之一满足，则应作为风险管理过程的输入，考虑对医疗器械风险管理过程的适当阶段进行评审。如果一个或多个剩余风险或其可接受性已有潜在的变化，应对已实施的风险控制措施的影响进行重新评价。如果有新的风险产生，应对已销售产品进行评估，和给出适当的处理措施。评价的结果记录在风险管理报告中。</w:t>
      </w:r>
    </w:p>
    <w:p>
      <w:pPr>
        <w:pStyle w:val="3"/>
        <w:bidi w:val="0"/>
        <w:ind w:left="575" w:leftChars="0" w:hanging="575" w:firstLineChars="0"/>
        <w:rPr>
          <w:rFonts w:hint="eastAsia"/>
        </w:rPr>
      </w:pPr>
      <w:r>
        <w:rPr>
          <w:rFonts w:hint="eastAsia"/>
          <w:lang w:eastAsia="zh-CN"/>
        </w:rPr>
        <w:t>关于如何评价</w:t>
      </w:r>
      <w:r>
        <w:rPr>
          <w:rFonts w:hint="eastAsia"/>
        </w:rPr>
        <w:t>生产和生产后信息</w:t>
      </w:r>
      <w:r>
        <w:rPr>
          <w:rFonts w:hint="eastAsia"/>
          <w:lang w:eastAsia="zh-CN"/>
        </w:rPr>
        <w:t>的计划</w:t>
      </w:r>
    </w:p>
    <w:p>
      <w:pPr>
        <w:ind w:firstLine="480" w:firstLineChars="200"/>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cstheme="minorEastAsia"/>
          <w:color w:val="FF0000"/>
          <w:sz w:val="24"/>
          <w:szCs w:val="24"/>
          <w:lang w:val="en-US" w:eastAsia="zh-CN"/>
        </w:rPr>
        <w:t>{填写具体的</w:t>
      </w:r>
      <w:r>
        <w:rPr>
          <w:rFonts w:hint="eastAsia"/>
          <w:color w:val="FF0000"/>
          <w:lang w:eastAsia="zh-CN"/>
        </w:rPr>
        <w:t>关于如何评价</w:t>
      </w:r>
      <w:r>
        <w:rPr>
          <w:rFonts w:hint="eastAsia"/>
          <w:color w:val="FF0000"/>
        </w:rPr>
        <w:t>生产和生产后信息</w:t>
      </w:r>
      <w:r>
        <w:rPr>
          <w:rFonts w:hint="eastAsia"/>
          <w:color w:val="FF0000"/>
          <w:lang w:eastAsia="zh-CN"/>
        </w:rPr>
        <w:t>的计划</w:t>
      </w:r>
      <w:r>
        <w:rPr>
          <w:rFonts w:hint="eastAsia" w:asciiTheme="minorEastAsia" w:hAnsiTheme="minorEastAsia" w:cstheme="minorEastAsia"/>
          <w:color w:val="FF0000"/>
          <w:sz w:val="24"/>
          <w:szCs w:val="24"/>
          <w:lang w:val="en-US" w:eastAsia="zh-CN"/>
        </w:rPr>
        <w:t>}</w:t>
      </w:r>
    </w:p>
    <w:p>
      <w:pPr>
        <w:pStyle w:val="2"/>
        <w:bidi w:val="0"/>
        <w:ind w:left="432" w:leftChars="0" w:hanging="432" w:firstLineChars="0"/>
        <w:rPr>
          <w:rFonts w:hint="eastAsia"/>
        </w:rPr>
      </w:pPr>
      <w:bookmarkStart w:id="25" w:name="_Toc16131"/>
      <w:r>
        <w:rPr>
          <w:rFonts w:hint="eastAsia"/>
        </w:rPr>
        <w:t>风险管理报告</w:t>
      </w:r>
      <w:bookmarkEnd w:id="25"/>
    </w:p>
    <w:p>
      <w:pPr>
        <w:rPr>
          <w:rFonts w:hint="eastAsia"/>
        </w:rPr>
      </w:pPr>
      <w:r>
        <w:rPr>
          <w:rFonts w:hint="eastAsia" w:hAnsi="宋体" w:cs="Arial"/>
          <w:bCs/>
          <w:color w:val="00B0F0"/>
          <w:lang w:eastAsia="zh-CN"/>
        </w:rPr>
        <w:t>【以下内容仅为示例，可以根据实际情况对以下内容进行调整、修改和删减】</w:t>
      </w:r>
    </w:p>
    <w:p>
      <w:pPr>
        <w:rPr>
          <w:rFonts w:hint="eastAsia"/>
        </w:rPr>
      </w:pP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在产品上市销售前，各部门应配合研发部完成对风险管理过程的评审，评审要求见本计划，评审的结果最终以风险管理报告的方式给出。</w:t>
      </w:r>
    </w:p>
    <w:p>
      <w:pPr>
        <w:ind w:firstLine="480" w:firstLineChars="200"/>
        <w:rPr>
          <w:rFonts w:hint="eastAsia" w:asciiTheme="minorEastAsia" w:hAnsiTheme="minorEastAsia" w:eastAsiaTheme="minorEastAsia" w:cstheme="minorEastAsia"/>
          <w:sz w:val="24"/>
          <w:szCs w:val="24"/>
        </w:rPr>
      </w:pPr>
    </w:p>
    <w:p>
      <w:pPr>
        <w:pStyle w:val="2"/>
        <w:bidi w:val="0"/>
        <w:ind w:left="432" w:leftChars="0" w:hanging="432" w:firstLineChars="0"/>
        <w:rPr>
          <w:rFonts w:hint="eastAsia"/>
          <w:lang w:eastAsia="zh-CN"/>
        </w:rPr>
      </w:pPr>
      <w:bookmarkStart w:id="26" w:name="_Toc20594"/>
      <w:r>
        <w:rPr>
          <w:rFonts w:hint="eastAsia"/>
          <w:lang w:eastAsia="zh-CN"/>
        </w:rPr>
        <w:t>评审意见及记录</w:t>
      </w:r>
      <w:bookmarkEnd w:id="26"/>
    </w:p>
    <w:p>
      <w:pPr>
        <w:rPr>
          <w:rFonts w:hint="eastAsia"/>
          <w:color w:val="00B0F0"/>
          <w:lang w:val="en-US" w:eastAsia="zh-CN"/>
        </w:rPr>
      </w:pPr>
      <w:r>
        <w:rPr>
          <w:rFonts w:hint="eastAsia"/>
          <w:color w:val="00B0F0"/>
          <w:lang w:eastAsia="zh-CN"/>
        </w:rPr>
        <w:t>（示例：经</w:t>
      </w:r>
      <w:r>
        <w:rPr>
          <w:rFonts w:hint="eastAsia"/>
          <w:color w:val="FF0000"/>
          <w:lang w:val="en-US" w:eastAsia="zh-CN"/>
        </w:rPr>
        <w:t>{填写参与评审的人员姓名}</w:t>
      </w:r>
      <w:r>
        <w:rPr>
          <w:rFonts w:hint="eastAsia"/>
          <w:color w:val="00B0F0"/>
          <w:lang w:val="en-US" w:eastAsia="zh-CN"/>
        </w:rPr>
        <w:t>评审后，认为可以按照本计划的内容开展</w:t>
      </w:r>
      <w:r>
        <w:rPr>
          <w:rFonts w:hint="eastAsia"/>
          <w:color w:val="FF0000"/>
          <w:lang w:val="en-US" w:eastAsia="zh-CN"/>
        </w:rPr>
        <w:t>{填写产品名称}</w:t>
      </w:r>
      <w:r>
        <w:rPr>
          <w:rFonts w:hint="eastAsia"/>
          <w:color w:val="00B0F0"/>
          <w:lang w:val="en-US" w:eastAsia="zh-CN"/>
        </w:rPr>
        <w:t>的风险管理活动。）</w:t>
      </w:r>
    </w:p>
    <w:p>
      <w:pPr>
        <w:rPr>
          <w:rFonts w:hint="default"/>
          <w:color w:val="00B0F0"/>
          <w:lang w:val="en-US"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860"/>
        <w:gridCol w:w="2025"/>
        <w:gridCol w:w="1965"/>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序号</w:t>
            </w:r>
          </w:p>
        </w:tc>
        <w:tc>
          <w:tcPr>
            <w:tcW w:w="1860" w:type="dxa"/>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岗位</w:t>
            </w:r>
          </w:p>
        </w:tc>
        <w:tc>
          <w:tcPr>
            <w:tcW w:w="2025" w:type="dxa"/>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人员姓名</w:t>
            </w:r>
          </w:p>
        </w:tc>
        <w:tc>
          <w:tcPr>
            <w:tcW w:w="1965" w:type="dxa"/>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人员签名</w:t>
            </w:r>
          </w:p>
        </w:tc>
        <w:tc>
          <w:tcPr>
            <w:tcW w:w="1879" w:type="dxa"/>
          </w:tcPr>
          <w:p>
            <w:pPr>
              <w:jc w:val="center"/>
              <w:rPr>
                <w:rFonts w:hint="eastAsia" w:asciiTheme="minorEastAsia" w:hAnsi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评审日期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1860" w:type="dxa"/>
          </w:tcPr>
          <w:p>
            <w:pPr>
              <w:rPr>
                <w:rFonts w:hint="eastAsia" w:asciiTheme="minorEastAsia" w:hAnsiTheme="minorEastAsia" w:eastAsiaTheme="minorEastAsia" w:cstheme="minorEastAsia"/>
                <w:sz w:val="24"/>
                <w:szCs w:val="24"/>
                <w:vertAlign w:val="baseline"/>
              </w:rPr>
            </w:pPr>
          </w:p>
        </w:tc>
        <w:tc>
          <w:tcPr>
            <w:tcW w:w="2025" w:type="dxa"/>
          </w:tcPr>
          <w:p>
            <w:pPr>
              <w:rPr>
                <w:rFonts w:hint="eastAsia" w:asciiTheme="minorEastAsia" w:hAnsiTheme="minorEastAsia" w:eastAsiaTheme="minorEastAsia" w:cstheme="minorEastAsia"/>
                <w:sz w:val="24"/>
                <w:szCs w:val="24"/>
                <w:vertAlign w:val="baseline"/>
              </w:rPr>
            </w:pPr>
          </w:p>
        </w:tc>
        <w:tc>
          <w:tcPr>
            <w:tcW w:w="1965" w:type="dxa"/>
          </w:tcPr>
          <w:p>
            <w:pPr>
              <w:rPr>
                <w:rFonts w:hint="eastAsia" w:asciiTheme="minorEastAsia" w:hAnsiTheme="minorEastAsia" w:eastAsiaTheme="minorEastAsia" w:cstheme="minorEastAsia"/>
                <w:sz w:val="24"/>
                <w:szCs w:val="24"/>
                <w:vertAlign w:val="baseline"/>
              </w:rPr>
            </w:pPr>
          </w:p>
        </w:tc>
        <w:tc>
          <w:tcPr>
            <w:tcW w:w="1879" w:type="dxa"/>
          </w:tcPr>
          <w:p>
            <w:pP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1860" w:type="dxa"/>
          </w:tcPr>
          <w:p>
            <w:pPr>
              <w:rPr>
                <w:rFonts w:hint="eastAsia" w:asciiTheme="minorEastAsia" w:hAnsiTheme="minorEastAsia" w:eastAsiaTheme="minorEastAsia" w:cstheme="minorEastAsia"/>
                <w:sz w:val="24"/>
                <w:szCs w:val="24"/>
                <w:vertAlign w:val="baseline"/>
              </w:rPr>
            </w:pPr>
          </w:p>
        </w:tc>
        <w:tc>
          <w:tcPr>
            <w:tcW w:w="2025" w:type="dxa"/>
          </w:tcPr>
          <w:p>
            <w:pPr>
              <w:rPr>
                <w:rFonts w:hint="eastAsia" w:asciiTheme="minorEastAsia" w:hAnsiTheme="minorEastAsia" w:eastAsiaTheme="minorEastAsia" w:cstheme="minorEastAsia"/>
                <w:sz w:val="24"/>
                <w:szCs w:val="24"/>
                <w:vertAlign w:val="baseline"/>
              </w:rPr>
            </w:pPr>
          </w:p>
        </w:tc>
        <w:tc>
          <w:tcPr>
            <w:tcW w:w="1965" w:type="dxa"/>
          </w:tcPr>
          <w:p>
            <w:pPr>
              <w:rPr>
                <w:rFonts w:hint="eastAsia" w:asciiTheme="minorEastAsia" w:hAnsiTheme="minorEastAsia" w:eastAsiaTheme="minorEastAsia" w:cstheme="minorEastAsia"/>
                <w:sz w:val="24"/>
                <w:szCs w:val="24"/>
                <w:vertAlign w:val="baseline"/>
              </w:rPr>
            </w:pPr>
          </w:p>
        </w:tc>
        <w:tc>
          <w:tcPr>
            <w:tcW w:w="1879" w:type="dxa"/>
          </w:tcPr>
          <w:p>
            <w:pP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1860" w:type="dxa"/>
          </w:tcPr>
          <w:p>
            <w:pPr>
              <w:rPr>
                <w:rFonts w:hint="eastAsia" w:asciiTheme="minorEastAsia" w:hAnsiTheme="minorEastAsia" w:eastAsiaTheme="minorEastAsia" w:cstheme="minorEastAsia"/>
                <w:sz w:val="24"/>
                <w:szCs w:val="24"/>
                <w:vertAlign w:val="baseline"/>
              </w:rPr>
            </w:pPr>
          </w:p>
        </w:tc>
        <w:tc>
          <w:tcPr>
            <w:tcW w:w="2025" w:type="dxa"/>
          </w:tcPr>
          <w:p>
            <w:pPr>
              <w:rPr>
                <w:rFonts w:hint="eastAsia" w:asciiTheme="minorEastAsia" w:hAnsiTheme="minorEastAsia" w:eastAsiaTheme="minorEastAsia" w:cstheme="minorEastAsia"/>
                <w:sz w:val="24"/>
                <w:szCs w:val="24"/>
                <w:vertAlign w:val="baseline"/>
              </w:rPr>
            </w:pPr>
          </w:p>
        </w:tc>
        <w:tc>
          <w:tcPr>
            <w:tcW w:w="1965" w:type="dxa"/>
          </w:tcPr>
          <w:p>
            <w:pPr>
              <w:rPr>
                <w:rFonts w:hint="eastAsia" w:asciiTheme="minorEastAsia" w:hAnsiTheme="minorEastAsia" w:eastAsiaTheme="minorEastAsia" w:cstheme="minorEastAsia"/>
                <w:sz w:val="24"/>
                <w:szCs w:val="24"/>
                <w:vertAlign w:val="baseline"/>
              </w:rPr>
            </w:pPr>
          </w:p>
        </w:tc>
        <w:tc>
          <w:tcPr>
            <w:tcW w:w="1879" w:type="dxa"/>
          </w:tcPr>
          <w:p>
            <w:pP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w:t>
            </w:r>
          </w:p>
        </w:tc>
        <w:tc>
          <w:tcPr>
            <w:tcW w:w="1860" w:type="dxa"/>
          </w:tcPr>
          <w:p>
            <w:pPr>
              <w:rPr>
                <w:rFonts w:hint="eastAsia" w:asciiTheme="minorEastAsia" w:hAnsiTheme="minorEastAsia" w:eastAsiaTheme="minorEastAsia" w:cstheme="minorEastAsia"/>
                <w:sz w:val="24"/>
                <w:szCs w:val="24"/>
                <w:vertAlign w:val="baseline"/>
              </w:rPr>
            </w:pPr>
          </w:p>
        </w:tc>
        <w:tc>
          <w:tcPr>
            <w:tcW w:w="2025" w:type="dxa"/>
          </w:tcPr>
          <w:p>
            <w:pPr>
              <w:rPr>
                <w:rFonts w:hint="eastAsia" w:asciiTheme="minorEastAsia" w:hAnsiTheme="minorEastAsia" w:eastAsiaTheme="minorEastAsia" w:cstheme="minorEastAsia"/>
                <w:sz w:val="24"/>
                <w:szCs w:val="24"/>
                <w:vertAlign w:val="baseline"/>
              </w:rPr>
            </w:pPr>
          </w:p>
        </w:tc>
        <w:tc>
          <w:tcPr>
            <w:tcW w:w="1965" w:type="dxa"/>
          </w:tcPr>
          <w:p>
            <w:pPr>
              <w:rPr>
                <w:rFonts w:hint="eastAsia" w:asciiTheme="minorEastAsia" w:hAnsiTheme="minorEastAsia" w:eastAsiaTheme="minorEastAsia" w:cstheme="minorEastAsia"/>
                <w:sz w:val="24"/>
                <w:szCs w:val="24"/>
                <w:vertAlign w:val="baseline"/>
              </w:rPr>
            </w:pPr>
          </w:p>
        </w:tc>
        <w:tc>
          <w:tcPr>
            <w:tcW w:w="1879" w:type="dxa"/>
          </w:tcPr>
          <w:p>
            <w:pP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w:t>
            </w:r>
          </w:p>
        </w:tc>
        <w:tc>
          <w:tcPr>
            <w:tcW w:w="1860" w:type="dxa"/>
          </w:tcPr>
          <w:p>
            <w:pPr>
              <w:rPr>
                <w:rFonts w:hint="eastAsia" w:asciiTheme="minorEastAsia" w:hAnsiTheme="minorEastAsia" w:eastAsiaTheme="minorEastAsia" w:cstheme="minorEastAsia"/>
                <w:sz w:val="24"/>
                <w:szCs w:val="24"/>
                <w:vertAlign w:val="baseline"/>
              </w:rPr>
            </w:pPr>
          </w:p>
        </w:tc>
        <w:tc>
          <w:tcPr>
            <w:tcW w:w="2025" w:type="dxa"/>
          </w:tcPr>
          <w:p>
            <w:pPr>
              <w:rPr>
                <w:rFonts w:hint="eastAsia" w:asciiTheme="minorEastAsia" w:hAnsiTheme="minorEastAsia" w:eastAsiaTheme="minorEastAsia" w:cstheme="minorEastAsia"/>
                <w:sz w:val="24"/>
                <w:szCs w:val="24"/>
                <w:vertAlign w:val="baseline"/>
              </w:rPr>
            </w:pPr>
          </w:p>
        </w:tc>
        <w:tc>
          <w:tcPr>
            <w:tcW w:w="1965" w:type="dxa"/>
          </w:tcPr>
          <w:p>
            <w:pPr>
              <w:rPr>
                <w:rFonts w:hint="eastAsia" w:asciiTheme="minorEastAsia" w:hAnsiTheme="minorEastAsia" w:eastAsiaTheme="minorEastAsia" w:cstheme="minorEastAsia"/>
                <w:sz w:val="24"/>
                <w:szCs w:val="24"/>
                <w:vertAlign w:val="baseline"/>
              </w:rPr>
            </w:pPr>
          </w:p>
        </w:tc>
        <w:tc>
          <w:tcPr>
            <w:tcW w:w="1879" w:type="dxa"/>
          </w:tcPr>
          <w:p>
            <w:pP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6</w:t>
            </w:r>
          </w:p>
        </w:tc>
        <w:tc>
          <w:tcPr>
            <w:tcW w:w="1860" w:type="dxa"/>
          </w:tcPr>
          <w:p>
            <w:pPr>
              <w:rPr>
                <w:rFonts w:hint="eastAsia" w:asciiTheme="minorEastAsia" w:hAnsiTheme="minorEastAsia" w:eastAsiaTheme="minorEastAsia" w:cstheme="minorEastAsia"/>
                <w:sz w:val="24"/>
                <w:szCs w:val="24"/>
                <w:vertAlign w:val="baseline"/>
              </w:rPr>
            </w:pPr>
          </w:p>
        </w:tc>
        <w:tc>
          <w:tcPr>
            <w:tcW w:w="2025" w:type="dxa"/>
          </w:tcPr>
          <w:p>
            <w:pPr>
              <w:rPr>
                <w:rFonts w:hint="eastAsia" w:asciiTheme="minorEastAsia" w:hAnsiTheme="minorEastAsia" w:eastAsiaTheme="minorEastAsia" w:cstheme="minorEastAsia"/>
                <w:sz w:val="24"/>
                <w:szCs w:val="24"/>
                <w:vertAlign w:val="baseline"/>
              </w:rPr>
            </w:pPr>
          </w:p>
        </w:tc>
        <w:tc>
          <w:tcPr>
            <w:tcW w:w="1965" w:type="dxa"/>
          </w:tcPr>
          <w:p>
            <w:pPr>
              <w:rPr>
                <w:rFonts w:hint="eastAsia" w:asciiTheme="minorEastAsia" w:hAnsiTheme="minorEastAsia" w:eastAsiaTheme="minorEastAsia" w:cstheme="minorEastAsia"/>
                <w:sz w:val="24"/>
                <w:szCs w:val="24"/>
                <w:vertAlign w:val="baseline"/>
              </w:rPr>
            </w:pPr>
          </w:p>
        </w:tc>
        <w:tc>
          <w:tcPr>
            <w:tcW w:w="1879" w:type="dxa"/>
          </w:tcPr>
          <w:p>
            <w:pP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7</w:t>
            </w:r>
          </w:p>
        </w:tc>
        <w:tc>
          <w:tcPr>
            <w:tcW w:w="1860" w:type="dxa"/>
          </w:tcPr>
          <w:p>
            <w:pPr>
              <w:rPr>
                <w:rFonts w:hint="eastAsia" w:asciiTheme="minorEastAsia" w:hAnsiTheme="minorEastAsia" w:eastAsiaTheme="minorEastAsia" w:cstheme="minorEastAsia"/>
                <w:sz w:val="24"/>
                <w:szCs w:val="24"/>
                <w:vertAlign w:val="baseline"/>
              </w:rPr>
            </w:pPr>
          </w:p>
        </w:tc>
        <w:tc>
          <w:tcPr>
            <w:tcW w:w="2025" w:type="dxa"/>
          </w:tcPr>
          <w:p>
            <w:pPr>
              <w:rPr>
                <w:rFonts w:hint="eastAsia" w:asciiTheme="minorEastAsia" w:hAnsiTheme="minorEastAsia" w:eastAsiaTheme="minorEastAsia" w:cstheme="minorEastAsia"/>
                <w:sz w:val="24"/>
                <w:szCs w:val="24"/>
                <w:vertAlign w:val="baseline"/>
              </w:rPr>
            </w:pPr>
          </w:p>
        </w:tc>
        <w:tc>
          <w:tcPr>
            <w:tcW w:w="1965" w:type="dxa"/>
          </w:tcPr>
          <w:p>
            <w:pPr>
              <w:rPr>
                <w:rFonts w:hint="eastAsia" w:asciiTheme="minorEastAsia" w:hAnsiTheme="minorEastAsia" w:eastAsiaTheme="minorEastAsia" w:cstheme="minorEastAsia"/>
                <w:sz w:val="24"/>
                <w:szCs w:val="24"/>
                <w:vertAlign w:val="baseline"/>
              </w:rPr>
            </w:pPr>
          </w:p>
        </w:tc>
        <w:tc>
          <w:tcPr>
            <w:tcW w:w="1879" w:type="dxa"/>
          </w:tcPr>
          <w:p>
            <w:pPr>
              <w:rPr>
                <w:rFonts w:hint="eastAsia" w:asciiTheme="minorEastAsia" w:hAnsiTheme="minorEastAsia" w:eastAsiaTheme="minorEastAsia" w:cstheme="minorEastAsia"/>
                <w:sz w:val="24"/>
                <w:szCs w:val="24"/>
                <w:vertAlign w:val="baseline"/>
              </w:rPr>
            </w:pPr>
          </w:p>
        </w:tc>
      </w:tr>
    </w:tbl>
    <w:p>
      <w:pPr>
        <w:ind w:firstLine="480" w:firstLineChars="200"/>
        <w:rPr>
          <w:rFonts w:hint="eastAsia" w:asciiTheme="minorEastAsia" w:hAnsiTheme="minorEastAsia" w:eastAsiaTheme="minorEastAsia" w:cstheme="minorEastAsia"/>
          <w:sz w:val="24"/>
          <w:szCs w:val="24"/>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395305"/>
      <w:docPartObj>
        <w:docPartGallery w:val="autotext"/>
      </w:docPartObj>
    </w:sdtPr>
    <w:sdtEndPr>
      <w:rPr>
        <w:b/>
      </w:rPr>
    </w:sdtEndPr>
    <w:sdtContent>
      <w:p>
        <w:pPr>
          <w:pStyle w:val="15"/>
          <w:jc w:val="center"/>
        </w:pPr>
        <w:r>
          <w:rPr>
            <w:sz w:val="18"/>
          </w:rPr>
          <w:pict>
            <v:shape id="_x0000_s4098" o:spid="_x0000_s4098" o:spt="202" type="#_x0000_t202" style="position:absolute;left:0pt;margin-left:173.75pt;margin-top:-0.65pt;height:144pt;width:144pt;mso-position-horizontal-relative:margin;mso-wrap-style:none;z-index:251662336;mso-width-relative:page;mso-height-relative:page;" filled="f" stroked="f" coordsize="21600,21600" o:gfxdata="UEsDBAoAAAAAAIdO4kAAAAAAAAAAAAAAAAAEAAAAZHJzL1BLAwQUAAAACACHTuJAWtrX4dcAAAAK&#10;AQAADwAAAGRycy9kb3ducmV2LnhtbE2Py07DMBBF90j8gzVI7FrnRVWFOJWoCEskmi5YuvE0SfEj&#10;st00/D3DCpYzc3Tn3Gq3GM1m9GF0VkC6ToCh7ZwabS/g2DarLbAQpVVSO4sCvjHArr6/q2Sp3M1+&#10;4HyIPaMQG0opYIhxKjkP3YBGhrWb0NLt7LyRkUbfc+XljcKN5lmSbLiRo6UPg5xwP2D3dbgaAfum&#10;bf2MwetPfGvyy/tLga+LEI8PafIMLOIS/2D41Sd1qMnp5K5WBaYF5EVeECpglVEFAjZ5SouTgGz7&#10;lAGvK/6/Qv0DUEsDBBQAAAAIAIdO4kAdYOn3OgIAAHEEAAAOAAAAZHJzL2Uyb0RvYy54bWytVM2O&#10;0zAQviPxDpbvNGnRrkrVdFW2KkKq2JUWxNl1nCaS/2S7TcoDwBtw4sKd5+pz8NlpumjhsAcu6dgz&#10;/ma+b2Y6v+mUJAfhfGN0QcejnBKhuSkbvSvop4/rV1NKfGC6ZNJoUdCj8PRm8fLFvLUzMTG1kaVw&#10;BCDaz1pb0DoEO8syz2uhmB8ZKzSclXGKBRzdLisda4GuZDbJ8+usNa60znDhPW5XvZOeEd1zAE1V&#10;NVysDN8roUOP6oRkAZR83VhPF6naqhI83FWVF4HIgoJpSF8kgb2N32wxZ7OdY7Zu+LkE9pwSnnBS&#10;rNFIeoFascDI3jV/QamGO+NNFUbcqKwnkhQBi3H+RJuHmlmRuEBqby+i+/8Hyz8c7h1pyoK+uaJE&#10;M4WOn75/O/34dfr5leAOArXWzxD3YBEZuremw9gM9x6XkXdXORV/wYjAD3mPF3lFFwiPj6aT6TSH&#10;i8M3HICfPT63zod3wigSjYI69C/Jyg4bH/rQISRm02bdSJl6KDVpC3r9+ipPDy4egEsdY0WahjNM&#10;pNSXHq3Qbbszz60pj6DpTD8p3vJ1g1I2zId75jAaKB/LE+7wqaRBSnO2KKmN+/Kv+xiPjsFLSYtR&#10;K6jGZlEi32t0EoBhMNxgbAdD79WtweyOsZSWJxMPXJCDWTmjPmOjljEHXExzZCpoGMzb0I87NpKL&#10;5TIF7a1rdnX/AHNoWdjoB8tjmiiVt8t9gLRJ8ShQrwo6FQ+YxNSz89bEUf/znKIe/yk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a2tfh1wAAAAoBAAAPAAAAAAAAAAEAIAAAACIAAABkcnMvZG93&#10;bnJldi54bWxQSwECFAAUAAAACACHTuJAHWDp9zoCAABxBAAADgAAAAAAAAABACAAAAAmAQAAZHJz&#10;L2Uyb0RvYy54bWxQSwUGAAAAAAYABgBZAQAA0gUAAAAA&#10;">
              <v:path/>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w:r>
        <w:r>
          <w:rPr>
            <w:rFonts w:hint="eastAsia" w:ascii="宋体" w:hAnsi="宋体" w:eastAsia="宋体" w:cs="宋体"/>
            <w:b/>
            <w:bCs/>
            <w:sz w:val="18"/>
            <w:szCs w:val="18"/>
            <w:lang w:val="en-US" w:eastAsia="zh-CN"/>
          </w:rPr>
          <w:t>专业带去价值，服务赢来美誉!                                   模板仅供参考，请以法规要求为准。</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395305"/>
      <w:docPartObj>
        <w:docPartGallery w:val="autotext"/>
      </w:docPartObj>
    </w:sdtPr>
    <w:sdtEndPr>
      <w:rPr>
        <w:b/>
      </w:rPr>
    </w:sdtEndPr>
    <w:sdtContent>
      <w:p>
        <w:pPr>
          <w:pStyle w:val="15"/>
          <w:jc w:val="center"/>
          <w:rPr>
            <w:b/>
          </w:rPr>
        </w:pPr>
        <w:r>
          <w:rPr>
            <w:sz w:val="18"/>
          </w:rPr>
          <w:pict>
            <v:shape id="文本框 95" o:spid="_x0000_s4097" o:spt="202" type="#_x0000_t202" style="position:absolute;left:0pt;margin-left:173.75pt;margin-top:-0.65pt;height:144pt;width:144pt;mso-position-horizontal-relative:margin;mso-wrap-style:none;z-index:251660288;mso-width-relative:page;mso-height-relative:page;" filled="f" stroked="f" coordsize="21600,21600" o:gfxdata="UEsDBAoAAAAAAIdO4kAAAAAAAAAAAAAAAAAEAAAAZHJzL1BLAwQUAAAACACHTuJAWtrX4dcAAAAK&#10;AQAADwAAAGRycy9kb3ducmV2LnhtbE2Py07DMBBF90j8gzVI7FrnRVWFOJWoCEskmi5YuvE0SfEj&#10;st00/D3DCpYzc3Tn3Gq3GM1m9GF0VkC6ToCh7ZwabS/g2DarLbAQpVVSO4sCvjHArr6/q2Sp3M1+&#10;4HyIPaMQG0opYIhxKjkP3YBGhrWb0NLt7LyRkUbfc+XljcKN5lmSbLiRo6UPg5xwP2D3dbgaAfum&#10;bf2MwetPfGvyy/tLga+LEI8PafIMLOIS/2D41Sd1qMnp5K5WBaYF5EVeECpglVEFAjZ5SouTgGz7&#10;lAGvK/6/Qv0DUEsDBBQAAAAIAIdO4kAdYOn3OgIAAHEEAAAOAAAAZHJzL2Uyb0RvYy54bWytVM2O&#10;0zAQviPxDpbvNGnRrkrVdFW2KkKq2JUWxNl1nCaS/2S7TcoDwBtw4sKd5+pz8NlpumjhsAcu6dgz&#10;/ma+b2Y6v+mUJAfhfGN0QcejnBKhuSkbvSvop4/rV1NKfGC6ZNJoUdCj8PRm8fLFvLUzMTG1kaVw&#10;BCDaz1pb0DoEO8syz2uhmB8ZKzSclXGKBRzdLisda4GuZDbJ8+usNa60znDhPW5XvZOeEd1zAE1V&#10;NVysDN8roUOP6oRkAZR83VhPF6naqhI83FWVF4HIgoJpSF8kgb2N32wxZ7OdY7Zu+LkE9pwSnnBS&#10;rNFIeoFascDI3jV/QamGO+NNFUbcqKwnkhQBi3H+RJuHmlmRuEBqby+i+/8Hyz8c7h1pyoK+uaJE&#10;M4WOn75/O/34dfr5leAOArXWzxD3YBEZuremw9gM9x6XkXdXORV/wYjAD3mPF3lFFwiPj6aT6TSH&#10;i8M3HICfPT63zod3wigSjYI69C/Jyg4bH/rQISRm02bdSJl6KDVpC3r9+ipPDy4egEsdY0WahjNM&#10;pNSXHq3Qbbszz60pj6DpTD8p3vJ1g1I2zId75jAaKB/LE+7wqaRBSnO2KKmN+/Kv+xiPjsFLSYtR&#10;K6jGZlEi32t0EoBhMNxgbAdD79WtweyOsZSWJxMPXJCDWTmjPmOjljEHXExzZCpoGMzb0I87NpKL&#10;5TIF7a1rdnX/AHNoWdjoB8tjmiiVt8t9gLRJ8ShQrwo6FQ+YxNSz89bEUf/znKIe/yk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a2tfh1wAAAAoBAAAPAAAAAAAAAAEAIAAAACIAAABkcnMvZG93&#10;bnJldi54bWxQSwECFAAUAAAACACHTuJAHWDp9zoCAABxBAAADgAAAAAAAAABACAAAAAmAQAAZHJz&#10;L2Uyb0RvYy54bWxQSwUGAAAAAAYABgBZAQAA0gUAAAAA&#10;">
              <v:path/>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w:r>
        <w:r>
          <w:rPr>
            <w:rFonts w:hint="eastAsia" w:ascii="宋体" w:hAnsi="宋体" w:eastAsia="宋体" w:cs="宋体"/>
            <w:b/>
            <w:bCs/>
            <w:sz w:val="18"/>
            <w:szCs w:val="18"/>
            <w:lang w:val="en-US" w:eastAsia="zh-CN"/>
          </w:rPr>
          <w:t>专业带去价值，服务赢来美誉!                                   模板仅供参考，请以法规要求为准。</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keepNext w:val="0"/>
      <w:keepLines w:val="0"/>
      <w:pageBreakBefore w:val="0"/>
      <w:widowControl w:val="0"/>
      <w:kinsoku/>
      <w:wordWrap/>
      <w:overflowPunct/>
      <w:topLinePunct w:val="0"/>
      <w:autoSpaceDE/>
      <w:autoSpaceDN/>
      <w:bidi w:val="0"/>
      <w:adjustRightInd/>
      <w:snapToGrid w:val="0"/>
      <w:jc w:val="center"/>
      <w:textAlignment w:val="bottom"/>
      <w:rPr>
        <w:rFonts w:hint="eastAsia" w:ascii="宋体" w:hAnsi="宋体" w:eastAsia="宋体" w:cs="宋体"/>
        <w:b/>
        <w:bCs/>
        <w:color w:val="C00000"/>
        <w:sz w:val="21"/>
        <w:szCs w:val="21"/>
      </w:rPr>
    </w:pPr>
    <w:r>
      <w:rPr>
        <w:rFonts w:hint="eastAsia" w:ascii="宋体" w:hAnsi="宋体" w:eastAsia="宋体" w:cs="宋体"/>
        <w:b/>
        <w:bCs/>
        <w:color w:val="auto"/>
        <w:sz w:val="21"/>
        <w:szCs w:val="21"/>
      </w:rPr>
      <w:drawing>
        <wp:anchor distT="0" distB="0" distL="114300" distR="114300" simplePos="0" relativeHeight="251661312" behindDoc="0" locked="0" layoutInCell="1" allowOverlap="1">
          <wp:simplePos x="0" y="0"/>
          <wp:positionH relativeFrom="column">
            <wp:posOffset>12065</wp:posOffset>
          </wp:positionH>
          <wp:positionV relativeFrom="paragraph">
            <wp:posOffset>-285750</wp:posOffset>
          </wp:positionV>
          <wp:extent cx="752475" cy="572770"/>
          <wp:effectExtent l="0" t="0" r="9525" b="17780"/>
          <wp:wrapSquare wrapText="bothSides"/>
          <wp:docPr id="2" name="图片 2"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模板图标3.png模板图标3"/>
                  <pic:cNvPicPr>
                    <a:picLocks noChangeAspect="1"/>
                  </pic:cNvPicPr>
                </pic:nvPicPr>
                <pic:blipFill>
                  <a:blip r:embed="rId1"/>
                  <a:stretch>
                    <a:fillRect/>
                  </a:stretch>
                </pic:blipFill>
                <pic:spPr>
                  <a:xfrm>
                    <a:off x="0" y="0"/>
                    <a:ext cx="752475" cy="572770"/>
                  </a:xfrm>
                  <a:prstGeom prst="rect">
                    <a:avLst/>
                  </a:prstGeom>
                  <a:noFill/>
                  <a:ln>
                    <a:noFill/>
                  </a:ln>
                </pic:spPr>
              </pic:pic>
            </a:graphicData>
          </a:graphic>
        </wp:anchor>
      </w:drawing>
    </w:r>
  </w:p>
  <w:p>
    <w:pPr>
      <w:pStyle w:val="16"/>
      <w:keepNext w:val="0"/>
      <w:keepLines w:val="0"/>
      <w:pageBreakBefore w:val="0"/>
      <w:widowControl w:val="0"/>
      <w:kinsoku/>
      <w:wordWrap/>
      <w:overflowPunct/>
      <w:topLinePunct w:val="0"/>
      <w:autoSpaceDE/>
      <w:autoSpaceDN/>
      <w:bidi w:val="0"/>
      <w:adjustRightInd/>
      <w:snapToGrid w:val="0"/>
      <w:jc w:val="center"/>
      <w:textAlignment w:val="bottom"/>
      <w:rPr>
        <w:rFonts w:hint="eastAsia" w:ascii="黑体" w:eastAsia="黑体"/>
        <w:sz w:val="20"/>
        <w:szCs w:val="20"/>
      </w:rPr>
    </w:pPr>
    <w:r>
      <w:rPr>
        <w:rFonts w:hint="eastAsia" w:ascii="宋体" w:hAnsi="宋体" w:cs="宋体"/>
        <w:b/>
        <w:bCs/>
        <w:color w:val="C00000"/>
        <w:sz w:val="21"/>
        <w:szCs w:val="21"/>
        <w:lang w:val="en-US" w:eastAsia="zh-CN"/>
      </w:rPr>
      <w:t xml:space="preserve">             </w:t>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en-US" w:eastAsia="zh-CN"/>
      </w:rPr>
      <w:t xml:space="preserve">       联系龙德获取更多知识!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keepNext w:val="0"/>
      <w:keepLines w:val="0"/>
      <w:pageBreakBefore w:val="0"/>
      <w:widowControl w:val="0"/>
      <w:kinsoku/>
      <w:wordWrap/>
      <w:overflowPunct/>
      <w:topLinePunct w:val="0"/>
      <w:autoSpaceDE/>
      <w:autoSpaceDN/>
      <w:bidi w:val="0"/>
      <w:adjustRightInd/>
      <w:snapToGrid w:val="0"/>
      <w:jc w:val="center"/>
      <w:textAlignment w:val="bottom"/>
      <w:rPr>
        <w:rFonts w:hint="eastAsia" w:ascii="宋体" w:hAnsi="宋体" w:eastAsia="宋体" w:cs="宋体"/>
        <w:b/>
        <w:bCs/>
        <w:color w:val="C00000"/>
        <w:sz w:val="21"/>
        <w:szCs w:val="21"/>
      </w:rPr>
    </w:pPr>
    <w:r>
      <w:rPr>
        <w:rFonts w:hint="eastAsia" w:ascii="宋体" w:hAnsi="宋体" w:eastAsia="宋体" w:cs="宋体"/>
        <w:b/>
        <w:bCs/>
        <w:color w:val="auto"/>
        <w:sz w:val="21"/>
        <w:szCs w:val="21"/>
      </w:rPr>
      <w:drawing>
        <wp:anchor distT="0" distB="0" distL="114300" distR="114300" simplePos="0" relativeHeight="251659264" behindDoc="0" locked="0" layoutInCell="1" allowOverlap="1">
          <wp:simplePos x="0" y="0"/>
          <wp:positionH relativeFrom="column">
            <wp:posOffset>12065</wp:posOffset>
          </wp:positionH>
          <wp:positionV relativeFrom="paragraph">
            <wp:posOffset>-285750</wp:posOffset>
          </wp:positionV>
          <wp:extent cx="752475" cy="572770"/>
          <wp:effectExtent l="0" t="0" r="9525" b="17780"/>
          <wp:wrapSquare wrapText="bothSides"/>
          <wp:docPr id="1" name="图片 1"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模板图标3.png模板图标3"/>
                  <pic:cNvPicPr>
                    <a:picLocks noChangeAspect="1"/>
                  </pic:cNvPicPr>
                </pic:nvPicPr>
                <pic:blipFill>
                  <a:blip r:embed="rId1"/>
                  <a:stretch>
                    <a:fillRect/>
                  </a:stretch>
                </pic:blipFill>
                <pic:spPr>
                  <a:xfrm>
                    <a:off x="0" y="0"/>
                    <a:ext cx="752475" cy="572770"/>
                  </a:xfrm>
                  <a:prstGeom prst="rect">
                    <a:avLst/>
                  </a:prstGeom>
                  <a:noFill/>
                  <a:ln>
                    <a:noFill/>
                  </a:ln>
                </pic:spPr>
              </pic:pic>
            </a:graphicData>
          </a:graphic>
        </wp:anchor>
      </w:drawing>
    </w:r>
  </w:p>
  <w:p>
    <w:pPr>
      <w:pStyle w:val="16"/>
      <w:keepNext w:val="0"/>
      <w:keepLines w:val="0"/>
      <w:pageBreakBefore w:val="0"/>
      <w:widowControl w:val="0"/>
      <w:kinsoku/>
      <w:wordWrap/>
      <w:overflowPunct/>
      <w:topLinePunct w:val="0"/>
      <w:autoSpaceDE/>
      <w:autoSpaceDN/>
      <w:bidi w:val="0"/>
      <w:adjustRightInd/>
      <w:snapToGrid w:val="0"/>
      <w:jc w:val="center"/>
      <w:textAlignment w:val="bottom"/>
      <w:rPr>
        <w:rFonts w:hint="eastAsia" w:ascii="黑体" w:eastAsia="黑体"/>
        <w:sz w:val="20"/>
        <w:szCs w:val="20"/>
      </w:rPr>
    </w:pPr>
    <w:r>
      <w:rPr>
        <w:rFonts w:hint="eastAsia" w:ascii="宋体" w:hAnsi="宋体" w:cs="宋体"/>
        <w:b/>
        <w:bCs/>
        <w:color w:val="C00000"/>
        <w:sz w:val="21"/>
        <w:szCs w:val="21"/>
        <w:lang w:val="en-US" w:eastAsia="zh-CN"/>
      </w:rPr>
      <w:t xml:space="preserve">             </w:t>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33D0F"/>
    <w:multiLevelType w:val="multilevel"/>
    <w:tmpl w:val="07933D0F"/>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228210A0"/>
    <w:multiLevelType w:val="multilevel"/>
    <w:tmpl w:val="228210A0"/>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6E697231"/>
    <w:multiLevelType w:val="multilevel"/>
    <w:tmpl w:val="6E697231"/>
    <w:lvl w:ilvl="0" w:tentative="0">
      <w:start w:val="1"/>
      <w:numFmt w:val="lowerLetter"/>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731F4FB1"/>
    <w:multiLevelType w:val="multilevel"/>
    <w:tmpl w:val="731F4FB1"/>
    <w:lvl w:ilvl="0" w:tentative="0">
      <w:start w:val="1"/>
      <w:numFmt w:val="decimal"/>
      <w:lvlText w:val="%1)"/>
      <w:lvlJc w:val="left"/>
      <w:pPr>
        <w:ind w:left="420" w:hanging="420"/>
      </w:pPr>
      <w:rPr>
        <w:rFonts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48D2"/>
    <w:rsid w:val="00001E8F"/>
    <w:rsid w:val="000D44C5"/>
    <w:rsid w:val="00242C82"/>
    <w:rsid w:val="002D42D7"/>
    <w:rsid w:val="00315F01"/>
    <w:rsid w:val="00361A78"/>
    <w:rsid w:val="00361D9B"/>
    <w:rsid w:val="0036213B"/>
    <w:rsid w:val="003B0E4D"/>
    <w:rsid w:val="003F1ED0"/>
    <w:rsid w:val="003F48D6"/>
    <w:rsid w:val="00497500"/>
    <w:rsid w:val="004E1861"/>
    <w:rsid w:val="0051326D"/>
    <w:rsid w:val="00542882"/>
    <w:rsid w:val="00551F6C"/>
    <w:rsid w:val="005E3FDB"/>
    <w:rsid w:val="00621D71"/>
    <w:rsid w:val="006600DA"/>
    <w:rsid w:val="00681F69"/>
    <w:rsid w:val="00695D07"/>
    <w:rsid w:val="006F52E7"/>
    <w:rsid w:val="007161D5"/>
    <w:rsid w:val="007507CC"/>
    <w:rsid w:val="007542A6"/>
    <w:rsid w:val="007C750D"/>
    <w:rsid w:val="008265B5"/>
    <w:rsid w:val="00850B20"/>
    <w:rsid w:val="008F5F40"/>
    <w:rsid w:val="00905002"/>
    <w:rsid w:val="00912062"/>
    <w:rsid w:val="00933AFC"/>
    <w:rsid w:val="00983902"/>
    <w:rsid w:val="00996D9B"/>
    <w:rsid w:val="00A96323"/>
    <w:rsid w:val="00B14F47"/>
    <w:rsid w:val="00BA58FD"/>
    <w:rsid w:val="00C53949"/>
    <w:rsid w:val="00CC3B3B"/>
    <w:rsid w:val="00CC69A1"/>
    <w:rsid w:val="00D40791"/>
    <w:rsid w:val="00D63955"/>
    <w:rsid w:val="00D652FC"/>
    <w:rsid w:val="00E11207"/>
    <w:rsid w:val="00E63CE2"/>
    <w:rsid w:val="00E848D2"/>
    <w:rsid w:val="00EC359F"/>
    <w:rsid w:val="00EF090A"/>
    <w:rsid w:val="00EF5D84"/>
    <w:rsid w:val="00F17939"/>
    <w:rsid w:val="00F858F7"/>
    <w:rsid w:val="00FA05D4"/>
    <w:rsid w:val="0C2158A8"/>
    <w:rsid w:val="110919FD"/>
    <w:rsid w:val="1592707B"/>
    <w:rsid w:val="1D212406"/>
    <w:rsid w:val="299B2082"/>
    <w:rsid w:val="48C127EB"/>
    <w:rsid w:val="652B1D67"/>
    <w:rsid w:val="6C3655A1"/>
    <w:rsid w:val="7DC67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numPr>
        <w:ilvl w:val="0"/>
        <w:numId w:val="1"/>
      </w:numPr>
      <w:spacing w:before="340" w:after="330" w:line="578" w:lineRule="auto"/>
      <w:ind w:left="432" w:hanging="432"/>
      <w:outlineLvl w:val="0"/>
    </w:pPr>
    <w:rPr>
      <w:b/>
      <w:bCs/>
      <w:kern w:val="44"/>
      <w:sz w:val="28"/>
      <w:szCs w:val="44"/>
    </w:rPr>
  </w:style>
  <w:style w:type="paragraph" w:styleId="3">
    <w:name w:val="heading 2"/>
    <w:basedOn w:val="1"/>
    <w:next w:val="1"/>
    <w:link w:val="29"/>
    <w:unhideWhenUsed/>
    <w:qFormat/>
    <w:uiPriority w:val="9"/>
    <w:pPr>
      <w:keepNext/>
      <w:keepLines/>
      <w:numPr>
        <w:ilvl w:val="1"/>
        <w:numId w:val="1"/>
      </w:numPr>
      <w:spacing w:before="260" w:after="260" w:line="416" w:lineRule="auto"/>
      <w:ind w:left="575" w:hanging="575"/>
      <w:outlineLvl w:val="1"/>
    </w:pPr>
    <w:rPr>
      <w:rFonts w:asciiTheme="majorHAnsi" w:hAnsiTheme="majorHAnsi" w:eastAsiaTheme="majorEastAsia" w:cstheme="majorBidi"/>
      <w:b/>
      <w:bCs/>
      <w:sz w:val="32"/>
      <w:szCs w:val="32"/>
    </w:rPr>
  </w:style>
  <w:style w:type="paragraph" w:styleId="4">
    <w:name w:val="heading 3"/>
    <w:basedOn w:val="1"/>
    <w:next w:val="5"/>
    <w:link w:val="36"/>
    <w:qFormat/>
    <w:uiPriority w:val="0"/>
    <w:pPr>
      <w:keepNext/>
      <w:keepLines/>
      <w:numPr>
        <w:ilvl w:val="2"/>
        <w:numId w:val="1"/>
      </w:numPr>
      <w:spacing w:beforeLines="50"/>
      <w:ind w:left="720" w:hanging="720"/>
      <w:outlineLvl w:val="2"/>
    </w:pPr>
    <w:rPr>
      <w:rFonts w:ascii="Times New Roman" w:hAnsi="Times New Roman" w:eastAsia="宋体" w:cs="Times New Roman"/>
      <w:b/>
      <w:szCs w:val="20"/>
    </w:rPr>
  </w:style>
  <w:style w:type="paragraph" w:styleId="6">
    <w:name w:val="heading 4"/>
    <w:basedOn w:val="1"/>
    <w:next w:val="1"/>
    <w:link w:val="35"/>
    <w:semiHidden/>
    <w:unhideWhenUsed/>
    <w:qFormat/>
    <w:uiPriority w:val="9"/>
    <w:pPr>
      <w:keepNext/>
      <w:keepLines/>
      <w:numPr>
        <w:ilvl w:val="3"/>
        <w:numId w:val="1"/>
      </w:numPr>
      <w:spacing w:before="280" w:after="290" w:line="376" w:lineRule="auto"/>
      <w:ind w:left="864" w:hanging="864"/>
      <w:outlineLvl w:val="3"/>
    </w:pPr>
    <w:rPr>
      <w:rFonts w:asciiTheme="majorHAnsi" w:hAnsiTheme="majorHAnsi" w:eastAsiaTheme="majorEastAsia" w:cstheme="majorBidi"/>
      <w:b/>
      <w:bCs/>
      <w:sz w:val="28"/>
      <w:szCs w:val="28"/>
    </w:rPr>
  </w:style>
  <w:style w:type="paragraph" w:styleId="7">
    <w:name w:val="heading 5"/>
    <w:basedOn w:val="1"/>
    <w:next w:val="1"/>
    <w:semiHidden/>
    <w:unhideWhenUsed/>
    <w:qFormat/>
    <w:uiPriority w:val="9"/>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9"/>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9"/>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9"/>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9"/>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0"/>
    <w:qFormat/>
    <w:uiPriority w:val="0"/>
    <w:pPr>
      <w:spacing w:before="60"/>
      <w:ind w:firstLine="420" w:firstLineChars="200"/>
    </w:pPr>
    <w:rPr>
      <w:rFonts w:ascii="Times New Roman" w:hAnsi="Times New Roman" w:eastAsia="宋体" w:cs="Times New Roman"/>
      <w:szCs w:val="24"/>
    </w:rPr>
  </w:style>
  <w:style w:type="paragraph" w:styleId="12">
    <w:name w:val="annotation text"/>
    <w:basedOn w:val="1"/>
    <w:link w:val="33"/>
    <w:semiHidden/>
    <w:unhideWhenUsed/>
    <w:qFormat/>
    <w:uiPriority w:val="99"/>
    <w:pPr>
      <w:jc w:val="left"/>
    </w:pPr>
  </w:style>
  <w:style w:type="paragraph" w:styleId="13">
    <w:name w:val="Plain Text"/>
    <w:basedOn w:val="1"/>
    <w:qFormat/>
    <w:uiPriority w:val="0"/>
    <w:rPr>
      <w:rFonts w:ascii="宋体" w:hAnsi="Courier New" w:cs="Courier New"/>
      <w:szCs w:val="21"/>
    </w:rPr>
  </w:style>
  <w:style w:type="paragraph" w:styleId="14">
    <w:name w:val="Balloon Text"/>
    <w:basedOn w:val="1"/>
    <w:link w:val="32"/>
    <w:semiHidden/>
    <w:unhideWhenUsed/>
    <w:qFormat/>
    <w:uiPriority w:val="99"/>
    <w:rPr>
      <w:sz w:val="18"/>
      <w:szCs w:val="18"/>
    </w:rPr>
  </w:style>
  <w:style w:type="paragraph" w:styleId="15">
    <w:name w:val="footer"/>
    <w:basedOn w:val="1"/>
    <w:link w:val="26"/>
    <w:semiHidden/>
    <w:unhideWhenUsed/>
    <w:qFormat/>
    <w:uiPriority w:val="99"/>
    <w:pPr>
      <w:tabs>
        <w:tab w:val="center" w:pos="4153"/>
        <w:tab w:val="right" w:pos="8306"/>
      </w:tabs>
      <w:snapToGrid w:val="0"/>
      <w:jc w:val="left"/>
    </w:pPr>
    <w:rPr>
      <w:sz w:val="18"/>
      <w:szCs w:val="18"/>
    </w:rPr>
  </w:style>
  <w:style w:type="paragraph" w:styleId="16">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annotation subject"/>
    <w:basedOn w:val="12"/>
    <w:next w:val="12"/>
    <w:link w:val="34"/>
    <w:semiHidden/>
    <w:unhideWhenUsed/>
    <w:qFormat/>
    <w:uiPriority w:val="99"/>
    <w:rPr>
      <w:b/>
      <w:bCs/>
    </w:r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Hyperlink"/>
    <w:basedOn w:val="22"/>
    <w:unhideWhenUsed/>
    <w:qFormat/>
    <w:uiPriority w:val="99"/>
    <w:rPr>
      <w:color w:val="0000FF" w:themeColor="hyperlink"/>
      <w:u w:val="single"/>
    </w:rPr>
  </w:style>
  <w:style w:type="character" w:styleId="24">
    <w:name w:val="annotation reference"/>
    <w:basedOn w:val="22"/>
    <w:semiHidden/>
    <w:unhideWhenUsed/>
    <w:qFormat/>
    <w:uiPriority w:val="99"/>
    <w:rPr>
      <w:sz w:val="21"/>
      <w:szCs w:val="21"/>
    </w:rPr>
  </w:style>
  <w:style w:type="character" w:customStyle="1" w:styleId="25">
    <w:name w:val="页眉 Char"/>
    <w:basedOn w:val="22"/>
    <w:link w:val="16"/>
    <w:semiHidden/>
    <w:qFormat/>
    <w:uiPriority w:val="99"/>
    <w:rPr>
      <w:sz w:val="18"/>
      <w:szCs w:val="18"/>
    </w:rPr>
  </w:style>
  <w:style w:type="character" w:customStyle="1" w:styleId="26">
    <w:name w:val="页脚 Char"/>
    <w:basedOn w:val="22"/>
    <w:link w:val="15"/>
    <w:semiHidden/>
    <w:qFormat/>
    <w:uiPriority w:val="99"/>
    <w:rPr>
      <w:sz w:val="18"/>
      <w:szCs w:val="18"/>
    </w:rPr>
  </w:style>
  <w:style w:type="character" w:customStyle="1" w:styleId="27">
    <w:name w:val="标题 1 Char"/>
    <w:basedOn w:val="22"/>
    <w:link w:val="2"/>
    <w:qFormat/>
    <w:uiPriority w:val="9"/>
    <w:rPr>
      <w:b/>
      <w:bCs/>
      <w:kern w:val="44"/>
      <w:sz w:val="28"/>
      <w:szCs w:val="44"/>
    </w:rPr>
  </w:style>
  <w:style w:type="paragraph" w:styleId="28">
    <w:name w:val="List Paragraph"/>
    <w:basedOn w:val="1"/>
    <w:qFormat/>
    <w:uiPriority w:val="34"/>
    <w:pPr>
      <w:ind w:firstLine="420" w:firstLineChars="200"/>
    </w:pPr>
  </w:style>
  <w:style w:type="character" w:customStyle="1" w:styleId="29">
    <w:name w:val="标题 2 Char"/>
    <w:basedOn w:val="22"/>
    <w:link w:val="3"/>
    <w:qFormat/>
    <w:uiPriority w:val="9"/>
    <w:rPr>
      <w:rFonts w:asciiTheme="majorHAnsi" w:hAnsiTheme="majorHAnsi" w:eastAsiaTheme="majorEastAsia" w:cstheme="majorBidi"/>
      <w:b/>
      <w:bCs/>
      <w:sz w:val="32"/>
      <w:szCs w:val="32"/>
    </w:rPr>
  </w:style>
  <w:style w:type="character" w:customStyle="1" w:styleId="30">
    <w:name w:val="正文缩进 Char"/>
    <w:basedOn w:val="22"/>
    <w:link w:val="5"/>
    <w:qFormat/>
    <w:uiPriority w:val="0"/>
    <w:rPr>
      <w:rFonts w:ascii="Times New Roman" w:hAnsi="Times New Roman" w:eastAsia="宋体" w:cs="Times New Roman"/>
      <w:szCs w:val="24"/>
    </w:rPr>
  </w:style>
  <w:style w:type="paragraph" w:customStyle="1" w:styleId="3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Cs w:val="28"/>
    </w:rPr>
  </w:style>
  <w:style w:type="character" w:customStyle="1" w:styleId="32">
    <w:name w:val="批注框文本 Char"/>
    <w:basedOn w:val="22"/>
    <w:link w:val="14"/>
    <w:semiHidden/>
    <w:qFormat/>
    <w:uiPriority w:val="99"/>
    <w:rPr>
      <w:sz w:val="18"/>
      <w:szCs w:val="18"/>
    </w:rPr>
  </w:style>
  <w:style w:type="character" w:customStyle="1" w:styleId="33">
    <w:name w:val="批注文字 Char"/>
    <w:basedOn w:val="22"/>
    <w:link w:val="12"/>
    <w:semiHidden/>
    <w:qFormat/>
    <w:uiPriority w:val="99"/>
  </w:style>
  <w:style w:type="character" w:customStyle="1" w:styleId="34">
    <w:name w:val="批注主题 Char"/>
    <w:basedOn w:val="33"/>
    <w:link w:val="19"/>
    <w:semiHidden/>
    <w:qFormat/>
    <w:uiPriority w:val="99"/>
    <w:rPr>
      <w:b/>
      <w:bCs/>
    </w:rPr>
  </w:style>
  <w:style w:type="character" w:customStyle="1" w:styleId="35">
    <w:name w:val="标题 4 Char"/>
    <w:basedOn w:val="22"/>
    <w:link w:val="6"/>
    <w:semiHidden/>
    <w:qFormat/>
    <w:uiPriority w:val="9"/>
    <w:rPr>
      <w:rFonts w:asciiTheme="majorHAnsi" w:hAnsiTheme="majorHAnsi" w:eastAsiaTheme="majorEastAsia" w:cstheme="majorBidi"/>
      <w:b/>
      <w:bCs/>
      <w:sz w:val="28"/>
      <w:szCs w:val="28"/>
    </w:rPr>
  </w:style>
  <w:style w:type="character" w:customStyle="1" w:styleId="36">
    <w:name w:val="标题 3 Char"/>
    <w:basedOn w:val="22"/>
    <w:link w:val="4"/>
    <w:qFormat/>
    <w:uiPriority w:val="0"/>
    <w:rPr>
      <w:rFonts w:ascii="Times New Roman" w:hAnsi="Times New Roman" w:eastAsia="宋体" w:cs="Times New Roman"/>
      <w:b/>
      <w:szCs w:val="20"/>
    </w:rPr>
  </w:style>
  <w:style w:type="paragraph" w:customStyle="1" w:styleId="37">
    <w:name w:val="列出段落1"/>
    <w:basedOn w:val="1"/>
    <w:qFormat/>
    <w:uiPriority w:val="34"/>
    <w:pPr>
      <w:suppressAutoHyphens/>
      <w:ind w:firstLine="420" w:firstLineChars="200"/>
    </w:pPr>
    <w:rPr>
      <w:rFonts w:ascii="Times New Roman" w:hAnsi="Times New Roman" w:eastAsia="宋体" w:cs="Times New Roman"/>
      <w:kern w:val="1"/>
      <w:szCs w:val="24"/>
      <w:lang w:eastAsia="ar-SA"/>
    </w:rPr>
  </w:style>
  <w:style w:type="paragraph" w:customStyle="1" w:styleId="38">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0EDC3-669E-4427-B217-B98E1C02EF9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1104</Words>
  <Characters>6293</Characters>
  <Lines>52</Lines>
  <Paragraphs>14</Paragraphs>
  <TotalTime>0</TotalTime>
  <ScaleCrop>false</ScaleCrop>
  <LinksUpToDate>false</LinksUpToDate>
  <CharactersWithSpaces>7383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2015-02-06T07:03:00Z</dcterms:created>
  <dc:creator>blue</dc:creator>
  <cp:lastModifiedBy>Hlongmed</cp:lastModifiedBy>
  <dcterms:modified xsi:type="dcterms:W3CDTF">2021-07-08T02:27:22Z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938BEDACF31F4EE0ACD71E839924D915</vt:lpwstr>
  </property>
</Properties>
</file>