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sz w:val="24"/>
          <w:szCs w:val="24"/>
        </w:rPr>
      </w:pPr>
    </w:p>
    <w:p>
      <w:pPr>
        <w:jc w:val="center"/>
        <w:rPr>
          <w:rFonts w:hint="eastAsia" w:asciiTheme="minorEastAsia" w:hAnsiTheme="minorEastAsia" w:eastAsiaTheme="minorEastAsia" w:cstheme="minorEastAsia"/>
          <w:b/>
          <w:sz w:val="24"/>
          <w:szCs w:val="24"/>
        </w:rPr>
      </w:pPr>
    </w:p>
    <w:p>
      <w:pPr>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风险管理计划</w:t>
      </w:r>
    </w:p>
    <w:p>
      <w:pPr>
        <w:jc w:val="center"/>
        <w:rPr>
          <w:rFonts w:hint="eastAsia" w:asciiTheme="minorEastAsia" w:hAnsiTheme="minorEastAsia" w:eastAsiaTheme="minorEastAsia" w:cstheme="minorEastAsia"/>
          <w:b/>
          <w:sz w:val="24"/>
          <w:szCs w:val="24"/>
        </w:rPr>
      </w:pPr>
    </w:p>
    <w:p>
      <w:pPr>
        <w:jc w:val="center"/>
        <w:rPr>
          <w:rFonts w:hint="eastAsia" w:asciiTheme="minorEastAsia" w:hAnsiTheme="minorEastAsia" w:eastAsiaTheme="minorEastAsia" w:cstheme="minorEastAsia"/>
          <w:b/>
          <w:sz w:val="24"/>
          <w:szCs w:val="24"/>
        </w:rPr>
      </w:pPr>
    </w:p>
    <w:p>
      <w:pPr>
        <w:jc w:val="center"/>
        <w:rPr>
          <w:rFonts w:hint="eastAsia" w:asciiTheme="minorEastAsia" w:hAnsiTheme="minorEastAsia" w:eastAsiaTheme="minorEastAsia" w:cstheme="minorEastAsia"/>
          <w:b/>
          <w:sz w:val="24"/>
          <w:szCs w:val="24"/>
        </w:rPr>
      </w:pPr>
    </w:p>
    <w:p>
      <w:pPr>
        <w:ind w:firstLine="1458" w:firstLineChars="605"/>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产品名称：</w:t>
      </w:r>
      <w:r>
        <w:rPr>
          <w:rFonts w:hint="eastAsia" w:asciiTheme="minorEastAsia" w:hAnsiTheme="minorEastAsia" w:eastAsiaTheme="minorEastAsia" w:cstheme="minorEastAsia"/>
          <w:b/>
          <w:sz w:val="24"/>
          <w:szCs w:val="24"/>
          <w:u w:val="single"/>
        </w:rPr>
        <w:t>　　　　　　　　　　　　　</w:t>
      </w:r>
    </w:p>
    <w:p>
      <w:pPr>
        <w:ind w:firstLine="1928" w:firstLineChars="800"/>
        <w:rPr>
          <w:rFonts w:hint="eastAsia" w:asciiTheme="minorEastAsia" w:hAnsiTheme="minorEastAsia" w:eastAsiaTheme="minorEastAsia" w:cstheme="minorEastAsia"/>
          <w:b/>
          <w:sz w:val="24"/>
          <w:szCs w:val="24"/>
        </w:rPr>
      </w:pPr>
    </w:p>
    <w:p>
      <w:pPr>
        <w:ind w:firstLine="1458" w:firstLineChars="605"/>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文件编号：</w:t>
      </w:r>
      <w:r>
        <w:rPr>
          <w:rFonts w:hint="eastAsia" w:asciiTheme="minorEastAsia" w:hAnsiTheme="minorEastAsia" w:eastAsiaTheme="minorEastAsia" w:cstheme="minorEastAsia"/>
          <w:b/>
          <w:sz w:val="24"/>
          <w:szCs w:val="24"/>
          <w:u w:val="single"/>
        </w:rPr>
        <w:t>　　　QR-RD-0</w:t>
      </w:r>
      <w:r>
        <w:rPr>
          <w:rFonts w:hint="eastAsia" w:asciiTheme="minorEastAsia" w:hAnsiTheme="minorEastAsia" w:eastAsiaTheme="minorEastAsia" w:cstheme="minorEastAsia"/>
          <w:b/>
          <w:sz w:val="24"/>
          <w:szCs w:val="24"/>
          <w:u w:val="single"/>
          <w:lang w:val="en-US" w:eastAsia="zh-CN"/>
        </w:rPr>
        <w:t>25</w:t>
      </w:r>
      <w:r>
        <w:rPr>
          <w:rFonts w:hint="eastAsia" w:asciiTheme="minorEastAsia" w:hAnsiTheme="minorEastAsia" w:eastAsiaTheme="minorEastAsia" w:cstheme="minorEastAsia"/>
          <w:b/>
          <w:sz w:val="24"/>
          <w:szCs w:val="24"/>
          <w:u w:val="single"/>
        </w:rPr>
        <w:t>　</w:t>
      </w:r>
      <w:r>
        <w:rPr>
          <w:rFonts w:hint="eastAsia" w:asciiTheme="minorEastAsia" w:hAnsiTheme="minorEastAsia" w:cstheme="minorEastAsia"/>
          <w:b/>
          <w:sz w:val="24"/>
          <w:szCs w:val="24"/>
          <w:u w:val="single"/>
          <w:lang w:val="en-US" w:eastAsia="zh-CN"/>
        </w:rPr>
        <w:t xml:space="preserve"> </w:t>
      </w:r>
      <w:r>
        <w:rPr>
          <w:rFonts w:hint="eastAsia" w:asciiTheme="minorEastAsia" w:hAnsiTheme="minorEastAsia" w:eastAsiaTheme="minorEastAsia" w:cstheme="minorEastAsia"/>
          <w:b/>
          <w:sz w:val="24"/>
          <w:szCs w:val="24"/>
          <w:u w:val="single"/>
        </w:rPr>
        <w:t>　　　　</w:t>
      </w:r>
      <w:r>
        <w:rPr>
          <w:rFonts w:hint="eastAsia" w:asciiTheme="minorEastAsia" w:hAnsiTheme="minorEastAsia" w:eastAsiaTheme="minorEastAsia" w:cstheme="minorEastAsia"/>
          <w:b/>
          <w:sz w:val="24"/>
          <w:szCs w:val="24"/>
        </w:rPr>
        <w:t>　　　　　　　　　　　　　</w:t>
      </w:r>
    </w:p>
    <w:p>
      <w:pPr>
        <w:ind w:firstLine="1458" w:firstLineChars="605"/>
        <w:rPr>
          <w:rFonts w:hint="eastAsia" w:asciiTheme="minorEastAsia" w:hAnsiTheme="minorEastAsia" w:eastAsiaTheme="minorEastAsia" w:cstheme="minorEastAsia"/>
          <w:b/>
          <w:sz w:val="24"/>
          <w:szCs w:val="24"/>
        </w:rPr>
      </w:pPr>
    </w:p>
    <w:p>
      <w:pPr>
        <w:ind w:firstLine="1458" w:firstLineChars="605"/>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版　　本：</w:t>
      </w:r>
      <w:bookmarkStart w:id="0" w:name="OLE_LINK1"/>
      <w:r>
        <w:rPr>
          <w:rFonts w:hint="eastAsia" w:asciiTheme="minorEastAsia" w:hAnsiTheme="minorEastAsia" w:eastAsiaTheme="minorEastAsia" w:cstheme="minorEastAsia"/>
          <w:b/>
          <w:sz w:val="24"/>
          <w:szCs w:val="24"/>
          <w:u w:val="single"/>
        </w:rPr>
        <w:t>　　　　　　　　　　　　　</w:t>
      </w:r>
      <w:r>
        <w:rPr>
          <w:rFonts w:hint="eastAsia" w:asciiTheme="minorEastAsia" w:hAnsiTheme="minorEastAsia" w:eastAsiaTheme="minorEastAsia" w:cstheme="minorEastAsia"/>
          <w:b/>
          <w:sz w:val="24"/>
          <w:szCs w:val="24"/>
        </w:rPr>
        <w:t>　　　　　　　　　　　</w:t>
      </w:r>
      <w:bookmarkEnd w:id="0"/>
      <w:r>
        <w:rPr>
          <w:rFonts w:hint="eastAsia" w:asciiTheme="minorEastAsia" w:hAnsiTheme="minorEastAsia" w:eastAsiaTheme="minorEastAsia" w:cstheme="minorEastAsia"/>
          <w:b/>
          <w:sz w:val="24"/>
          <w:szCs w:val="24"/>
        </w:rPr>
        <w:t>　　</w:t>
      </w:r>
    </w:p>
    <w:p>
      <w:pPr>
        <w:ind w:firstLine="1458" w:firstLineChars="605"/>
        <w:rPr>
          <w:rFonts w:hint="eastAsia" w:asciiTheme="minorEastAsia" w:hAnsiTheme="minorEastAsia" w:eastAsiaTheme="minorEastAsia" w:cstheme="minorEastAsia"/>
          <w:b/>
          <w:sz w:val="24"/>
          <w:szCs w:val="24"/>
        </w:rPr>
      </w:pPr>
    </w:p>
    <w:p>
      <w:pPr>
        <w:ind w:firstLine="1458" w:firstLineChars="605"/>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编　　制：</w:t>
      </w:r>
      <w:bookmarkStart w:id="1" w:name="OLE_LINK3"/>
      <w:bookmarkStart w:id="2" w:name="OLE_LINK2"/>
      <w:r>
        <w:rPr>
          <w:rFonts w:hint="eastAsia" w:asciiTheme="minorEastAsia" w:hAnsiTheme="minorEastAsia" w:eastAsiaTheme="minorEastAsia" w:cstheme="minorEastAsia"/>
          <w:b/>
          <w:sz w:val="24"/>
          <w:szCs w:val="24"/>
          <w:u w:val="single"/>
        </w:rPr>
        <w:t>　　　　　　　　　　　　　</w:t>
      </w:r>
      <w:r>
        <w:rPr>
          <w:rFonts w:hint="eastAsia" w:asciiTheme="minorEastAsia" w:hAnsiTheme="minorEastAsia" w:eastAsiaTheme="minorEastAsia" w:cstheme="minorEastAsia"/>
          <w:b/>
          <w:sz w:val="24"/>
          <w:szCs w:val="24"/>
        </w:rPr>
        <w:t>　　　　　　　　　　　　　</w:t>
      </w:r>
      <w:bookmarkEnd w:id="1"/>
      <w:bookmarkEnd w:id="2"/>
    </w:p>
    <w:p>
      <w:pPr>
        <w:ind w:firstLine="1458" w:firstLineChars="605"/>
        <w:rPr>
          <w:rFonts w:hint="eastAsia" w:asciiTheme="minorEastAsia" w:hAnsiTheme="minorEastAsia" w:eastAsiaTheme="minorEastAsia" w:cstheme="minorEastAsia"/>
          <w:b/>
          <w:sz w:val="24"/>
          <w:szCs w:val="24"/>
        </w:rPr>
      </w:pPr>
    </w:p>
    <w:p>
      <w:pPr>
        <w:ind w:firstLine="1458" w:firstLineChars="605"/>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审　　核：</w:t>
      </w:r>
      <w:r>
        <w:rPr>
          <w:rFonts w:hint="eastAsia" w:asciiTheme="minorEastAsia" w:hAnsiTheme="minorEastAsia" w:eastAsiaTheme="minorEastAsia" w:cstheme="minorEastAsia"/>
          <w:b/>
          <w:sz w:val="24"/>
          <w:szCs w:val="24"/>
          <w:u w:val="single"/>
        </w:rPr>
        <w:t>　　　　　　　　　　　　　</w:t>
      </w:r>
      <w:r>
        <w:rPr>
          <w:rFonts w:hint="eastAsia" w:asciiTheme="minorEastAsia" w:hAnsiTheme="minorEastAsia" w:eastAsiaTheme="minorEastAsia" w:cstheme="minorEastAsia"/>
          <w:b/>
          <w:sz w:val="24"/>
          <w:szCs w:val="24"/>
        </w:rPr>
        <w:t>　　　　　　　　　　　　　</w:t>
      </w:r>
    </w:p>
    <w:p>
      <w:pPr>
        <w:ind w:firstLine="1458" w:firstLineChars="605"/>
        <w:rPr>
          <w:rFonts w:hint="eastAsia" w:asciiTheme="minorEastAsia" w:hAnsiTheme="minorEastAsia" w:eastAsiaTheme="minorEastAsia" w:cstheme="minorEastAsia"/>
          <w:b/>
          <w:sz w:val="24"/>
          <w:szCs w:val="24"/>
        </w:rPr>
      </w:pPr>
    </w:p>
    <w:p>
      <w:pPr>
        <w:ind w:firstLine="1458" w:firstLineChars="605"/>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批　　准：</w:t>
      </w:r>
      <w:r>
        <w:rPr>
          <w:rFonts w:hint="eastAsia" w:asciiTheme="minorEastAsia" w:hAnsiTheme="minorEastAsia" w:eastAsiaTheme="minorEastAsia" w:cstheme="minorEastAsia"/>
          <w:b/>
          <w:sz w:val="24"/>
          <w:szCs w:val="24"/>
          <w:u w:val="single"/>
        </w:rPr>
        <w:t>　　　　　　　　　　　　　</w:t>
      </w:r>
      <w:r>
        <w:rPr>
          <w:rFonts w:hint="eastAsia" w:asciiTheme="minorEastAsia" w:hAnsiTheme="minorEastAsia" w:eastAsiaTheme="minorEastAsia" w:cstheme="minorEastAsia"/>
          <w:b/>
          <w:sz w:val="24"/>
          <w:szCs w:val="24"/>
        </w:rPr>
        <w:t>　　　　　　　　　　　　　</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rPr>
        <w:t>XX</w:t>
      </w:r>
      <w:r>
        <w:rPr>
          <w:rFonts w:hint="eastAsia" w:asciiTheme="minorEastAsia" w:hAnsiTheme="minorEastAsia" w:eastAsiaTheme="minorEastAsia" w:cstheme="minorEastAsia"/>
          <w:sz w:val="24"/>
          <w:szCs w:val="24"/>
        </w:rPr>
        <w:t>公司</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color w:val="FF0000"/>
          <w:sz w:val="24"/>
          <w:szCs w:val="24"/>
        </w:rPr>
        <w:t>XX</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color w:val="FF0000"/>
          <w:sz w:val="24"/>
          <w:szCs w:val="24"/>
        </w:rPr>
        <w:t>XX</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color w:val="FF0000"/>
          <w:sz w:val="24"/>
          <w:szCs w:val="24"/>
        </w:rPr>
        <w:t>XX</w:t>
      </w:r>
      <w:r>
        <w:rPr>
          <w:rFonts w:hint="eastAsia" w:asciiTheme="minorEastAsia" w:hAnsiTheme="minorEastAsia" w:eastAsiaTheme="minorEastAsia" w:cstheme="minorEastAsia"/>
          <w:sz w:val="24"/>
          <w:szCs w:val="24"/>
        </w:rPr>
        <w:t>日　</w:t>
      </w:r>
      <w:r>
        <w:rPr>
          <w:rFonts w:hint="eastAsia" w:asciiTheme="minorEastAsia" w:hAnsiTheme="minorEastAsia" w:eastAsiaTheme="minorEastAsia" w:cstheme="minorEastAsia"/>
          <w:sz w:val="24"/>
          <w:szCs w:val="24"/>
        </w:rPr>
        <w:br w:type="page"/>
      </w:r>
    </w:p>
    <w:sdt>
      <w:sdtPr>
        <w:rPr>
          <w:rFonts w:hint="eastAsia" w:asciiTheme="minorEastAsia" w:hAnsiTheme="minorEastAsia" w:eastAsiaTheme="minorEastAsia" w:cstheme="minorEastAsia"/>
          <w:b w:val="0"/>
          <w:bCs w:val="0"/>
          <w:color w:val="auto"/>
          <w:kern w:val="2"/>
          <w:sz w:val="24"/>
          <w:szCs w:val="24"/>
          <w:lang w:val="zh-CN"/>
        </w:rPr>
        <w:id w:val="6800469"/>
        <w:docPartObj>
          <w:docPartGallery w:val="Table of Contents"/>
          <w:docPartUnique/>
        </w:docPartObj>
      </w:sdtPr>
      <w:sdtEndPr>
        <w:rPr>
          <w:rFonts w:hint="eastAsia" w:asciiTheme="minorEastAsia" w:hAnsiTheme="minorEastAsia" w:eastAsiaTheme="minorEastAsia" w:cstheme="minorEastAsia"/>
          <w:b w:val="0"/>
          <w:bCs w:val="0"/>
          <w:color w:val="auto"/>
          <w:kern w:val="2"/>
          <w:sz w:val="24"/>
          <w:szCs w:val="24"/>
          <w:lang w:val="en-US"/>
        </w:rPr>
      </w:sdtEndPr>
      <w:sdtContent>
        <w:p>
          <w:pPr>
            <w:pStyle w:val="25"/>
            <w:jc w:val="center"/>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目录</w:t>
          </w:r>
        </w:p>
        <w:p>
          <w:pPr>
            <w:rPr>
              <w:rFonts w:hint="eastAsia" w:asciiTheme="minorEastAsia" w:hAnsiTheme="minorEastAsia" w:eastAsiaTheme="minorEastAsia" w:cstheme="minorEastAsia"/>
              <w:sz w:val="24"/>
              <w:szCs w:val="24"/>
              <w:lang w:val="zh-CN"/>
            </w:rPr>
          </w:pPr>
        </w:p>
        <w:p>
          <w:pPr>
            <w:pStyle w:val="11"/>
            <w:tabs>
              <w:tab w:val="left" w:pos="630"/>
              <w:tab w:val="right" w:leader="dot"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TOC \o "1-3" \h \z \u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"_Toc455069982" </w:instrText>
          </w:r>
          <w:r>
            <w:rPr>
              <w:rFonts w:hint="eastAsia" w:asciiTheme="minorEastAsia" w:hAnsiTheme="minorEastAsia" w:eastAsiaTheme="minorEastAsia" w:cstheme="minorEastAsia"/>
              <w:sz w:val="24"/>
              <w:szCs w:val="24"/>
            </w:rPr>
            <w:fldChar w:fldCharType="separate"/>
          </w:r>
          <w:r>
            <w:rPr>
              <w:rStyle w:val="17"/>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ab/>
          </w:r>
          <w:r>
            <w:rPr>
              <w:rStyle w:val="17"/>
              <w:rFonts w:hint="eastAsia" w:asciiTheme="minorEastAsia" w:hAnsiTheme="minorEastAsia" w:eastAsiaTheme="minorEastAsia" w:cstheme="minorEastAsia"/>
              <w:sz w:val="24"/>
              <w:szCs w:val="24"/>
            </w:rPr>
            <w:t>背景</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_Toc455069982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1"/>
            <w:tabs>
              <w:tab w:val="right" w:leader="dot"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"_Toc455069983" </w:instrText>
          </w:r>
          <w:r>
            <w:rPr>
              <w:rFonts w:hint="eastAsia" w:asciiTheme="minorEastAsia" w:hAnsiTheme="minorEastAsia" w:eastAsiaTheme="minorEastAsia" w:cstheme="minorEastAsia"/>
              <w:sz w:val="24"/>
              <w:szCs w:val="24"/>
            </w:rPr>
            <w:fldChar w:fldCharType="separate"/>
          </w:r>
          <w:r>
            <w:rPr>
              <w:rStyle w:val="17"/>
              <w:rFonts w:hint="eastAsia" w:asciiTheme="minorEastAsia" w:hAnsiTheme="minorEastAsia" w:eastAsiaTheme="minorEastAsia" w:cstheme="minorEastAsia"/>
              <w:sz w:val="24"/>
              <w:szCs w:val="24"/>
            </w:rPr>
            <w:t>1.1目的</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_Toc455069983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2"/>
            <w:tabs>
              <w:tab w:val="right" w:leader="dot" w:pos="8296"/>
            </w:tabs>
            <w:ind w:left="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"_Toc455069984" </w:instrText>
          </w:r>
          <w:r>
            <w:rPr>
              <w:rFonts w:hint="eastAsia" w:asciiTheme="minorEastAsia" w:hAnsiTheme="minorEastAsia" w:eastAsiaTheme="minorEastAsia" w:cstheme="minorEastAsia"/>
              <w:sz w:val="24"/>
              <w:szCs w:val="24"/>
            </w:rPr>
            <w:fldChar w:fldCharType="separate"/>
          </w:r>
          <w:r>
            <w:rPr>
              <w:rStyle w:val="17"/>
              <w:rFonts w:hint="eastAsia" w:asciiTheme="minorEastAsia" w:hAnsiTheme="minorEastAsia" w:eastAsiaTheme="minorEastAsia" w:cstheme="minorEastAsia"/>
              <w:sz w:val="24"/>
              <w:szCs w:val="24"/>
            </w:rPr>
            <w:t>1.2范围</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_Toc455069984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1"/>
            <w:tabs>
              <w:tab w:val="left" w:pos="630"/>
              <w:tab w:val="right" w:leader="dot"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"_Toc455069985" </w:instrText>
          </w:r>
          <w:r>
            <w:rPr>
              <w:rFonts w:hint="eastAsia" w:asciiTheme="minorEastAsia" w:hAnsiTheme="minorEastAsia" w:eastAsiaTheme="minorEastAsia" w:cstheme="minorEastAsia"/>
              <w:sz w:val="24"/>
              <w:szCs w:val="24"/>
            </w:rPr>
            <w:fldChar w:fldCharType="separate"/>
          </w:r>
          <w:r>
            <w:rPr>
              <w:rStyle w:val="17"/>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tab/>
          </w:r>
          <w:r>
            <w:rPr>
              <w:rStyle w:val="17"/>
              <w:rFonts w:hint="eastAsia" w:asciiTheme="minorEastAsia" w:hAnsiTheme="minorEastAsia" w:eastAsiaTheme="minorEastAsia" w:cstheme="minorEastAsia"/>
              <w:sz w:val="24"/>
              <w:szCs w:val="24"/>
            </w:rPr>
            <w:t>产品介绍</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_Toc455069985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2"/>
            <w:tabs>
              <w:tab w:val="right" w:leader="dot"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"_Toc455069986" </w:instrText>
          </w:r>
          <w:r>
            <w:rPr>
              <w:rFonts w:hint="eastAsia" w:asciiTheme="minorEastAsia" w:hAnsiTheme="minorEastAsia" w:eastAsiaTheme="minorEastAsia" w:cstheme="minorEastAsia"/>
              <w:sz w:val="24"/>
              <w:szCs w:val="24"/>
            </w:rPr>
            <w:fldChar w:fldCharType="separate"/>
          </w:r>
          <w:r>
            <w:rPr>
              <w:rStyle w:val="17"/>
              <w:rFonts w:hint="eastAsia" w:asciiTheme="minorEastAsia" w:hAnsiTheme="minorEastAsia" w:eastAsiaTheme="minorEastAsia" w:cstheme="minorEastAsia"/>
              <w:sz w:val="24"/>
              <w:szCs w:val="24"/>
            </w:rPr>
            <w:t>2.1 产品描述</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_Toc455069986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2"/>
            <w:tabs>
              <w:tab w:val="right" w:leader="dot"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"_Toc455069987" </w:instrText>
          </w:r>
          <w:r>
            <w:rPr>
              <w:rFonts w:hint="eastAsia" w:asciiTheme="minorEastAsia" w:hAnsiTheme="minorEastAsia" w:eastAsiaTheme="minorEastAsia" w:cstheme="minorEastAsia"/>
              <w:sz w:val="24"/>
              <w:szCs w:val="24"/>
            </w:rPr>
            <w:fldChar w:fldCharType="separate"/>
          </w:r>
          <w:r>
            <w:rPr>
              <w:rStyle w:val="17"/>
              <w:rFonts w:hint="eastAsia" w:asciiTheme="minorEastAsia" w:hAnsiTheme="minorEastAsia" w:eastAsiaTheme="minorEastAsia" w:cstheme="minorEastAsia"/>
              <w:sz w:val="24"/>
              <w:szCs w:val="24"/>
            </w:rPr>
            <w:t>2.2产品组成</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_Toc455069987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2"/>
            <w:tabs>
              <w:tab w:val="right" w:leader="dot"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"_Toc455069988" </w:instrText>
          </w:r>
          <w:r>
            <w:rPr>
              <w:rFonts w:hint="eastAsia" w:asciiTheme="minorEastAsia" w:hAnsiTheme="minorEastAsia" w:eastAsiaTheme="minorEastAsia" w:cstheme="minorEastAsia"/>
              <w:sz w:val="24"/>
              <w:szCs w:val="24"/>
            </w:rPr>
            <w:fldChar w:fldCharType="separate"/>
          </w:r>
          <w:r>
            <w:rPr>
              <w:rStyle w:val="17"/>
              <w:rFonts w:hint="eastAsia" w:asciiTheme="minorEastAsia" w:hAnsiTheme="minorEastAsia" w:eastAsiaTheme="minorEastAsia" w:cstheme="minorEastAsia"/>
              <w:sz w:val="24"/>
              <w:szCs w:val="24"/>
            </w:rPr>
            <w:t>2.3工作原理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_Toc455069988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2"/>
            <w:tabs>
              <w:tab w:val="right" w:leader="dot"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"_Toc455069989" </w:instrText>
          </w:r>
          <w:r>
            <w:rPr>
              <w:rFonts w:hint="eastAsia" w:asciiTheme="minorEastAsia" w:hAnsiTheme="minorEastAsia" w:eastAsiaTheme="minorEastAsia" w:cstheme="minorEastAsia"/>
              <w:sz w:val="24"/>
              <w:szCs w:val="24"/>
            </w:rPr>
            <w:fldChar w:fldCharType="separate"/>
          </w:r>
          <w:r>
            <w:rPr>
              <w:rStyle w:val="17"/>
              <w:rFonts w:hint="eastAsia" w:asciiTheme="minorEastAsia" w:hAnsiTheme="minorEastAsia" w:eastAsiaTheme="minorEastAsia" w:cstheme="minorEastAsia"/>
              <w:sz w:val="24"/>
              <w:szCs w:val="24"/>
            </w:rPr>
            <w:t>2.4产品功能</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_Toc455069989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2"/>
            <w:tabs>
              <w:tab w:val="right" w:leader="dot"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"_Toc455069990" </w:instrText>
          </w:r>
          <w:r>
            <w:rPr>
              <w:rFonts w:hint="eastAsia" w:asciiTheme="minorEastAsia" w:hAnsiTheme="minorEastAsia" w:eastAsiaTheme="minorEastAsia" w:cstheme="minorEastAsia"/>
              <w:sz w:val="24"/>
              <w:szCs w:val="24"/>
            </w:rPr>
            <w:fldChar w:fldCharType="separate"/>
          </w:r>
          <w:r>
            <w:rPr>
              <w:rStyle w:val="17"/>
              <w:rFonts w:hint="eastAsia" w:asciiTheme="minorEastAsia" w:hAnsiTheme="minorEastAsia" w:eastAsiaTheme="minorEastAsia" w:cstheme="minorEastAsia"/>
              <w:sz w:val="24"/>
              <w:szCs w:val="24"/>
            </w:rPr>
            <w:t>2.5预期使用寿命</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_Toc455069990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1"/>
            <w:tabs>
              <w:tab w:val="left" w:pos="630"/>
              <w:tab w:val="right" w:leader="dot"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"_Toc455069991" </w:instrText>
          </w:r>
          <w:r>
            <w:rPr>
              <w:rFonts w:hint="eastAsia" w:asciiTheme="minorEastAsia" w:hAnsiTheme="minorEastAsia" w:eastAsiaTheme="minorEastAsia" w:cstheme="minorEastAsia"/>
              <w:sz w:val="24"/>
              <w:szCs w:val="24"/>
            </w:rPr>
            <w:fldChar w:fldCharType="separate"/>
          </w:r>
          <w:r>
            <w:rPr>
              <w:rStyle w:val="17"/>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tab/>
          </w:r>
          <w:r>
            <w:rPr>
              <w:rStyle w:val="17"/>
              <w:rFonts w:hint="eastAsia" w:asciiTheme="minorEastAsia" w:hAnsiTheme="minorEastAsia" w:eastAsiaTheme="minorEastAsia" w:cstheme="minorEastAsia"/>
              <w:sz w:val="24"/>
              <w:szCs w:val="24"/>
            </w:rPr>
            <w:t>职责与权限分配</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_Toc455069991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1"/>
            <w:tabs>
              <w:tab w:val="left" w:pos="630"/>
              <w:tab w:val="right" w:leader="dot"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"_Toc455069992" </w:instrText>
          </w:r>
          <w:r>
            <w:rPr>
              <w:rFonts w:hint="eastAsia" w:asciiTheme="minorEastAsia" w:hAnsiTheme="minorEastAsia" w:eastAsiaTheme="minorEastAsia" w:cstheme="minorEastAsia"/>
              <w:sz w:val="24"/>
              <w:szCs w:val="24"/>
            </w:rPr>
            <w:fldChar w:fldCharType="separate"/>
          </w:r>
          <w:r>
            <w:rPr>
              <w:rStyle w:val="17"/>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tab/>
          </w:r>
          <w:r>
            <w:rPr>
              <w:rStyle w:val="17"/>
              <w:rFonts w:hint="eastAsia" w:asciiTheme="minorEastAsia" w:hAnsiTheme="minorEastAsia" w:eastAsiaTheme="minorEastAsia" w:cstheme="minorEastAsia"/>
              <w:sz w:val="24"/>
              <w:szCs w:val="24"/>
            </w:rPr>
            <w:t>风险管理过程</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_Toc455069992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1"/>
            <w:tabs>
              <w:tab w:val="left" w:pos="630"/>
              <w:tab w:val="right" w:leader="dot"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"_Toc455069993" </w:instrText>
          </w:r>
          <w:r>
            <w:rPr>
              <w:rFonts w:hint="eastAsia" w:asciiTheme="minorEastAsia" w:hAnsiTheme="minorEastAsia" w:eastAsiaTheme="minorEastAsia" w:cstheme="minorEastAsia"/>
              <w:sz w:val="24"/>
              <w:szCs w:val="24"/>
            </w:rPr>
            <w:fldChar w:fldCharType="separate"/>
          </w:r>
          <w:r>
            <w:rPr>
              <w:rStyle w:val="17"/>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tab/>
          </w:r>
          <w:r>
            <w:rPr>
              <w:rStyle w:val="17"/>
              <w:rFonts w:hint="eastAsia" w:asciiTheme="minorEastAsia" w:hAnsiTheme="minorEastAsia" w:eastAsiaTheme="minorEastAsia" w:cstheme="minorEastAsia"/>
              <w:sz w:val="24"/>
              <w:szCs w:val="24"/>
            </w:rPr>
            <w:t>风险管理活动的评审要求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_Toc455069993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2"/>
            <w:tabs>
              <w:tab w:val="right" w:leader="dot"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"_Toc455069994" </w:instrText>
          </w:r>
          <w:r>
            <w:rPr>
              <w:rFonts w:hint="eastAsia" w:asciiTheme="minorEastAsia" w:hAnsiTheme="minorEastAsia" w:eastAsiaTheme="minorEastAsia" w:cstheme="minorEastAsia"/>
              <w:sz w:val="24"/>
              <w:szCs w:val="24"/>
            </w:rPr>
            <w:fldChar w:fldCharType="separate"/>
          </w:r>
          <w:r>
            <w:rPr>
              <w:rStyle w:val="17"/>
              <w:rFonts w:hint="eastAsia" w:asciiTheme="minorEastAsia" w:hAnsiTheme="minorEastAsia" w:eastAsiaTheme="minorEastAsia" w:cstheme="minorEastAsia"/>
              <w:sz w:val="24"/>
              <w:szCs w:val="24"/>
            </w:rPr>
            <w:t>5.1风险管理小组成员及其职责</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_Toc455069994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2"/>
            <w:tabs>
              <w:tab w:val="right" w:leader="dot"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"_Toc455069995" </w:instrText>
          </w:r>
          <w:r>
            <w:rPr>
              <w:rFonts w:hint="eastAsia" w:asciiTheme="minorEastAsia" w:hAnsiTheme="minorEastAsia" w:eastAsiaTheme="minorEastAsia" w:cstheme="minorEastAsia"/>
              <w:sz w:val="24"/>
              <w:szCs w:val="24"/>
            </w:rPr>
            <w:fldChar w:fldCharType="separate"/>
          </w:r>
          <w:r>
            <w:rPr>
              <w:rStyle w:val="17"/>
              <w:rFonts w:hint="eastAsia" w:asciiTheme="minorEastAsia" w:hAnsiTheme="minorEastAsia" w:eastAsiaTheme="minorEastAsia" w:cstheme="minorEastAsia"/>
              <w:sz w:val="24"/>
              <w:szCs w:val="24"/>
            </w:rPr>
            <w:t>5.2对评审活动的要求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_Toc455069995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1"/>
            <w:tabs>
              <w:tab w:val="left" w:pos="630"/>
              <w:tab w:val="right" w:leader="dot"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"_Toc455069996" </w:instrText>
          </w:r>
          <w:r>
            <w:rPr>
              <w:rFonts w:hint="eastAsia" w:asciiTheme="minorEastAsia" w:hAnsiTheme="minorEastAsia" w:eastAsiaTheme="minorEastAsia" w:cstheme="minorEastAsia"/>
              <w:sz w:val="24"/>
              <w:szCs w:val="24"/>
            </w:rPr>
            <w:fldChar w:fldCharType="separate"/>
          </w:r>
          <w:r>
            <w:rPr>
              <w:rStyle w:val="17"/>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tab/>
          </w:r>
          <w:r>
            <w:rPr>
              <w:rStyle w:val="17"/>
              <w:rFonts w:hint="eastAsia" w:asciiTheme="minorEastAsia" w:hAnsiTheme="minorEastAsia" w:eastAsiaTheme="minorEastAsia" w:cstheme="minorEastAsia"/>
              <w:sz w:val="24"/>
              <w:szCs w:val="24"/>
            </w:rPr>
            <w:t>风险分析</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_Toc455069996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2"/>
            <w:tabs>
              <w:tab w:val="right" w:leader="dot"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"_Toc455069997" </w:instrText>
          </w:r>
          <w:r>
            <w:rPr>
              <w:rFonts w:hint="eastAsia" w:asciiTheme="minorEastAsia" w:hAnsiTheme="minorEastAsia" w:eastAsiaTheme="minorEastAsia" w:cstheme="minorEastAsia"/>
              <w:sz w:val="24"/>
              <w:szCs w:val="24"/>
            </w:rPr>
            <w:fldChar w:fldCharType="separate"/>
          </w:r>
          <w:r>
            <w:rPr>
              <w:rStyle w:val="17"/>
              <w:rFonts w:hint="eastAsia" w:asciiTheme="minorEastAsia" w:hAnsiTheme="minorEastAsia" w:eastAsiaTheme="minorEastAsia" w:cstheme="minorEastAsia"/>
              <w:sz w:val="24"/>
              <w:szCs w:val="24"/>
            </w:rPr>
            <w:t>6.1进行风险分析</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_Toc455069997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2"/>
            <w:tabs>
              <w:tab w:val="right" w:leader="dot"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"_Toc455069998" </w:instrText>
          </w:r>
          <w:r>
            <w:rPr>
              <w:rFonts w:hint="eastAsia" w:asciiTheme="minorEastAsia" w:hAnsiTheme="minorEastAsia" w:eastAsiaTheme="minorEastAsia" w:cstheme="minorEastAsia"/>
              <w:sz w:val="24"/>
              <w:szCs w:val="24"/>
            </w:rPr>
            <w:fldChar w:fldCharType="separate"/>
          </w:r>
          <w:r>
            <w:rPr>
              <w:rStyle w:val="17"/>
              <w:rFonts w:hint="eastAsia" w:asciiTheme="minorEastAsia" w:hAnsiTheme="minorEastAsia" w:eastAsiaTheme="minorEastAsia" w:cstheme="minorEastAsia"/>
              <w:sz w:val="24"/>
              <w:szCs w:val="24"/>
            </w:rPr>
            <w:t>6.2风险分析的内容</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_Toc455069998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2"/>
            <w:tabs>
              <w:tab w:val="right" w:leader="dot"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"_Toc455069999" </w:instrText>
          </w:r>
          <w:r>
            <w:rPr>
              <w:rFonts w:hint="eastAsia" w:asciiTheme="minorEastAsia" w:hAnsiTheme="minorEastAsia" w:eastAsiaTheme="minorEastAsia" w:cstheme="minorEastAsia"/>
              <w:sz w:val="24"/>
              <w:szCs w:val="24"/>
            </w:rPr>
            <w:fldChar w:fldCharType="separate"/>
          </w:r>
          <w:r>
            <w:rPr>
              <w:rStyle w:val="17"/>
              <w:rFonts w:hint="eastAsia" w:asciiTheme="minorEastAsia" w:hAnsiTheme="minorEastAsia" w:eastAsiaTheme="minorEastAsia" w:cstheme="minorEastAsia"/>
              <w:sz w:val="24"/>
              <w:szCs w:val="24"/>
            </w:rPr>
            <w:t>6.3风险分析的方法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_Toc455069999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1"/>
            <w:tabs>
              <w:tab w:val="left" w:pos="630"/>
              <w:tab w:val="right" w:leader="dot"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"_Toc455070000" </w:instrText>
          </w:r>
          <w:r>
            <w:rPr>
              <w:rFonts w:hint="eastAsia" w:asciiTheme="minorEastAsia" w:hAnsiTheme="minorEastAsia" w:eastAsiaTheme="minorEastAsia" w:cstheme="minorEastAsia"/>
              <w:sz w:val="24"/>
              <w:szCs w:val="24"/>
            </w:rPr>
            <w:fldChar w:fldCharType="separate"/>
          </w:r>
          <w:r>
            <w:rPr>
              <w:rStyle w:val="17"/>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tab/>
          </w:r>
          <w:r>
            <w:rPr>
              <w:rStyle w:val="17"/>
              <w:rFonts w:hint="eastAsia" w:asciiTheme="minorEastAsia" w:hAnsiTheme="minorEastAsia" w:eastAsiaTheme="minorEastAsia" w:cstheme="minorEastAsia"/>
              <w:sz w:val="24"/>
              <w:szCs w:val="24"/>
            </w:rPr>
            <w:t>风险可接收性准则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_Toc455070000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2"/>
            <w:tabs>
              <w:tab w:val="right" w:leader="dot"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"_Toc455070001" </w:instrText>
          </w:r>
          <w:r>
            <w:rPr>
              <w:rFonts w:hint="eastAsia" w:asciiTheme="minorEastAsia" w:hAnsiTheme="minorEastAsia" w:eastAsiaTheme="minorEastAsia" w:cstheme="minorEastAsia"/>
              <w:sz w:val="24"/>
              <w:szCs w:val="24"/>
            </w:rPr>
            <w:fldChar w:fldCharType="separate"/>
          </w:r>
          <w:r>
            <w:rPr>
              <w:rStyle w:val="17"/>
              <w:rFonts w:hint="eastAsia" w:asciiTheme="minorEastAsia" w:hAnsiTheme="minorEastAsia" w:eastAsiaTheme="minorEastAsia" w:cstheme="minorEastAsia"/>
              <w:sz w:val="24"/>
              <w:szCs w:val="24"/>
            </w:rPr>
            <w:t>7.1损害发生的概率等级</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_Toc455070001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2"/>
            <w:tabs>
              <w:tab w:val="right" w:leader="dot"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"_Toc455070002" </w:instrText>
          </w:r>
          <w:r>
            <w:rPr>
              <w:rFonts w:hint="eastAsia" w:asciiTheme="minorEastAsia" w:hAnsiTheme="minorEastAsia" w:eastAsiaTheme="minorEastAsia" w:cstheme="minorEastAsia"/>
              <w:sz w:val="24"/>
              <w:szCs w:val="24"/>
            </w:rPr>
            <w:fldChar w:fldCharType="separate"/>
          </w:r>
          <w:r>
            <w:rPr>
              <w:rStyle w:val="17"/>
              <w:rFonts w:hint="eastAsia" w:asciiTheme="minorEastAsia" w:hAnsiTheme="minorEastAsia" w:eastAsiaTheme="minorEastAsia" w:cstheme="minorEastAsia"/>
              <w:sz w:val="24"/>
              <w:szCs w:val="24"/>
            </w:rPr>
            <w:t>7.2损害的严重度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_Toc455070002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2"/>
            <w:tabs>
              <w:tab w:val="right" w:leader="dot"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"_Toc455070003" </w:instrText>
          </w:r>
          <w:r>
            <w:rPr>
              <w:rFonts w:hint="eastAsia" w:asciiTheme="minorEastAsia" w:hAnsiTheme="minorEastAsia" w:eastAsiaTheme="minorEastAsia" w:cstheme="minorEastAsia"/>
              <w:sz w:val="24"/>
              <w:szCs w:val="24"/>
            </w:rPr>
            <w:fldChar w:fldCharType="separate"/>
          </w:r>
          <w:r>
            <w:rPr>
              <w:rStyle w:val="17"/>
              <w:rFonts w:hint="eastAsia" w:asciiTheme="minorEastAsia" w:hAnsiTheme="minorEastAsia" w:eastAsiaTheme="minorEastAsia" w:cstheme="minorEastAsia"/>
              <w:sz w:val="24"/>
              <w:szCs w:val="24"/>
            </w:rPr>
            <w:t>7.3可接受风险决策方法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_Toc455070003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2"/>
            <w:tabs>
              <w:tab w:val="right" w:leader="dot"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"_Toc455070004" </w:instrText>
          </w:r>
          <w:r>
            <w:rPr>
              <w:rFonts w:hint="eastAsia" w:asciiTheme="minorEastAsia" w:hAnsiTheme="minorEastAsia" w:eastAsiaTheme="minorEastAsia" w:cstheme="minorEastAsia"/>
              <w:sz w:val="24"/>
              <w:szCs w:val="24"/>
            </w:rPr>
            <w:fldChar w:fldCharType="separate"/>
          </w:r>
          <w:r>
            <w:rPr>
              <w:rStyle w:val="17"/>
              <w:rFonts w:hint="eastAsia" w:asciiTheme="minorEastAsia" w:hAnsiTheme="minorEastAsia" w:eastAsiaTheme="minorEastAsia" w:cstheme="minorEastAsia"/>
              <w:sz w:val="24"/>
              <w:szCs w:val="24"/>
            </w:rPr>
            <w:t>7.4风险评价</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_Toc455070004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1"/>
            <w:tabs>
              <w:tab w:val="left" w:pos="630"/>
              <w:tab w:val="right" w:leader="dot"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"_Toc455070005" </w:instrText>
          </w:r>
          <w:r>
            <w:rPr>
              <w:rFonts w:hint="eastAsia" w:asciiTheme="minorEastAsia" w:hAnsiTheme="minorEastAsia" w:eastAsiaTheme="minorEastAsia" w:cstheme="minorEastAsia"/>
              <w:sz w:val="24"/>
              <w:szCs w:val="24"/>
            </w:rPr>
            <w:fldChar w:fldCharType="separate"/>
          </w:r>
          <w:r>
            <w:rPr>
              <w:rStyle w:val="17"/>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tab/>
          </w:r>
          <w:r>
            <w:rPr>
              <w:rStyle w:val="17"/>
              <w:rFonts w:hint="eastAsia" w:asciiTheme="minorEastAsia" w:hAnsiTheme="minorEastAsia" w:eastAsiaTheme="minorEastAsia" w:cstheme="minorEastAsia"/>
              <w:sz w:val="24"/>
              <w:szCs w:val="24"/>
            </w:rPr>
            <w:t>风险控制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_Toc455070005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1"/>
            <w:tabs>
              <w:tab w:val="left" w:pos="630"/>
              <w:tab w:val="right" w:leader="dot"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"_Toc455070006" </w:instrText>
          </w:r>
          <w:r>
            <w:rPr>
              <w:rFonts w:hint="eastAsia" w:asciiTheme="minorEastAsia" w:hAnsiTheme="minorEastAsia" w:eastAsiaTheme="minorEastAsia" w:cstheme="minorEastAsia"/>
              <w:sz w:val="24"/>
              <w:szCs w:val="24"/>
            </w:rPr>
            <w:fldChar w:fldCharType="separate"/>
          </w:r>
          <w:r>
            <w:rPr>
              <w:rStyle w:val="17"/>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tab/>
          </w:r>
          <w:r>
            <w:rPr>
              <w:rStyle w:val="17"/>
              <w:rFonts w:hint="eastAsia" w:asciiTheme="minorEastAsia" w:hAnsiTheme="minorEastAsia" w:eastAsiaTheme="minorEastAsia" w:cstheme="minorEastAsia"/>
              <w:sz w:val="24"/>
              <w:szCs w:val="24"/>
            </w:rPr>
            <w:t>验证活动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_Toc455070006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1"/>
            <w:tabs>
              <w:tab w:val="left" w:pos="840"/>
              <w:tab w:val="right" w:leader="dot"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"_Toc455070007" </w:instrText>
          </w:r>
          <w:r>
            <w:rPr>
              <w:rFonts w:hint="eastAsia" w:asciiTheme="minorEastAsia" w:hAnsiTheme="minorEastAsia" w:eastAsiaTheme="minorEastAsia" w:cstheme="minorEastAsia"/>
              <w:sz w:val="24"/>
              <w:szCs w:val="24"/>
            </w:rPr>
            <w:fldChar w:fldCharType="separate"/>
          </w:r>
          <w:r>
            <w:rPr>
              <w:rStyle w:val="17"/>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rPr>
            <w:tab/>
          </w:r>
          <w:r>
            <w:rPr>
              <w:rStyle w:val="17"/>
              <w:rFonts w:hint="eastAsia" w:asciiTheme="minorEastAsia" w:hAnsiTheme="minorEastAsia" w:eastAsiaTheme="minorEastAsia" w:cstheme="minorEastAsia"/>
              <w:sz w:val="24"/>
              <w:szCs w:val="24"/>
            </w:rPr>
            <w:t>剩余风险分析</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_Toc455070007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1"/>
            <w:tabs>
              <w:tab w:val="left" w:pos="840"/>
              <w:tab w:val="right" w:leader="dot"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"_Toc455070008" </w:instrText>
          </w:r>
          <w:r>
            <w:rPr>
              <w:rFonts w:hint="eastAsia" w:asciiTheme="minorEastAsia" w:hAnsiTheme="minorEastAsia" w:eastAsiaTheme="minorEastAsia" w:cstheme="minorEastAsia"/>
              <w:sz w:val="24"/>
              <w:szCs w:val="24"/>
            </w:rPr>
            <w:fldChar w:fldCharType="separate"/>
          </w:r>
          <w:r>
            <w:rPr>
              <w:rStyle w:val="17"/>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rPr>
            <w:tab/>
          </w:r>
          <w:r>
            <w:rPr>
              <w:rStyle w:val="17"/>
              <w:rFonts w:hint="eastAsia" w:asciiTheme="minorEastAsia" w:hAnsiTheme="minorEastAsia" w:eastAsiaTheme="minorEastAsia" w:cstheme="minorEastAsia"/>
              <w:sz w:val="24"/>
              <w:szCs w:val="24"/>
            </w:rPr>
            <w:t>生产和生产后信息</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_Toc455070008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1"/>
            <w:tabs>
              <w:tab w:val="left" w:pos="840"/>
              <w:tab w:val="right" w:leader="dot"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"_Toc455070009" </w:instrText>
          </w:r>
          <w:r>
            <w:rPr>
              <w:rFonts w:hint="eastAsia" w:asciiTheme="minorEastAsia" w:hAnsiTheme="minorEastAsia" w:eastAsiaTheme="minorEastAsia" w:cstheme="minorEastAsia"/>
              <w:sz w:val="24"/>
              <w:szCs w:val="24"/>
            </w:rPr>
            <w:fldChar w:fldCharType="separate"/>
          </w:r>
          <w:r>
            <w:rPr>
              <w:rStyle w:val="17"/>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tab/>
          </w:r>
          <w:r>
            <w:rPr>
              <w:rStyle w:val="17"/>
              <w:rFonts w:hint="eastAsia" w:asciiTheme="minorEastAsia" w:hAnsiTheme="minorEastAsia" w:eastAsiaTheme="minorEastAsia" w:cstheme="minorEastAsia"/>
              <w:sz w:val="24"/>
              <w:szCs w:val="24"/>
            </w:rPr>
            <w:t>年度风险分析</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_Toc455070009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1"/>
            <w:tabs>
              <w:tab w:val="left" w:pos="840"/>
              <w:tab w:val="right" w:leader="dot"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"_Toc455070010" </w:instrText>
          </w:r>
          <w:r>
            <w:rPr>
              <w:rFonts w:hint="eastAsia" w:asciiTheme="minorEastAsia" w:hAnsiTheme="minorEastAsia" w:eastAsiaTheme="minorEastAsia" w:cstheme="minorEastAsia"/>
              <w:sz w:val="24"/>
              <w:szCs w:val="24"/>
            </w:rPr>
            <w:fldChar w:fldCharType="separate"/>
          </w:r>
          <w:r>
            <w:rPr>
              <w:rStyle w:val="17"/>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rPr>
            <w:tab/>
          </w:r>
          <w:r>
            <w:rPr>
              <w:rStyle w:val="17"/>
              <w:rFonts w:hint="eastAsia" w:asciiTheme="minorEastAsia" w:hAnsiTheme="minorEastAsia" w:eastAsiaTheme="minorEastAsia" w:cstheme="minorEastAsia"/>
              <w:sz w:val="24"/>
              <w:szCs w:val="24"/>
            </w:rPr>
            <w:t>风险管理报告</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_Toc455070010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end"/>
          </w:r>
        </w:p>
      </w:sdtContent>
    </w:sdt>
    <w:p>
      <w:pPr>
        <w:widowControl/>
        <w:jc w:val="left"/>
        <w:rPr>
          <w:rFonts w:hint="eastAsia" w:asciiTheme="minorEastAsia" w:hAnsiTheme="minorEastAsia" w:eastAsiaTheme="minorEastAsia" w:cstheme="minorEastAsia"/>
          <w:b/>
          <w:bCs/>
          <w:kern w:val="44"/>
          <w:sz w:val="24"/>
          <w:szCs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0"/>
          <w:cols w:space="425" w:num="1"/>
          <w:titlePg/>
          <w:docGrid w:type="lines" w:linePitch="312" w:charSpace="0"/>
        </w:sectPr>
      </w:pPr>
    </w:p>
    <w:p>
      <w:pPr>
        <w:pStyle w:val="2"/>
        <w:numPr>
          <w:ilvl w:val="0"/>
          <w:numId w:val="2"/>
        </w:numPr>
        <w:spacing w:before="0" w:after="0" w:line="360" w:lineRule="auto"/>
        <w:ind w:left="448" w:hanging="448"/>
        <w:rPr>
          <w:rFonts w:hint="eastAsia" w:asciiTheme="minorEastAsia" w:hAnsiTheme="minorEastAsia" w:eastAsiaTheme="minorEastAsia" w:cstheme="minorEastAsia"/>
          <w:sz w:val="24"/>
          <w:szCs w:val="24"/>
        </w:rPr>
      </w:pPr>
      <w:bookmarkStart w:id="3" w:name="_Toc455069982"/>
      <w:r>
        <w:rPr>
          <w:rFonts w:hint="eastAsia" w:asciiTheme="minorEastAsia" w:hAnsiTheme="minorEastAsia" w:eastAsiaTheme="minorEastAsia" w:cstheme="minorEastAsia"/>
          <w:sz w:val="24"/>
          <w:szCs w:val="24"/>
        </w:rPr>
        <w:t>背景</w:t>
      </w:r>
      <w:bookmarkEnd w:id="3"/>
    </w:p>
    <w:p>
      <w:pPr>
        <w:pStyle w:val="2"/>
        <w:spacing w:before="0" w:after="0" w:line="360" w:lineRule="auto"/>
        <w:rPr>
          <w:rFonts w:hint="eastAsia" w:asciiTheme="minorEastAsia" w:hAnsiTheme="minorEastAsia" w:eastAsiaTheme="minorEastAsia" w:cstheme="minorEastAsia"/>
          <w:sz w:val="24"/>
          <w:szCs w:val="24"/>
        </w:rPr>
      </w:pPr>
      <w:bookmarkStart w:id="4" w:name="_Toc455069983"/>
      <w:bookmarkStart w:id="5" w:name="_Toc424200014"/>
      <w:r>
        <w:rPr>
          <w:rFonts w:hint="eastAsia" w:asciiTheme="minorEastAsia" w:hAnsiTheme="minorEastAsia" w:eastAsiaTheme="minorEastAsia" w:cstheme="minorEastAsia"/>
          <w:sz w:val="24"/>
          <w:szCs w:val="24"/>
        </w:rPr>
        <w:t>1.1目的</w:t>
      </w:r>
      <w:bookmarkEnd w:id="4"/>
      <w:bookmarkEnd w:id="5"/>
    </w:p>
    <w:p>
      <w:pPr>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本风险管理计划按照ISO14971以及产品适用的相应国际标准，对</w:t>
      </w:r>
      <w:r>
        <w:rPr>
          <w:rFonts w:hint="eastAsia" w:asciiTheme="minorEastAsia" w:hAnsiTheme="minorEastAsia" w:eastAsiaTheme="minorEastAsia" w:cstheme="minorEastAsia"/>
          <w:color w:val="FF0000"/>
          <w:sz w:val="24"/>
          <w:szCs w:val="24"/>
        </w:rPr>
        <w:t>XX</w:t>
      </w:r>
      <w:r>
        <w:rPr>
          <w:rFonts w:hint="eastAsia" w:asciiTheme="minorEastAsia" w:hAnsiTheme="minorEastAsia" w:eastAsiaTheme="minorEastAsia" w:cstheme="minorEastAsia"/>
          <w:sz w:val="24"/>
          <w:szCs w:val="24"/>
        </w:rPr>
        <w:t>产品在其整个生命周期内的风险管理活动进行指导。通过对产品的风险管理活动，使产品在预期用途使用条件下，对病人、使用者、环境以及其他相关人员的风险降低到最低的、可接受的水平。</w:t>
      </w:r>
    </w:p>
    <w:p>
      <w:pPr>
        <w:pStyle w:val="3"/>
        <w:spacing w:before="0" w:after="0" w:line="415" w:lineRule="auto"/>
        <w:rPr>
          <w:rFonts w:hint="eastAsia" w:asciiTheme="minorEastAsia" w:hAnsiTheme="minorEastAsia" w:eastAsiaTheme="minorEastAsia" w:cstheme="minorEastAsia"/>
          <w:sz w:val="24"/>
          <w:szCs w:val="24"/>
        </w:rPr>
      </w:pPr>
      <w:bookmarkStart w:id="6" w:name="_Toc424200015"/>
      <w:bookmarkStart w:id="7" w:name="_Toc455069984"/>
      <w:r>
        <w:rPr>
          <w:rFonts w:hint="eastAsia" w:asciiTheme="minorEastAsia" w:hAnsiTheme="minorEastAsia" w:eastAsiaTheme="minorEastAsia" w:cstheme="minorEastAsia"/>
          <w:sz w:val="24"/>
          <w:szCs w:val="24"/>
        </w:rPr>
        <w:t>1.2范围</w:t>
      </w:r>
      <w:bookmarkEnd w:id="6"/>
      <w:bookmarkEnd w:id="7"/>
    </w:p>
    <w:p>
      <w:pPr>
        <w:spacing w:line="360" w:lineRule="auto"/>
        <w:ind w:firstLine="420"/>
        <w:rPr>
          <w:rFonts w:hint="eastAsia" w:asciiTheme="minorEastAsia" w:hAnsiTheme="minorEastAsia" w:eastAsiaTheme="minorEastAsia" w:cstheme="minorEastAsia"/>
          <w:i/>
          <w:color w:val="0000FF"/>
          <w:sz w:val="24"/>
          <w:szCs w:val="24"/>
        </w:rPr>
      </w:pPr>
      <w:bookmarkStart w:id="8" w:name="OLE_LINK5"/>
      <w:bookmarkStart w:id="9" w:name="OLE_LINK4"/>
      <w:r>
        <w:rPr>
          <w:rFonts w:hint="eastAsia" w:asciiTheme="minorEastAsia" w:hAnsiTheme="minorEastAsia" w:eastAsiaTheme="minorEastAsia" w:cstheme="minorEastAsia"/>
          <w:sz w:val="24"/>
          <w:szCs w:val="24"/>
        </w:rPr>
        <w:t>本计划适用于</w:t>
      </w:r>
      <w:r>
        <w:rPr>
          <w:rFonts w:hint="eastAsia" w:asciiTheme="minorEastAsia" w:hAnsiTheme="minorEastAsia" w:eastAsiaTheme="minorEastAsia" w:cstheme="minorEastAsia"/>
          <w:color w:val="FF0000"/>
          <w:sz w:val="24"/>
          <w:szCs w:val="24"/>
        </w:rPr>
        <w:t>XX</w:t>
      </w:r>
      <w:r>
        <w:rPr>
          <w:rFonts w:hint="eastAsia" w:asciiTheme="minorEastAsia" w:hAnsiTheme="minorEastAsia" w:eastAsiaTheme="minorEastAsia" w:cstheme="minorEastAsia"/>
          <w:sz w:val="24"/>
          <w:szCs w:val="24"/>
        </w:rPr>
        <w:t>产品在整个生命周期内所有阶段（包括设计开发、产品实现、最终停用和处置阶段）的风险管理与控制。按照本计划，判定</w:t>
      </w:r>
      <w:r>
        <w:rPr>
          <w:rFonts w:hint="eastAsia" w:asciiTheme="minorEastAsia" w:hAnsiTheme="minorEastAsia" w:eastAsiaTheme="minorEastAsia" w:cstheme="minorEastAsia"/>
          <w:color w:val="FF0000"/>
          <w:sz w:val="24"/>
          <w:szCs w:val="24"/>
        </w:rPr>
        <w:t>XX</w:t>
      </w:r>
      <w:r>
        <w:rPr>
          <w:rFonts w:hint="eastAsia" w:asciiTheme="minorEastAsia" w:hAnsiTheme="minorEastAsia" w:eastAsiaTheme="minorEastAsia" w:cstheme="minorEastAsia"/>
          <w:sz w:val="24"/>
          <w:szCs w:val="24"/>
        </w:rPr>
        <w:t>产品及其附件有关的危害，估计和评价风险，控制这些风险，并监控控制措施的有效性。本风险管理计划的范围包括仪器整机系统以及由于其他配附件失效可能导致的仪器整机风险，对于配附件以本身不作风险分析。配附件的风险分析由进货检验以及采购质量保证予以保证。</w:t>
      </w:r>
    </w:p>
    <w:bookmarkEnd w:id="8"/>
    <w:bookmarkEnd w:id="9"/>
    <w:p>
      <w:pPr>
        <w:pStyle w:val="2"/>
        <w:numPr>
          <w:ilvl w:val="0"/>
          <w:numId w:val="2"/>
        </w:numPr>
        <w:spacing w:before="0" w:after="0" w:line="360" w:lineRule="auto"/>
        <w:ind w:left="448" w:hanging="448"/>
        <w:rPr>
          <w:rFonts w:hint="eastAsia" w:asciiTheme="minorEastAsia" w:hAnsiTheme="minorEastAsia" w:eastAsiaTheme="minorEastAsia" w:cstheme="minorEastAsia"/>
          <w:sz w:val="24"/>
          <w:szCs w:val="24"/>
        </w:rPr>
      </w:pPr>
      <w:bookmarkStart w:id="10" w:name="_Toc455069985"/>
      <w:r>
        <w:rPr>
          <w:rFonts w:hint="eastAsia" w:asciiTheme="minorEastAsia" w:hAnsiTheme="minorEastAsia" w:eastAsiaTheme="minorEastAsia" w:cstheme="minorEastAsia"/>
          <w:sz w:val="24"/>
          <w:szCs w:val="24"/>
        </w:rPr>
        <w:t>产品介绍</w:t>
      </w:r>
      <w:bookmarkEnd w:id="10"/>
    </w:p>
    <w:p>
      <w:pPr>
        <w:pStyle w:val="3"/>
        <w:spacing w:before="0" w:after="0" w:line="415" w:lineRule="auto"/>
        <w:rPr>
          <w:rFonts w:hint="eastAsia" w:asciiTheme="minorEastAsia" w:hAnsiTheme="minorEastAsia" w:eastAsiaTheme="minorEastAsia" w:cstheme="minorEastAsia"/>
          <w:sz w:val="24"/>
          <w:szCs w:val="24"/>
        </w:rPr>
      </w:pPr>
      <w:bookmarkStart w:id="11" w:name="_Toc455069986"/>
      <w:r>
        <w:rPr>
          <w:rFonts w:hint="eastAsia" w:asciiTheme="minorEastAsia" w:hAnsiTheme="minorEastAsia" w:eastAsiaTheme="minorEastAsia" w:cstheme="minorEastAsia"/>
          <w:sz w:val="24"/>
          <w:szCs w:val="24"/>
        </w:rPr>
        <w:t>2.1 产品描述</w:t>
      </w:r>
      <w:bookmarkEnd w:id="11"/>
    </w:p>
    <w:p>
      <w:pPr>
        <w:spacing w:line="360" w:lineRule="auto"/>
        <w:ind w:firstLine="420"/>
        <w:rPr>
          <w:rFonts w:hint="eastAsia" w:asciiTheme="minorEastAsia" w:hAnsiTheme="minorEastAsia" w:eastAsiaTheme="minorEastAsia" w:cstheme="minorEastAsia"/>
          <w:sz w:val="24"/>
          <w:szCs w:val="24"/>
        </w:rPr>
      </w:pPr>
    </w:p>
    <w:p>
      <w:pPr>
        <w:pStyle w:val="3"/>
        <w:spacing w:before="0" w:after="0" w:line="415" w:lineRule="auto"/>
        <w:rPr>
          <w:rFonts w:hint="eastAsia" w:asciiTheme="minorEastAsia" w:hAnsiTheme="minorEastAsia" w:eastAsiaTheme="minorEastAsia" w:cstheme="minorEastAsia"/>
          <w:sz w:val="24"/>
          <w:szCs w:val="24"/>
        </w:rPr>
      </w:pPr>
      <w:bookmarkStart w:id="12" w:name="_Toc455069987"/>
      <w:r>
        <w:rPr>
          <w:rFonts w:hint="eastAsia" w:asciiTheme="minorEastAsia" w:hAnsiTheme="minorEastAsia" w:eastAsiaTheme="minorEastAsia" w:cstheme="minorEastAsia"/>
          <w:sz w:val="24"/>
          <w:szCs w:val="24"/>
        </w:rPr>
        <w:t>2.2产品组成</w:t>
      </w:r>
      <w:bookmarkEnd w:id="12"/>
    </w:p>
    <w:p>
      <w:pPr>
        <w:spacing w:line="360" w:lineRule="auto"/>
        <w:ind w:firstLine="420"/>
        <w:rPr>
          <w:rFonts w:hint="eastAsia" w:asciiTheme="minorEastAsia" w:hAnsiTheme="minorEastAsia" w:eastAsiaTheme="minorEastAsia" w:cstheme="minorEastAsia"/>
          <w:sz w:val="24"/>
          <w:szCs w:val="24"/>
        </w:rPr>
      </w:pPr>
    </w:p>
    <w:p>
      <w:pPr>
        <w:pStyle w:val="3"/>
        <w:spacing w:before="0" w:after="0" w:line="415" w:lineRule="auto"/>
        <w:rPr>
          <w:rFonts w:hint="eastAsia" w:asciiTheme="minorEastAsia" w:hAnsiTheme="minorEastAsia" w:eastAsiaTheme="minorEastAsia" w:cstheme="minorEastAsia"/>
          <w:sz w:val="24"/>
          <w:szCs w:val="24"/>
        </w:rPr>
      </w:pPr>
      <w:bookmarkStart w:id="13" w:name="_Toc455069988"/>
      <w:r>
        <w:rPr>
          <w:rFonts w:hint="eastAsia" w:asciiTheme="minorEastAsia" w:hAnsiTheme="minorEastAsia" w:eastAsiaTheme="minorEastAsia" w:cstheme="minorEastAsia"/>
          <w:sz w:val="24"/>
          <w:szCs w:val="24"/>
        </w:rPr>
        <w:t>2.3工作原理</w:t>
      </w:r>
      <w:bookmarkEnd w:id="13"/>
    </w:p>
    <w:p>
      <w:pPr>
        <w:spacing w:line="360" w:lineRule="auto"/>
        <w:ind w:firstLine="420"/>
        <w:rPr>
          <w:rFonts w:hint="eastAsia" w:asciiTheme="minorEastAsia" w:hAnsiTheme="minorEastAsia" w:eastAsiaTheme="minorEastAsia" w:cstheme="minorEastAsia"/>
          <w:sz w:val="24"/>
          <w:szCs w:val="24"/>
        </w:rPr>
      </w:pPr>
      <w:bookmarkStart w:id="14" w:name="_Toc361847743"/>
      <w:bookmarkStart w:id="15" w:name="_Toc451939577"/>
    </w:p>
    <w:p>
      <w:pPr>
        <w:pStyle w:val="3"/>
        <w:spacing w:before="0" w:after="0" w:line="415" w:lineRule="auto"/>
        <w:rPr>
          <w:rFonts w:hint="eastAsia" w:asciiTheme="minorEastAsia" w:hAnsiTheme="minorEastAsia" w:eastAsiaTheme="minorEastAsia" w:cstheme="minorEastAsia"/>
          <w:sz w:val="24"/>
          <w:szCs w:val="24"/>
        </w:rPr>
      </w:pPr>
      <w:bookmarkStart w:id="16" w:name="_Toc455069989"/>
      <w:r>
        <w:rPr>
          <w:rFonts w:hint="eastAsia" w:asciiTheme="minorEastAsia" w:hAnsiTheme="minorEastAsia" w:eastAsiaTheme="minorEastAsia" w:cstheme="minorEastAsia"/>
          <w:sz w:val="24"/>
          <w:szCs w:val="24"/>
        </w:rPr>
        <w:t>2.4产品功能</w:t>
      </w:r>
      <w:bookmarkEnd w:id="14"/>
      <w:bookmarkEnd w:id="15"/>
      <w:bookmarkEnd w:id="16"/>
    </w:p>
    <w:p>
      <w:pPr>
        <w:spacing w:line="360" w:lineRule="auto"/>
        <w:ind w:firstLine="420"/>
        <w:rPr>
          <w:rFonts w:hint="eastAsia" w:asciiTheme="minorEastAsia" w:hAnsiTheme="minorEastAsia" w:eastAsiaTheme="minorEastAsia" w:cstheme="minorEastAsia"/>
          <w:sz w:val="24"/>
          <w:szCs w:val="24"/>
        </w:rPr>
      </w:pPr>
      <w:bookmarkStart w:id="17" w:name="_Toc451939578"/>
    </w:p>
    <w:p>
      <w:pPr>
        <w:pStyle w:val="3"/>
        <w:spacing w:before="0" w:after="0" w:line="415" w:lineRule="auto"/>
        <w:rPr>
          <w:rFonts w:hint="eastAsia" w:asciiTheme="minorEastAsia" w:hAnsiTheme="minorEastAsia" w:eastAsiaTheme="minorEastAsia" w:cstheme="minorEastAsia"/>
          <w:sz w:val="24"/>
          <w:szCs w:val="24"/>
        </w:rPr>
      </w:pPr>
      <w:bookmarkStart w:id="18" w:name="_Toc455069990"/>
      <w:r>
        <w:rPr>
          <w:rFonts w:hint="eastAsia" w:asciiTheme="minorEastAsia" w:hAnsiTheme="minorEastAsia" w:eastAsiaTheme="minorEastAsia" w:cstheme="minorEastAsia"/>
          <w:sz w:val="24"/>
          <w:szCs w:val="24"/>
        </w:rPr>
        <w:t>2.5预期使用寿命</w:t>
      </w:r>
      <w:bookmarkEnd w:id="17"/>
      <w:bookmarkEnd w:id="18"/>
    </w:p>
    <w:p>
      <w:pPr>
        <w:spacing w:line="360" w:lineRule="auto"/>
        <w:ind w:firstLine="420"/>
        <w:rPr>
          <w:rFonts w:hint="eastAsia" w:asciiTheme="minorEastAsia" w:hAnsiTheme="minorEastAsia" w:eastAsiaTheme="minorEastAsia" w:cstheme="minorEastAsia"/>
          <w:sz w:val="24"/>
          <w:szCs w:val="24"/>
        </w:rPr>
      </w:pPr>
    </w:p>
    <w:p>
      <w:pPr>
        <w:pStyle w:val="2"/>
        <w:numPr>
          <w:ilvl w:val="0"/>
          <w:numId w:val="2"/>
        </w:numPr>
        <w:spacing w:before="0" w:after="0" w:line="360" w:lineRule="auto"/>
        <w:ind w:left="448" w:hanging="44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风险管理小组</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公司组成了风险管理小组，确定了对风险管理的负责人，确保风险管理活动有效地实施。</w:t>
      </w:r>
    </w:p>
    <w:tbl>
      <w:tblPr>
        <w:tblStyle w:val="14"/>
        <w:tblW w:w="8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2413"/>
        <w:gridCol w:w="5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122" w:type="dxa"/>
            <w:noWrap w:val="0"/>
            <w:vAlign w:val="center"/>
          </w:tcPr>
          <w:p>
            <w:pPr>
              <w:jc w:val="center"/>
              <w:rPr>
                <w:rFonts w:hint="eastAsia" w:asciiTheme="minorEastAsia" w:hAnsiTheme="minorEastAsia" w:eastAsiaTheme="minorEastAsia" w:cstheme="minorEastAsia"/>
                <w:sz w:val="24"/>
                <w:szCs w:val="24"/>
              </w:rPr>
            </w:pPr>
            <w:bookmarkStart w:id="19" w:name="_Toc455069992"/>
            <w:r>
              <w:rPr>
                <w:rFonts w:hint="eastAsia" w:asciiTheme="minorEastAsia" w:hAnsiTheme="minorEastAsia" w:eastAsiaTheme="minorEastAsia" w:cstheme="minorEastAsia"/>
                <w:sz w:val="24"/>
                <w:szCs w:val="24"/>
              </w:rPr>
              <w:t>参与人员</w:t>
            </w:r>
          </w:p>
        </w:tc>
        <w:tc>
          <w:tcPr>
            <w:tcW w:w="2413" w:type="dxa"/>
            <w:noWrap w:val="0"/>
            <w:vAlign w:val="center"/>
          </w:tcPr>
          <w:p>
            <w:pPr>
              <w:jc w:val="center"/>
              <w:rPr>
                <w:rFonts w:hint="eastAsia" w:asciiTheme="minorEastAsia" w:hAnsiTheme="minorEastAsia" w:eastAsiaTheme="minorEastAsia" w:cstheme="minorEastAsia"/>
                <w:sz w:val="24"/>
                <w:szCs w:val="24"/>
                <w:lang w:eastAsia="ar-SA"/>
              </w:rPr>
            </w:pPr>
            <w:r>
              <w:rPr>
                <w:rFonts w:hint="eastAsia" w:asciiTheme="minorEastAsia" w:hAnsiTheme="minorEastAsia" w:eastAsiaTheme="minorEastAsia" w:cstheme="minorEastAsia"/>
                <w:sz w:val="24"/>
                <w:szCs w:val="24"/>
              </w:rPr>
              <w:t>风险管理活动角色</w:t>
            </w:r>
            <w:bookmarkStart w:id="40" w:name="_GoBack"/>
            <w:bookmarkEnd w:id="40"/>
          </w:p>
          <w:p>
            <w:pPr>
              <w:pStyle w:val="7"/>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lang w:eastAsia="zh-CN"/>
              </w:rPr>
              <w:t>同风险管理计划</w:t>
            </w:r>
            <w:r>
              <w:rPr>
                <w:rFonts w:hint="eastAsia" w:asciiTheme="minorEastAsia" w:hAnsiTheme="minorEastAsia" w:cstheme="minorEastAsia"/>
                <w:sz w:val="24"/>
                <w:szCs w:val="24"/>
                <w:lang w:eastAsia="zh-CN"/>
              </w:rPr>
              <w:t>】</w:t>
            </w:r>
          </w:p>
        </w:tc>
        <w:tc>
          <w:tcPr>
            <w:tcW w:w="5318"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风险管理活动职责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122" w:type="dxa"/>
            <w:shd w:val="clear" w:color="auto" w:fill="auto"/>
            <w:noWrap w:val="0"/>
            <w:vAlign w:val="center"/>
          </w:tcPr>
          <w:p>
            <w:pPr>
              <w:jc w:val="center"/>
              <w:rPr>
                <w:rFonts w:hint="eastAsia" w:asciiTheme="minorEastAsia" w:hAnsiTheme="minorEastAsia" w:eastAsiaTheme="minorEastAsia" w:cstheme="minorEastAsia"/>
                <w:sz w:val="24"/>
                <w:szCs w:val="24"/>
              </w:rPr>
            </w:pPr>
          </w:p>
        </w:tc>
        <w:tc>
          <w:tcPr>
            <w:tcW w:w="2413" w:type="dxa"/>
            <w:shd w:val="clear" w:color="auto" w:fill="auto"/>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风险管理小组组长</w:t>
            </w:r>
          </w:p>
        </w:tc>
        <w:tc>
          <w:tcPr>
            <w:tcW w:w="5318" w:type="dxa"/>
            <w:shd w:val="clear" w:color="auto" w:fill="auto"/>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负责批准风险可接受准则，并最终决定该产品风险管理活动是否有效。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shd w:val="clear" w:color="auto" w:fill="auto"/>
            <w:noWrap w:val="0"/>
            <w:vAlign w:val="top"/>
          </w:tcPr>
          <w:p>
            <w:pPr>
              <w:jc w:val="center"/>
              <w:rPr>
                <w:rFonts w:hint="eastAsia" w:asciiTheme="minorEastAsia" w:hAnsiTheme="minorEastAsia" w:eastAsiaTheme="minorEastAsia" w:cstheme="minorEastAsia"/>
                <w:sz w:val="24"/>
                <w:szCs w:val="24"/>
              </w:rPr>
            </w:pPr>
          </w:p>
        </w:tc>
        <w:tc>
          <w:tcPr>
            <w:tcW w:w="2413" w:type="dxa"/>
            <w:shd w:val="clear" w:color="auto" w:fill="auto"/>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产品安全工程师</w:t>
            </w:r>
          </w:p>
        </w:tc>
        <w:tc>
          <w:tcPr>
            <w:tcW w:w="5318" w:type="dxa"/>
            <w:shd w:val="clear" w:color="auto" w:fill="auto"/>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负责关注是否符合法规和标准的要求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shd w:val="clear" w:color="auto" w:fill="auto"/>
            <w:noWrap w:val="0"/>
            <w:vAlign w:val="top"/>
          </w:tcPr>
          <w:p>
            <w:pPr>
              <w:jc w:val="center"/>
              <w:rPr>
                <w:rFonts w:hint="eastAsia" w:asciiTheme="minorEastAsia" w:hAnsiTheme="minorEastAsia" w:eastAsiaTheme="minorEastAsia" w:cstheme="minorEastAsia"/>
                <w:sz w:val="24"/>
                <w:szCs w:val="24"/>
              </w:rPr>
            </w:pPr>
          </w:p>
        </w:tc>
        <w:tc>
          <w:tcPr>
            <w:tcW w:w="2413" w:type="dxa"/>
            <w:shd w:val="clear" w:color="auto" w:fill="auto"/>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产品认证工程师</w:t>
            </w:r>
          </w:p>
        </w:tc>
        <w:tc>
          <w:tcPr>
            <w:tcW w:w="5318" w:type="dxa"/>
            <w:shd w:val="clear" w:color="auto" w:fill="auto"/>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负责关注是否符合法规和标准的要求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shd w:val="clear" w:color="auto" w:fill="auto"/>
            <w:noWrap w:val="0"/>
            <w:vAlign w:val="top"/>
          </w:tcPr>
          <w:p>
            <w:pPr>
              <w:jc w:val="center"/>
              <w:rPr>
                <w:rFonts w:hint="eastAsia" w:asciiTheme="minorEastAsia" w:hAnsiTheme="minorEastAsia" w:eastAsiaTheme="minorEastAsia" w:cstheme="minorEastAsia"/>
                <w:sz w:val="24"/>
                <w:szCs w:val="24"/>
              </w:rPr>
            </w:pPr>
          </w:p>
        </w:tc>
        <w:tc>
          <w:tcPr>
            <w:tcW w:w="2413" w:type="dxa"/>
            <w:shd w:val="clear" w:color="auto" w:fill="auto"/>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临床工程师</w:t>
            </w:r>
          </w:p>
        </w:tc>
        <w:tc>
          <w:tcPr>
            <w:tcW w:w="5318" w:type="dxa"/>
            <w:shd w:val="clear" w:color="auto" w:fill="auto"/>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负责从临床角度关注风险是否被有效降低到了可接受范围内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shd w:val="clear" w:color="auto" w:fill="auto"/>
            <w:noWrap w:val="0"/>
            <w:vAlign w:val="top"/>
          </w:tcPr>
          <w:p>
            <w:pPr>
              <w:jc w:val="center"/>
              <w:rPr>
                <w:rFonts w:hint="eastAsia" w:asciiTheme="minorEastAsia" w:hAnsiTheme="minorEastAsia" w:eastAsiaTheme="minorEastAsia" w:cstheme="minorEastAsia"/>
                <w:sz w:val="24"/>
                <w:szCs w:val="24"/>
              </w:rPr>
            </w:pPr>
          </w:p>
        </w:tc>
        <w:tc>
          <w:tcPr>
            <w:tcW w:w="2413" w:type="dxa"/>
            <w:shd w:val="clear" w:color="auto" w:fill="auto"/>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系统设计工程师</w:t>
            </w:r>
          </w:p>
        </w:tc>
        <w:tc>
          <w:tcPr>
            <w:tcW w:w="5318" w:type="dxa"/>
            <w:shd w:val="clear" w:color="auto" w:fill="auto"/>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负责从系统角度关注风险是否被有效降低到了可接受范围内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shd w:val="clear" w:color="auto" w:fill="auto"/>
            <w:noWrap w:val="0"/>
            <w:vAlign w:val="top"/>
          </w:tcPr>
          <w:p>
            <w:pPr>
              <w:jc w:val="center"/>
              <w:rPr>
                <w:rFonts w:hint="eastAsia" w:asciiTheme="minorEastAsia" w:hAnsiTheme="minorEastAsia" w:eastAsiaTheme="minorEastAsia" w:cstheme="minorEastAsia"/>
                <w:sz w:val="24"/>
                <w:szCs w:val="24"/>
              </w:rPr>
            </w:pPr>
          </w:p>
        </w:tc>
        <w:tc>
          <w:tcPr>
            <w:tcW w:w="2413" w:type="dxa"/>
            <w:shd w:val="clear" w:color="auto" w:fill="auto"/>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测试负责人</w:t>
            </w:r>
          </w:p>
        </w:tc>
        <w:tc>
          <w:tcPr>
            <w:tcW w:w="5318" w:type="dxa"/>
            <w:shd w:val="clear" w:color="auto" w:fill="auto"/>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负责关注风险控制措施的验证是否在整机测试中有效开展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shd w:val="clear" w:color="auto" w:fill="auto"/>
            <w:noWrap w:val="0"/>
            <w:vAlign w:val="top"/>
          </w:tcPr>
          <w:p>
            <w:pPr>
              <w:jc w:val="center"/>
              <w:rPr>
                <w:rFonts w:hint="eastAsia" w:asciiTheme="minorEastAsia" w:hAnsiTheme="minorEastAsia" w:eastAsiaTheme="minorEastAsia" w:cstheme="minorEastAsia"/>
                <w:sz w:val="24"/>
                <w:szCs w:val="24"/>
              </w:rPr>
            </w:pPr>
          </w:p>
        </w:tc>
        <w:tc>
          <w:tcPr>
            <w:tcW w:w="2413" w:type="dxa"/>
            <w:shd w:val="clear" w:color="auto" w:fill="auto"/>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项目QA</w:t>
            </w:r>
          </w:p>
        </w:tc>
        <w:tc>
          <w:tcPr>
            <w:tcW w:w="5318" w:type="dxa"/>
            <w:shd w:val="clear" w:color="auto" w:fill="auto"/>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负责确保风险管理活动的开展符合公司流程要求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shd w:val="clear" w:color="auto" w:fill="auto"/>
            <w:noWrap w:val="0"/>
            <w:vAlign w:val="top"/>
          </w:tcPr>
          <w:p>
            <w:pPr>
              <w:jc w:val="center"/>
              <w:rPr>
                <w:rFonts w:hint="eastAsia" w:asciiTheme="minorEastAsia" w:hAnsiTheme="minorEastAsia" w:eastAsiaTheme="minorEastAsia" w:cstheme="minorEastAsia"/>
                <w:sz w:val="24"/>
                <w:szCs w:val="24"/>
              </w:rPr>
            </w:pPr>
          </w:p>
        </w:tc>
        <w:tc>
          <w:tcPr>
            <w:tcW w:w="2413" w:type="dxa"/>
            <w:shd w:val="clear" w:color="auto" w:fill="auto"/>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5318" w:type="dxa"/>
            <w:shd w:val="clear" w:color="auto" w:fill="auto"/>
            <w:noWrap w:val="0"/>
            <w:vAlign w:val="center"/>
          </w:tcPr>
          <w:p>
            <w:pPr>
              <w:jc w:val="left"/>
              <w:rPr>
                <w:rFonts w:hint="eastAsia" w:asciiTheme="minorEastAsia" w:hAnsiTheme="minorEastAsia" w:eastAsiaTheme="minorEastAsia" w:cstheme="minorEastAsia"/>
                <w:sz w:val="24"/>
                <w:szCs w:val="24"/>
              </w:rPr>
            </w:pPr>
          </w:p>
        </w:tc>
      </w:tr>
    </w:tbl>
    <w:p>
      <w:pPr>
        <w:pStyle w:val="2"/>
        <w:numPr>
          <w:ilvl w:val="0"/>
          <w:numId w:val="2"/>
        </w:numPr>
        <w:spacing w:before="0" w:after="0" w:line="360" w:lineRule="auto"/>
        <w:ind w:left="448" w:hanging="44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风险管理过程</w:t>
      </w:r>
      <w:bookmarkEnd w:id="19"/>
    </w:p>
    <w:p>
      <w:pPr>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按据公司《风险管理控制程序》 的要求执行风险管理过程。风险管理过程包括：风险管理计划、风险分析、风险评价、风险控制、综合剩余风险评价、风险管理报告、生产及生产后信息等步骤。具体如下：</w:t>
      </w:r>
    </w:p>
    <w:tbl>
      <w:tblPr>
        <w:tblStyle w:val="14"/>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7"/>
        <w:gridCol w:w="4229"/>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风险管理活动</w:t>
            </w:r>
          </w:p>
        </w:tc>
        <w:tc>
          <w:tcPr>
            <w:tcW w:w="4229" w:type="dxa"/>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评审通过准则</w:t>
            </w:r>
          </w:p>
        </w:tc>
        <w:tc>
          <w:tcPr>
            <w:tcW w:w="1958" w:type="dxa"/>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评审参与人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风险管理计划</w:t>
            </w:r>
          </w:p>
        </w:tc>
        <w:tc>
          <w:tcPr>
            <w:tcW w:w="4229"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完成风险管理计划。</w:t>
            </w:r>
          </w:p>
        </w:tc>
        <w:tc>
          <w:tcPr>
            <w:tcW w:w="1958"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风险管理小组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风险分析</w:t>
            </w:r>
          </w:p>
        </w:tc>
        <w:tc>
          <w:tcPr>
            <w:tcW w:w="4229"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完成《初始安全特征判定》、《危害判定和初始风险控制方案分析》。</w:t>
            </w:r>
          </w:p>
        </w:tc>
        <w:tc>
          <w:tcPr>
            <w:tcW w:w="1958"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风险管理小组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风险评价、风险控制</w:t>
            </w:r>
          </w:p>
        </w:tc>
        <w:tc>
          <w:tcPr>
            <w:tcW w:w="4229"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完成《风险评价、风险控制措施记录表》中的风险评价、风险控制措施、采取措施后的风险分析评价及采取措施后是否引发新风险部分。</w:t>
            </w:r>
          </w:p>
        </w:tc>
        <w:tc>
          <w:tcPr>
            <w:tcW w:w="1958"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风险管理小组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风险控制措施验证</w:t>
            </w:r>
          </w:p>
        </w:tc>
        <w:tc>
          <w:tcPr>
            <w:tcW w:w="4229"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对风险控制措施的有效性和风险控制措施的落实情况已进行验证，将结果填写在《风险评价、风险控制措施记录表》中。</w:t>
            </w:r>
          </w:p>
        </w:tc>
        <w:tc>
          <w:tcPr>
            <w:tcW w:w="1958"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风险管理小组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综合剩余风险的可接受性评价</w:t>
            </w:r>
          </w:p>
        </w:tc>
        <w:tc>
          <w:tcPr>
            <w:tcW w:w="4229"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全部剩余风险都可接受，没有未记录在风险管理报告的危害，完成《综合剩余风险评价记录表》部分。</w:t>
            </w:r>
          </w:p>
        </w:tc>
        <w:tc>
          <w:tcPr>
            <w:tcW w:w="1958"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风险管理小组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试产阶段的风险评价</w:t>
            </w:r>
          </w:p>
        </w:tc>
        <w:tc>
          <w:tcPr>
            <w:tcW w:w="4229"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试产阶段不产生新的安全性问题</w:t>
            </w:r>
          </w:p>
        </w:tc>
        <w:tc>
          <w:tcPr>
            <w:tcW w:w="1958"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风险管理小组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生产和生产后信息</w:t>
            </w:r>
          </w:p>
        </w:tc>
        <w:tc>
          <w:tcPr>
            <w:tcW w:w="4229"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新增危害风险可接受且不影响综合剩余风险的可接受性</w:t>
            </w:r>
          </w:p>
        </w:tc>
        <w:tc>
          <w:tcPr>
            <w:tcW w:w="1958"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风险管理小组</w:t>
            </w:r>
          </w:p>
        </w:tc>
      </w:tr>
    </w:tbl>
    <w:p>
      <w:pPr>
        <w:pStyle w:val="2"/>
        <w:numPr>
          <w:ilvl w:val="0"/>
          <w:numId w:val="2"/>
        </w:numPr>
        <w:spacing w:before="0" w:after="0" w:line="360" w:lineRule="auto"/>
        <w:ind w:left="448" w:hanging="448"/>
        <w:rPr>
          <w:rFonts w:hint="eastAsia" w:asciiTheme="minorEastAsia" w:hAnsiTheme="minorEastAsia" w:eastAsiaTheme="minorEastAsia" w:cstheme="minorEastAsia"/>
          <w:sz w:val="24"/>
          <w:szCs w:val="24"/>
        </w:rPr>
      </w:pPr>
      <w:bookmarkStart w:id="20" w:name="_Toc455069993"/>
      <w:r>
        <w:rPr>
          <w:rFonts w:hint="eastAsia" w:asciiTheme="minorEastAsia" w:hAnsiTheme="minorEastAsia" w:eastAsiaTheme="minorEastAsia" w:cstheme="minorEastAsia"/>
          <w:sz w:val="24"/>
          <w:szCs w:val="24"/>
        </w:rPr>
        <w:t>风险管理活动的评审要求</w:t>
      </w:r>
      <w:bookmarkEnd w:id="20"/>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险管理评审小组的构成必须包括熟悉产品原理及功能的成员，熟悉产品制造的成员，以及熟悉产品应用的成员，以及法规工程师。评审组成员应对评审结果的正确性和有效性负责。各部门应配合评审组成员对与产品安全性有关的信息进行评审，为综合剩余风险的评价提供依据。</w:t>
      </w:r>
    </w:p>
    <w:p>
      <w:pPr>
        <w:pStyle w:val="22"/>
        <w:numPr>
          <w:ilvl w:val="0"/>
          <w:numId w:val="3"/>
        </w:numPr>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风险管理计划是否已适当实施的验证，包括：</w:t>
      </w:r>
    </w:p>
    <w:p>
      <w:pPr>
        <w:pStyle w:val="22"/>
        <w:ind w:left="846"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根据以下和安全性有关的信息在产品的设计开发、工程化、试生产及产品生产与售后阶段进行评审：</w:t>
      </w:r>
    </w:p>
    <w:p>
      <w:pPr>
        <w:pStyle w:val="22"/>
        <w:numPr>
          <w:ilvl w:val="0"/>
          <w:numId w:val="4"/>
        </w:numPr>
        <w:ind w:left="1276" w:hanging="425"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是否有事先未知的危害出现；</w:t>
      </w:r>
    </w:p>
    <w:p>
      <w:pPr>
        <w:pStyle w:val="22"/>
        <w:numPr>
          <w:ilvl w:val="0"/>
          <w:numId w:val="4"/>
        </w:numPr>
        <w:ind w:left="1276" w:hanging="425"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是否有某项危害造成的已被估计的风险（一个或多个）不再是可接受的；</w:t>
      </w:r>
    </w:p>
    <w:p>
      <w:pPr>
        <w:pStyle w:val="22"/>
        <w:numPr>
          <w:ilvl w:val="0"/>
          <w:numId w:val="4"/>
        </w:numPr>
        <w:ind w:left="1276" w:hanging="425"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是否初始评定的其它方面已经失效；</w:t>
      </w:r>
    </w:p>
    <w:p>
      <w:pPr>
        <w:pStyle w:val="22"/>
        <w:numPr>
          <w:ilvl w:val="0"/>
          <w:numId w:val="4"/>
        </w:numPr>
        <w:ind w:left="1276" w:hanging="425"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产品综合剩余风险是否已降低至可接受水平或经过风险/受益分析判断为可接受。</w:t>
      </w:r>
    </w:p>
    <w:p>
      <w:pPr>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应对产品生产和生产后信息的获取方式进行评审，保持评审记录以证实风险管理计划的每个要素在产品特定的生命周期阶段已被适当的实施。</w:t>
      </w:r>
    </w:p>
    <w:p>
      <w:pPr>
        <w:pStyle w:val="22"/>
        <w:numPr>
          <w:ilvl w:val="0"/>
          <w:numId w:val="3"/>
        </w:numPr>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风险管理活动效果验证</w:t>
      </w:r>
    </w:p>
    <w:p>
      <w:pPr>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评审组可通过收集临床资料及生产和生产后信息对风险管理实施效果进行验证以确保风险管理活动的有效性。</w:t>
      </w:r>
    </w:p>
    <w:p>
      <w:pPr>
        <w:pStyle w:val="2"/>
        <w:numPr>
          <w:ilvl w:val="0"/>
          <w:numId w:val="2"/>
        </w:numPr>
        <w:spacing w:before="0" w:after="0" w:line="360" w:lineRule="auto"/>
        <w:ind w:left="448" w:hanging="448"/>
        <w:rPr>
          <w:rFonts w:hint="eastAsia" w:asciiTheme="minorEastAsia" w:hAnsiTheme="minorEastAsia" w:eastAsiaTheme="minorEastAsia" w:cstheme="minorEastAsia"/>
          <w:sz w:val="24"/>
          <w:szCs w:val="24"/>
        </w:rPr>
      </w:pPr>
      <w:bookmarkStart w:id="21" w:name="_Toc455069996"/>
      <w:r>
        <w:rPr>
          <w:rFonts w:hint="eastAsia" w:asciiTheme="minorEastAsia" w:hAnsiTheme="minorEastAsia" w:eastAsiaTheme="minorEastAsia" w:cstheme="minorEastAsia"/>
          <w:sz w:val="24"/>
          <w:szCs w:val="24"/>
        </w:rPr>
        <w:t>风险分析</w:t>
      </w:r>
      <w:bookmarkEnd w:id="21"/>
    </w:p>
    <w:p>
      <w:pPr>
        <w:pStyle w:val="3"/>
        <w:spacing w:before="0" w:after="0" w:line="415" w:lineRule="auto"/>
        <w:rPr>
          <w:rFonts w:hint="eastAsia" w:asciiTheme="minorEastAsia" w:hAnsiTheme="minorEastAsia" w:eastAsiaTheme="minorEastAsia" w:cstheme="minorEastAsia"/>
          <w:sz w:val="24"/>
          <w:szCs w:val="24"/>
        </w:rPr>
      </w:pPr>
      <w:bookmarkStart w:id="22" w:name="_Toc455069998"/>
      <w:bookmarkStart w:id="23" w:name="_Toc424200025"/>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风险分析的内容</w:t>
      </w:r>
      <w:bookmarkEnd w:id="22"/>
      <w:bookmarkEnd w:id="23"/>
    </w:p>
    <w:p>
      <w:pPr>
        <w:spacing w:line="360" w:lineRule="auto"/>
        <w:ind w:left="420" w:hanging="360" w:hangingChars="15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1）可能的危害及危害事件序列</w:t>
      </w:r>
    </w:p>
    <w:p>
      <w:pPr>
        <w:spacing w:line="360" w:lineRule="auto"/>
        <w:ind w:left="420" w:hanging="360" w:hangingChars="15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2）危害发生及其引起损害的概率</w:t>
      </w:r>
    </w:p>
    <w:p>
      <w:pPr>
        <w:spacing w:line="360" w:lineRule="auto"/>
        <w:ind w:left="420" w:hanging="360" w:hangingChars="15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3）损害的严重度</w:t>
      </w:r>
    </w:p>
    <w:p>
      <w:pPr>
        <w:pStyle w:val="3"/>
        <w:spacing w:before="0" w:after="0" w:line="415" w:lineRule="auto"/>
        <w:rPr>
          <w:rFonts w:hint="eastAsia" w:asciiTheme="minorEastAsia" w:hAnsiTheme="minorEastAsia" w:eastAsiaTheme="minorEastAsia" w:cstheme="minorEastAsia"/>
          <w:sz w:val="24"/>
          <w:szCs w:val="24"/>
        </w:rPr>
      </w:pPr>
      <w:bookmarkStart w:id="24" w:name="_Toc455069999"/>
      <w:bookmarkStart w:id="25" w:name="_Toc424200026"/>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风险分析的方法</w:t>
      </w:r>
      <w:bookmarkEnd w:id="24"/>
      <w:bookmarkEnd w:id="25"/>
    </w:p>
    <w:p>
      <w:pPr>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本项目风险分析方法包括《ISO14971：2007 医疗器械——风险管理对医疗器械的应用》中《附录G (提示性)风险管理技术资料》中的G.2“初步危害分析法”（PHA）和G.4“失效模式和效应分析法”（FMEA）。</w:t>
      </w:r>
    </w:p>
    <w:p>
      <w:pPr>
        <w:pStyle w:val="2"/>
        <w:numPr>
          <w:ilvl w:val="0"/>
          <w:numId w:val="2"/>
        </w:numPr>
        <w:spacing w:before="0" w:after="0" w:line="360" w:lineRule="auto"/>
        <w:ind w:left="448" w:hanging="448"/>
        <w:rPr>
          <w:rFonts w:hint="eastAsia" w:asciiTheme="minorEastAsia" w:hAnsiTheme="minorEastAsia" w:eastAsiaTheme="minorEastAsia" w:cstheme="minorEastAsia"/>
          <w:sz w:val="24"/>
          <w:szCs w:val="24"/>
        </w:rPr>
      </w:pPr>
      <w:bookmarkStart w:id="26" w:name="_Toc455070000"/>
      <w:r>
        <w:rPr>
          <w:rFonts w:hint="eastAsia" w:asciiTheme="minorEastAsia" w:hAnsiTheme="minorEastAsia" w:eastAsiaTheme="minorEastAsia" w:cstheme="minorEastAsia"/>
          <w:sz w:val="24"/>
          <w:szCs w:val="24"/>
        </w:rPr>
        <w:t>风险可接收性准则</w:t>
      </w:r>
      <w:bookmarkEnd w:id="26"/>
    </w:p>
    <w:p>
      <w:pPr>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险管理团队对经风险分析判断出的危害进行发生概率与损害严重度的分析，根据本计划确定的风险可接受准则判断风险的可接受性。以下是本产品确定的风险可接受准则，其中损害的严重度采用定性分析，损害发生的概率采用半定量分析，风险可接受性准则以4</w:t>
      </w:r>
      <w:r>
        <w:rPr>
          <w:rFonts w:hint="eastAsia" w:asciiTheme="minorEastAsia" w:hAnsiTheme="minorEastAsia" w:eastAsiaTheme="minorEastAsia" w:cstheme="minorEastAsia"/>
          <w:sz w:val="24"/>
          <w:szCs w:val="24"/>
        </w:rPr>
        <w:sym w:font="Symbol" w:char="F0B4"/>
      </w:r>
      <w:r>
        <w:rPr>
          <w:rFonts w:hint="eastAsia" w:asciiTheme="minorEastAsia" w:hAnsiTheme="minorEastAsia" w:eastAsiaTheme="minorEastAsia" w:cstheme="minorEastAsia"/>
          <w:sz w:val="24"/>
          <w:szCs w:val="24"/>
        </w:rPr>
        <w:t>6三分区矩阵图表示。</w:t>
      </w:r>
    </w:p>
    <w:p>
      <w:pPr>
        <w:pStyle w:val="3"/>
        <w:spacing w:beforeLines="50" w:afterLines="50" w:line="360" w:lineRule="auto"/>
        <w:rPr>
          <w:rFonts w:hint="eastAsia" w:asciiTheme="minorEastAsia" w:hAnsiTheme="minorEastAsia" w:eastAsiaTheme="minorEastAsia" w:cstheme="minorEastAsia"/>
          <w:sz w:val="24"/>
          <w:szCs w:val="24"/>
        </w:rPr>
      </w:pPr>
      <w:bookmarkStart w:id="27" w:name="_Toc455070001"/>
      <w:bookmarkStart w:id="28" w:name="_Toc424200028"/>
      <w:r>
        <w:rPr>
          <w:rFonts w:hint="eastAsia" w:asciiTheme="minorEastAsia" w:hAnsiTheme="minorEastAsia" w:eastAsiaTheme="minorEastAsia" w:cstheme="minorEastAsia"/>
          <w:sz w:val="24"/>
          <w:szCs w:val="24"/>
        </w:rPr>
        <w:t>7.1损害发生的概率等级</w:t>
      </w:r>
      <w:bookmarkEnd w:id="27"/>
      <w:bookmarkEnd w:id="28"/>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093"/>
        <w:gridCol w:w="3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43" w:type="dxa"/>
            <w:tcBorders>
              <w:bottom w:val="single" w:color="auto" w:sz="4" w:space="0"/>
            </w:tcBorders>
            <w:shd w:val="clear" w:color="auto" w:fill="C0C0C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等级名称</w:t>
            </w:r>
          </w:p>
        </w:tc>
        <w:tc>
          <w:tcPr>
            <w:tcW w:w="2095" w:type="dxa"/>
            <w:tcBorders>
              <w:bottom w:val="single" w:color="auto" w:sz="4" w:space="0"/>
            </w:tcBorders>
            <w:shd w:val="clear" w:color="auto" w:fill="C0C0C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代号</w:t>
            </w:r>
          </w:p>
        </w:tc>
        <w:tc>
          <w:tcPr>
            <w:tcW w:w="3591" w:type="dxa"/>
            <w:tcBorders>
              <w:bottom w:val="single" w:color="auto" w:sz="4" w:space="0"/>
            </w:tcBorders>
            <w:shd w:val="clear" w:color="auto" w:fill="C0C0C0"/>
            <w:vAlign w:val="center"/>
          </w:tcPr>
          <w:p>
            <w:pPr>
              <w:tabs>
                <w:tab w:val="left" w:pos="675"/>
              </w:tabs>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频次（次数/年/单个产品）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43"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频繁</w:t>
            </w:r>
          </w:p>
        </w:tc>
        <w:tc>
          <w:tcPr>
            <w:tcW w:w="2095"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3591" w:type="dxa"/>
            <w:shd w:val="clear" w:color="auto" w:fill="auto"/>
            <w:vAlign w:val="center"/>
          </w:tcPr>
          <w:p>
            <w:pPr>
              <w:tabs>
                <w:tab w:val="left" w:pos="675"/>
              </w:tabs>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43"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很可能</w:t>
            </w:r>
          </w:p>
        </w:tc>
        <w:tc>
          <w:tcPr>
            <w:tcW w:w="2095"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3591" w:type="dxa"/>
            <w:shd w:val="clear" w:color="auto" w:fill="auto"/>
            <w:vAlign w:val="center"/>
          </w:tcPr>
          <w:p>
            <w:pPr>
              <w:tabs>
                <w:tab w:val="left" w:pos="675"/>
              </w:tabs>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1~10</w:t>
            </w:r>
            <w:r>
              <w:rPr>
                <w:rFonts w:hint="eastAsia" w:asciiTheme="minorEastAsia" w:hAnsiTheme="minorEastAsia" w:eastAsiaTheme="minorEastAsia" w:cstheme="minorEastAsia"/>
                <w:sz w:val="24"/>
                <w:szCs w:val="24"/>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43"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偶然</w:t>
            </w:r>
          </w:p>
        </w:tc>
        <w:tc>
          <w:tcPr>
            <w:tcW w:w="2095"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3591" w:type="dxa"/>
            <w:shd w:val="clear" w:color="auto" w:fill="auto"/>
            <w:vAlign w:val="center"/>
          </w:tcPr>
          <w:p>
            <w:pPr>
              <w:tabs>
                <w:tab w:val="left" w:pos="675"/>
              </w:tabs>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vertAlign w:val="superscript"/>
              </w:rPr>
              <w:t>-1</w:t>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43"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很少</w:t>
            </w:r>
          </w:p>
        </w:tc>
        <w:tc>
          <w:tcPr>
            <w:tcW w:w="2095"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3591" w:type="dxa"/>
            <w:shd w:val="clear" w:color="auto" w:fill="auto"/>
            <w:vAlign w:val="center"/>
          </w:tcPr>
          <w:p>
            <w:pPr>
              <w:tabs>
                <w:tab w:val="left" w:pos="675"/>
              </w:tabs>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vertAlign w:val="superscript"/>
              </w:rPr>
              <w:t>-2</w:t>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43"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未必可能</w:t>
            </w:r>
          </w:p>
        </w:tc>
        <w:tc>
          <w:tcPr>
            <w:tcW w:w="2095"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591" w:type="dxa"/>
            <w:shd w:val="clear" w:color="auto" w:fill="auto"/>
            <w:vAlign w:val="center"/>
          </w:tcPr>
          <w:p>
            <w:pPr>
              <w:tabs>
                <w:tab w:val="left" w:pos="675"/>
              </w:tabs>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vertAlign w:val="superscript"/>
              </w:rPr>
              <w:t>-4</w:t>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vertAlign w:val="superscript"/>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43"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难以置信</w:t>
            </w:r>
          </w:p>
        </w:tc>
        <w:tc>
          <w:tcPr>
            <w:tcW w:w="2095"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591" w:type="dxa"/>
            <w:shd w:val="clear" w:color="auto" w:fill="auto"/>
            <w:vAlign w:val="center"/>
          </w:tcPr>
          <w:p>
            <w:pPr>
              <w:tabs>
                <w:tab w:val="left" w:pos="675"/>
              </w:tabs>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&lt;10</w:t>
            </w:r>
            <w:r>
              <w:rPr>
                <w:rFonts w:hint="eastAsia" w:asciiTheme="minorEastAsia" w:hAnsiTheme="minorEastAsia" w:eastAsiaTheme="minorEastAsia" w:cstheme="minorEastAsia"/>
                <w:sz w:val="24"/>
                <w:szCs w:val="24"/>
                <w:vertAlign w:val="superscript"/>
              </w:rPr>
              <w:t>-6</w:t>
            </w:r>
          </w:p>
        </w:tc>
      </w:tr>
    </w:tbl>
    <w:p>
      <w:pPr>
        <w:pStyle w:val="3"/>
        <w:spacing w:beforeLines="50" w:afterLines="50" w:line="360" w:lineRule="auto"/>
        <w:rPr>
          <w:rFonts w:hint="eastAsia" w:asciiTheme="minorEastAsia" w:hAnsiTheme="minorEastAsia" w:eastAsiaTheme="minorEastAsia" w:cstheme="minorEastAsia"/>
          <w:sz w:val="24"/>
          <w:szCs w:val="24"/>
        </w:rPr>
      </w:pPr>
      <w:bookmarkStart w:id="29" w:name="_Toc455070002"/>
      <w:bookmarkStart w:id="30" w:name="_Toc424200029"/>
      <w:r>
        <w:rPr>
          <w:rFonts w:hint="eastAsia" w:asciiTheme="minorEastAsia" w:hAnsiTheme="minorEastAsia" w:eastAsiaTheme="minorEastAsia" w:cstheme="minorEastAsia"/>
          <w:sz w:val="24"/>
          <w:szCs w:val="24"/>
        </w:rPr>
        <w:t>7.2损害的严重度</w:t>
      </w:r>
      <w:bookmarkEnd w:id="29"/>
      <w:bookmarkEnd w:id="30"/>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701"/>
        <w:gridCol w:w="4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5" w:type="dxa"/>
            <w:tcBorders>
              <w:bottom w:val="single" w:color="auto" w:sz="4" w:space="0"/>
            </w:tcBorders>
            <w:shd w:val="clear" w:color="auto" w:fill="C0C0C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等级名称</w:t>
            </w:r>
          </w:p>
        </w:tc>
        <w:tc>
          <w:tcPr>
            <w:tcW w:w="1701" w:type="dxa"/>
            <w:tcBorders>
              <w:bottom w:val="single" w:color="auto" w:sz="4" w:space="0"/>
            </w:tcBorders>
            <w:shd w:val="clear" w:color="auto" w:fill="C0C0C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代号</w:t>
            </w:r>
          </w:p>
        </w:tc>
        <w:tc>
          <w:tcPr>
            <w:tcW w:w="4586" w:type="dxa"/>
            <w:tcBorders>
              <w:bottom w:val="single" w:color="auto" w:sz="4" w:space="0"/>
            </w:tcBorders>
            <w:shd w:val="clear" w:color="auto" w:fill="C0C0C0"/>
            <w:vAlign w:val="center"/>
          </w:tcPr>
          <w:p>
            <w:pPr>
              <w:tabs>
                <w:tab w:val="left" w:pos="675"/>
              </w:tabs>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定性说明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5"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可忽略</w:t>
            </w:r>
          </w:p>
        </w:tc>
        <w:tc>
          <w:tcPr>
            <w:tcW w:w="1701"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4586" w:type="dxa"/>
            <w:shd w:val="clear" w:color="auto" w:fill="auto"/>
            <w:vAlign w:val="center"/>
          </w:tcPr>
          <w:p>
            <w:pPr>
              <w:tabs>
                <w:tab w:val="left" w:pos="675"/>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几乎没有或没有潜在伤害的可能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5"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边际</w:t>
            </w:r>
          </w:p>
        </w:tc>
        <w:tc>
          <w:tcPr>
            <w:tcW w:w="1701"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4586" w:type="dxa"/>
            <w:shd w:val="clear" w:color="auto" w:fill="auto"/>
            <w:vAlign w:val="center"/>
          </w:tcPr>
          <w:p>
            <w:pPr>
              <w:tabs>
                <w:tab w:val="left" w:pos="675"/>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潜在伤害可能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5"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危重</w:t>
            </w:r>
          </w:p>
        </w:tc>
        <w:tc>
          <w:tcPr>
            <w:tcW w:w="1701"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4586" w:type="dxa"/>
            <w:shd w:val="clear" w:color="auto" w:fill="auto"/>
            <w:vAlign w:val="center"/>
          </w:tcPr>
          <w:p>
            <w:pPr>
              <w:tabs>
                <w:tab w:val="left" w:pos="675"/>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潜在死亡或严重伤害可能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5"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灾难</w:t>
            </w:r>
          </w:p>
        </w:tc>
        <w:tc>
          <w:tcPr>
            <w:tcW w:w="1701"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4586" w:type="dxa"/>
            <w:shd w:val="clear" w:color="auto" w:fill="auto"/>
            <w:vAlign w:val="center"/>
          </w:tcPr>
          <w:p>
            <w:pPr>
              <w:tabs>
                <w:tab w:val="left" w:pos="675"/>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潜在多重死亡或严重伤害可能</w:t>
            </w:r>
          </w:p>
        </w:tc>
      </w:tr>
    </w:tbl>
    <w:p>
      <w:pPr>
        <w:pStyle w:val="3"/>
        <w:spacing w:before="0" w:after="0" w:line="415" w:lineRule="auto"/>
        <w:rPr>
          <w:rFonts w:hint="eastAsia" w:asciiTheme="minorEastAsia" w:hAnsiTheme="minorEastAsia" w:eastAsiaTheme="minorEastAsia" w:cstheme="minorEastAsia"/>
          <w:sz w:val="24"/>
          <w:szCs w:val="24"/>
        </w:rPr>
      </w:pPr>
      <w:bookmarkStart w:id="31" w:name="_Toc455070003"/>
      <w:bookmarkStart w:id="32" w:name="_Toc424200030"/>
      <w:r>
        <w:rPr>
          <w:rFonts w:hint="eastAsia" w:asciiTheme="minorEastAsia" w:hAnsiTheme="minorEastAsia" w:eastAsiaTheme="minorEastAsia" w:cstheme="minorEastAsia"/>
          <w:sz w:val="24"/>
          <w:szCs w:val="24"/>
        </w:rPr>
        <w:t>7.3可接受风险决策方法</w:t>
      </w:r>
      <w:bookmarkEnd w:id="31"/>
    </w:p>
    <w:p>
      <w:pPr>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依据本计划中规定的风险可接受性准则，由风险管理团队对</w:t>
      </w:r>
      <w:r>
        <w:rPr>
          <w:rFonts w:hint="eastAsia" w:asciiTheme="minorEastAsia" w:hAnsiTheme="minorEastAsia" w:eastAsiaTheme="minorEastAsia" w:cstheme="minorEastAsia"/>
          <w:color w:val="FF0000"/>
          <w:sz w:val="24"/>
          <w:szCs w:val="24"/>
        </w:rPr>
        <w:t>XX</w:t>
      </w:r>
      <w:r>
        <w:rPr>
          <w:rFonts w:hint="eastAsia" w:asciiTheme="minorEastAsia" w:hAnsiTheme="minorEastAsia" w:eastAsiaTheme="minorEastAsia" w:cstheme="minorEastAsia"/>
          <w:sz w:val="24"/>
          <w:szCs w:val="24"/>
        </w:rPr>
        <w:t>产品相关危害在正常使用、可预见误用以及单一故障情况下可能导致的风险进行评审，评审时基于以下方法判断危害的严重程度：</w:t>
      </w:r>
    </w:p>
    <w:p>
      <w:pPr>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——使用已执行的有规定要求的适用标准；</w:t>
      </w:r>
    </w:p>
    <w:p>
      <w:pPr>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——已在使用的类似医疗器械的现场资料；</w:t>
      </w:r>
    </w:p>
    <w:p>
      <w:pPr>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——由典型使用者进行的适用性实验；</w:t>
      </w:r>
    </w:p>
    <w:p>
      <w:pPr>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——临床证据、适当的调研结果、科学技术资料、专家意见；</w:t>
      </w:r>
    </w:p>
    <w:p>
      <w:pPr>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——外部质量评定情况；</w:t>
      </w:r>
    </w:p>
    <w:p>
      <w:pPr>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对风险是否可接受进行决策时，必须以当前社会价值为基础。</w:t>
      </w:r>
    </w:p>
    <w:p>
      <w:pPr>
        <w:pStyle w:val="3"/>
        <w:spacing w:beforeLines="50" w:afterLines="50" w:line="360" w:lineRule="auto"/>
        <w:rPr>
          <w:rFonts w:hint="eastAsia" w:asciiTheme="minorEastAsia" w:hAnsiTheme="minorEastAsia" w:eastAsiaTheme="minorEastAsia" w:cstheme="minorEastAsia"/>
          <w:sz w:val="24"/>
          <w:szCs w:val="24"/>
        </w:rPr>
      </w:pPr>
      <w:bookmarkStart w:id="33" w:name="_Toc455070004"/>
      <w:r>
        <w:rPr>
          <w:rFonts w:hint="eastAsia" w:asciiTheme="minorEastAsia" w:hAnsiTheme="minorEastAsia" w:eastAsiaTheme="minorEastAsia" w:cstheme="minorEastAsia"/>
          <w:sz w:val="24"/>
          <w:szCs w:val="24"/>
        </w:rPr>
        <w:t>7.4风险评价</w:t>
      </w:r>
      <w:bookmarkEnd w:id="32"/>
      <w:bookmarkEnd w:id="33"/>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可使用概率等级和严重度对风险进行综合估计：（风险系数=严重度（S）×概率(P)）</w:t>
      </w:r>
    </w:p>
    <w:p>
      <w:pPr>
        <w:ind w:firstLine="480" w:firstLineChars="200"/>
        <w:rPr>
          <w:rFonts w:hint="eastAsia" w:asciiTheme="minorEastAsia" w:hAnsiTheme="minorEastAsia" w:eastAsiaTheme="minorEastAsia" w:cstheme="minorEastAsia"/>
          <w:sz w:val="24"/>
          <w:szCs w:val="24"/>
        </w:rPr>
      </w:pPr>
    </w:p>
    <w:tbl>
      <w:tblPr>
        <w:tblStyle w:val="14"/>
        <w:tblW w:w="851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8"/>
        <w:gridCol w:w="1565"/>
        <w:gridCol w:w="1456"/>
        <w:gridCol w:w="1276"/>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568" w:type="dxa"/>
            <w:tcBorders>
              <w:left w:val="single" w:color="auto" w:sz="4" w:space="0"/>
              <w:bottom w:val="single" w:color="auto" w:sz="4" w:space="0"/>
              <w:right w:val="single" w:color="auto" w:sz="4" w:space="0"/>
              <w:tl2br w:val="single" w:color="auto" w:sz="4" w:space="0"/>
            </w:tcBorders>
          </w:tcPr>
          <w:p>
            <w:pPr>
              <w:spacing w:beforeLines="15" w:afterLines="15"/>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sz w:val="24"/>
                <w:szCs w:val="24"/>
              </w:rPr>
              <w:t xml:space="preserve">  严重度</w:t>
            </w:r>
          </w:p>
          <w:p>
            <w:pPr>
              <w:spacing w:beforeLines="15" w:afterLines="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概率</w:t>
            </w:r>
          </w:p>
        </w:tc>
        <w:tc>
          <w:tcPr>
            <w:tcW w:w="1565" w:type="dxa"/>
            <w:tcBorders>
              <w:left w:val="single" w:color="auto" w:sz="4" w:space="0"/>
              <w:bottom w:val="single" w:color="auto" w:sz="4" w:space="0"/>
              <w:right w:val="single"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可忽略</w:t>
            </w:r>
          </w:p>
        </w:tc>
        <w:tc>
          <w:tcPr>
            <w:tcW w:w="1456" w:type="dxa"/>
            <w:tcBorders>
              <w:left w:val="single" w:color="auto" w:sz="4" w:space="0"/>
              <w:bottom w:val="single" w:color="auto" w:sz="4" w:space="0"/>
              <w:right w:val="single"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边际</w:t>
            </w:r>
          </w:p>
        </w:tc>
        <w:tc>
          <w:tcPr>
            <w:tcW w:w="1276" w:type="dxa"/>
            <w:tcBorders>
              <w:left w:val="single" w:color="auto" w:sz="4" w:space="0"/>
              <w:bottom w:val="single" w:color="auto" w:sz="4" w:space="0"/>
              <w:right w:val="single"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危重</w:t>
            </w:r>
          </w:p>
        </w:tc>
        <w:tc>
          <w:tcPr>
            <w:tcW w:w="1653" w:type="dxa"/>
            <w:tcBorders>
              <w:left w:val="single" w:color="auto" w:sz="4" w:space="0"/>
              <w:bottom w:val="single" w:color="auto" w:sz="4" w:space="0"/>
              <w:right w:val="single"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灾难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568" w:type="dxa"/>
            <w:tcBorders>
              <w:top w:val="single" w:color="auto" w:sz="4" w:space="0"/>
              <w:left w:val="single" w:color="auto" w:sz="4" w:space="0"/>
              <w:bottom w:val="single" w:color="auto" w:sz="4" w:space="0"/>
              <w:right w:val="single" w:color="auto" w:sz="4" w:space="0"/>
            </w:tcBorders>
            <w:vAlign w:val="center"/>
          </w:tcPr>
          <w:p>
            <w:pPr>
              <w:spacing w:beforeLines="15" w:afterLines="15"/>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 频繁</w:t>
            </w:r>
          </w:p>
        </w:tc>
        <w:tc>
          <w:tcPr>
            <w:tcW w:w="1565" w:type="dxa"/>
            <w:tcBorders>
              <w:top w:val="single" w:color="auto" w:sz="4" w:space="0"/>
              <w:left w:val="single" w:color="auto" w:sz="4" w:space="0"/>
              <w:bottom w:val="dashSmallGap" w:color="auto" w:sz="4" w:space="0"/>
              <w:right w:val="dashSmallGap"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456" w:type="dxa"/>
            <w:tcBorders>
              <w:top w:val="single" w:color="auto" w:sz="4" w:space="0"/>
              <w:left w:val="dashSmallGap" w:color="auto" w:sz="4" w:space="0"/>
              <w:bottom w:val="dashSmallGap" w:color="auto" w:sz="4" w:space="0"/>
              <w:right w:val="dashSmallGap"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N / ACC</w:t>
            </w:r>
          </w:p>
        </w:tc>
        <w:tc>
          <w:tcPr>
            <w:tcW w:w="1276" w:type="dxa"/>
            <w:tcBorders>
              <w:top w:val="single" w:color="auto" w:sz="4" w:space="0"/>
              <w:left w:val="dashSmallGap" w:color="auto" w:sz="4" w:space="0"/>
              <w:bottom w:val="dashSmallGap" w:color="auto" w:sz="4" w:space="0"/>
              <w:right w:val="dashSmallGap"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N / ACC</w:t>
            </w:r>
          </w:p>
        </w:tc>
        <w:tc>
          <w:tcPr>
            <w:tcW w:w="1653" w:type="dxa"/>
            <w:tcBorders>
              <w:top w:val="single" w:color="auto" w:sz="4" w:space="0"/>
              <w:left w:val="dashSmallGap" w:color="auto" w:sz="4" w:space="0"/>
              <w:bottom w:val="dashSmallGap" w:color="auto" w:sz="4" w:space="0"/>
              <w:right w:val="single"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N / ACC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568" w:type="dxa"/>
            <w:tcBorders>
              <w:top w:val="single" w:color="auto" w:sz="4" w:space="0"/>
              <w:left w:val="single" w:color="auto" w:sz="4" w:space="0"/>
              <w:bottom w:val="single" w:color="auto" w:sz="4" w:space="0"/>
              <w:right w:val="single" w:color="auto" w:sz="4" w:space="0"/>
            </w:tcBorders>
            <w:vAlign w:val="center"/>
          </w:tcPr>
          <w:p>
            <w:pPr>
              <w:spacing w:beforeLines="15" w:afterLines="15"/>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很可能</w:t>
            </w:r>
          </w:p>
        </w:tc>
        <w:tc>
          <w:tcPr>
            <w:tcW w:w="1565" w:type="dxa"/>
            <w:tcBorders>
              <w:top w:val="dashSmallGap" w:color="auto" w:sz="4" w:space="0"/>
              <w:left w:val="single" w:color="auto" w:sz="4" w:space="0"/>
              <w:bottom w:val="dashSmallGap" w:color="auto" w:sz="4" w:space="0"/>
              <w:right w:val="dashSmallGap"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456" w:type="dxa"/>
            <w:tcBorders>
              <w:top w:val="dashSmallGap" w:color="auto" w:sz="4" w:space="0"/>
              <w:left w:val="dashSmallGap" w:color="auto" w:sz="4" w:space="0"/>
              <w:bottom w:val="dashSmallGap" w:color="auto" w:sz="4" w:space="0"/>
              <w:right w:val="dashSmallGap"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276" w:type="dxa"/>
            <w:tcBorders>
              <w:top w:val="dashSmallGap" w:color="auto" w:sz="4" w:space="0"/>
              <w:left w:val="dashSmallGap" w:color="auto" w:sz="4" w:space="0"/>
              <w:bottom w:val="dashSmallGap" w:color="auto" w:sz="4" w:space="0"/>
              <w:right w:val="dashSmallGap"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N / ACC</w:t>
            </w:r>
          </w:p>
        </w:tc>
        <w:tc>
          <w:tcPr>
            <w:tcW w:w="1653" w:type="dxa"/>
            <w:tcBorders>
              <w:top w:val="dashSmallGap" w:color="auto" w:sz="4" w:space="0"/>
              <w:left w:val="dashSmallGap" w:color="auto" w:sz="4" w:space="0"/>
              <w:bottom w:val="dashSmallGap" w:color="auto" w:sz="4" w:space="0"/>
              <w:right w:val="single"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N / ACC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568" w:type="dxa"/>
            <w:tcBorders>
              <w:top w:val="single" w:color="auto" w:sz="4" w:space="0"/>
              <w:left w:val="single" w:color="auto" w:sz="4" w:space="0"/>
              <w:bottom w:val="single" w:color="auto" w:sz="4" w:space="0"/>
              <w:right w:val="single" w:color="auto" w:sz="4" w:space="0"/>
            </w:tcBorders>
            <w:vAlign w:val="center"/>
          </w:tcPr>
          <w:p>
            <w:pPr>
              <w:spacing w:beforeLines="15" w:afterLines="15"/>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偶然</w:t>
            </w:r>
          </w:p>
        </w:tc>
        <w:tc>
          <w:tcPr>
            <w:tcW w:w="1565" w:type="dxa"/>
            <w:tcBorders>
              <w:top w:val="dashSmallGap" w:color="auto" w:sz="4" w:space="0"/>
              <w:left w:val="single" w:color="auto" w:sz="4" w:space="0"/>
              <w:bottom w:val="dashSmallGap" w:color="auto" w:sz="4" w:space="0"/>
              <w:right w:val="dashSmallGap"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456" w:type="dxa"/>
            <w:tcBorders>
              <w:top w:val="dashSmallGap" w:color="auto" w:sz="4" w:space="0"/>
              <w:left w:val="dashSmallGap" w:color="auto" w:sz="4" w:space="0"/>
              <w:bottom w:val="dashSmallGap" w:color="auto" w:sz="4" w:space="0"/>
              <w:right w:val="dashSmallGap"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276" w:type="dxa"/>
            <w:tcBorders>
              <w:top w:val="dashSmallGap" w:color="auto" w:sz="4" w:space="0"/>
              <w:left w:val="dashSmallGap" w:color="auto" w:sz="4" w:space="0"/>
              <w:bottom w:val="dashSmallGap" w:color="auto" w:sz="4" w:space="0"/>
              <w:right w:val="dashSmallGap"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653" w:type="dxa"/>
            <w:tcBorders>
              <w:top w:val="dashSmallGap" w:color="auto" w:sz="4" w:space="0"/>
              <w:left w:val="dashSmallGap" w:color="auto" w:sz="4" w:space="0"/>
              <w:bottom w:val="dashSmallGap" w:color="auto" w:sz="4" w:space="0"/>
              <w:right w:val="single"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N / ACC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568" w:type="dxa"/>
            <w:tcBorders>
              <w:top w:val="single" w:color="auto" w:sz="4" w:space="0"/>
              <w:left w:val="single" w:color="auto" w:sz="4" w:space="0"/>
              <w:bottom w:val="single" w:color="auto" w:sz="4" w:space="0"/>
              <w:right w:val="single" w:color="auto" w:sz="4" w:space="0"/>
            </w:tcBorders>
            <w:vAlign w:val="center"/>
          </w:tcPr>
          <w:p>
            <w:pPr>
              <w:spacing w:beforeLines="15" w:afterLines="15"/>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很少</w:t>
            </w:r>
          </w:p>
        </w:tc>
        <w:tc>
          <w:tcPr>
            <w:tcW w:w="1565" w:type="dxa"/>
            <w:tcBorders>
              <w:top w:val="dashSmallGap" w:color="auto" w:sz="4" w:space="0"/>
              <w:left w:val="single" w:color="auto" w:sz="4" w:space="0"/>
              <w:bottom w:val="dashSmallGap" w:color="auto" w:sz="4" w:space="0"/>
              <w:right w:val="dashSmallGap"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ACC</w:t>
            </w:r>
          </w:p>
        </w:tc>
        <w:tc>
          <w:tcPr>
            <w:tcW w:w="1456" w:type="dxa"/>
            <w:tcBorders>
              <w:top w:val="dashSmallGap" w:color="auto" w:sz="4" w:space="0"/>
              <w:left w:val="dashSmallGap" w:color="auto" w:sz="4" w:space="0"/>
              <w:bottom w:val="dashSmallGap" w:color="auto" w:sz="4" w:space="0"/>
              <w:right w:val="dashSmallGap"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276" w:type="dxa"/>
            <w:tcBorders>
              <w:top w:val="dashSmallGap" w:color="auto" w:sz="4" w:space="0"/>
              <w:left w:val="dashSmallGap" w:color="auto" w:sz="4" w:space="0"/>
              <w:bottom w:val="dashSmallGap" w:color="auto" w:sz="4" w:space="0"/>
              <w:right w:val="dashSmallGap"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653" w:type="dxa"/>
            <w:tcBorders>
              <w:top w:val="dashSmallGap" w:color="auto" w:sz="4" w:space="0"/>
              <w:left w:val="dashSmallGap" w:color="auto" w:sz="4" w:space="0"/>
              <w:bottom w:val="dashSmallGap" w:color="auto" w:sz="4" w:space="0"/>
              <w:right w:val="single"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568" w:type="dxa"/>
            <w:tcBorders>
              <w:top w:val="single" w:color="auto" w:sz="4" w:space="0"/>
              <w:left w:val="single" w:color="auto" w:sz="4" w:space="0"/>
              <w:bottom w:val="single" w:color="auto" w:sz="4" w:space="0"/>
              <w:right w:val="single" w:color="auto" w:sz="4" w:space="0"/>
            </w:tcBorders>
            <w:vAlign w:val="center"/>
          </w:tcPr>
          <w:p>
            <w:pPr>
              <w:spacing w:beforeLines="15" w:afterLines="15"/>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未必可能</w:t>
            </w:r>
          </w:p>
        </w:tc>
        <w:tc>
          <w:tcPr>
            <w:tcW w:w="1565" w:type="dxa"/>
            <w:tcBorders>
              <w:top w:val="dashSmallGap" w:color="auto" w:sz="4" w:space="0"/>
              <w:left w:val="single" w:color="auto" w:sz="4" w:space="0"/>
              <w:bottom w:val="dashSmallGap" w:color="auto" w:sz="4" w:space="0"/>
              <w:right w:val="dashSmallGap"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ACC</w:t>
            </w:r>
          </w:p>
        </w:tc>
        <w:tc>
          <w:tcPr>
            <w:tcW w:w="1456" w:type="dxa"/>
            <w:tcBorders>
              <w:top w:val="dashSmallGap" w:color="auto" w:sz="4" w:space="0"/>
              <w:left w:val="dashSmallGap" w:color="auto" w:sz="4" w:space="0"/>
              <w:bottom w:val="dashSmallGap" w:color="auto" w:sz="4" w:space="0"/>
              <w:right w:val="dashSmallGap"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ACC</w:t>
            </w:r>
          </w:p>
        </w:tc>
        <w:tc>
          <w:tcPr>
            <w:tcW w:w="1276" w:type="dxa"/>
            <w:tcBorders>
              <w:top w:val="dashSmallGap" w:color="auto" w:sz="4" w:space="0"/>
              <w:left w:val="dashSmallGap" w:color="auto" w:sz="4" w:space="0"/>
              <w:bottom w:val="dashSmallGap" w:color="auto" w:sz="4" w:space="0"/>
              <w:right w:val="dashSmallGap"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653" w:type="dxa"/>
            <w:tcBorders>
              <w:top w:val="dashSmallGap" w:color="auto" w:sz="4" w:space="0"/>
              <w:left w:val="dashSmallGap" w:color="auto" w:sz="4" w:space="0"/>
              <w:bottom w:val="dashSmallGap" w:color="auto" w:sz="4" w:space="0"/>
              <w:right w:val="single"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568" w:type="dxa"/>
            <w:tcBorders>
              <w:top w:val="single" w:color="auto" w:sz="4" w:space="0"/>
              <w:left w:val="single" w:color="auto" w:sz="4" w:space="0"/>
              <w:right w:val="single" w:color="auto" w:sz="4" w:space="0"/>
            </w:tcBorders>
            <w:vAlign w:val="center"/>
          </w:tcPr>
          <w:p>
            <w:pPr>
              <w:spacing w:beforeLines="15" w:afterLines="15"/>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难以置信</w:t>
            </w:r>
          </w:p>
        </w:tc>
        <w:tc>
          <w:tcPr>
            <w:tcW w:w="1565" w:type="dxa"/>
            <w:tcBorders>
              <w:top w:val="dashSmallGap" w:color="auto" w:sz="4" w:space="0"/>
              <w:left w:val="single" w:color="auto" w:sz="4" w:space="0"/>
              <w:right w:val="dashSmallGap"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ACC</w:t>
            </w:r>
          </w:p>
        </w:tc>
        <w:tc>
          <w:tcPr>
            <w:tcW w:w="1456" w:type="dxa"/>
            <w:tcBorders>
              <w:top w:val="dashSmallGap" w:color="auto" w:sz="4" w:space="0"/>
              <w:left w:val="dashSmallGap" w:color="auto" w:sz="4" w:space="0"/>
              <w:right w:val="dashSmallGap"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ACC</w:t>
            </w:r>
          </w:p>
        </w:tc>
        <w:tc>
          <w:tcPr>
            <w:tcW w:w="1276" w:type="dxa"/>
            <w:tcBorders>
              <w:top w:val="dashSmallGap" w:color="auto" w:sz="4" w:space="0"/>
              <w:left w:val="dashSmallGap" w:color="auto" w:sz="4" w:space="0"/>
              <w:right w:val="dashSmallGap"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ACC</w:t>
            </w:r>
          </w:p>
        </w:tc>
        <w:tc>
          <w:tcPr>
            <w:tcW w:w="1653" w:type="dxa"/>
            <w:tcBorders>
              <w:top w:val="dashSmallGap" w:color="auto" w:sz="4" w:space="0"/>
              <w:left w:val="dashSmallGap" w:color="auto" w:sz="4" w:space="0"/>
              <w:right w:val="single"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ACC</w:t>
            </w:r>
          </w:p>
        </w:tc>
      </w:tr>
    </w:tbl>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说明：N/ACC: 不经过风险/受益分析即判定为不可接受风险。</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 (ALARP)：合理可降低的风险。</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ACC: 广泛可接受风险。</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经过风险分析和风险评价过程判断出的产品所有的风险均应采取合理可行的措施降至可接受区。当所有风险控制措施已经实施并验证后，应根据本准则判断由产品造成的剩余风险的可接受性。当剩余风险被判断为不可接受时，应收集和评审有关预期用途、预期目的的医疗受益的资料和文献，对剩余风险进行风险/受益分析。如果受益大于风险，则该风险还是可接受的，如果风险大于受益则设计应放弃。</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损害概率不能加以估计的危害处境，应编写一个危害的可能后果清单以用于风险评价和风险控制，采取合理可行降低法将风险降低到合理可行的最低水平，对于无法降低的风险进行风险/受益分析，如果受益大于风险，则该危害可接受，如果风险大于受益，则风险不可接受。受益必须大于风险，才能判定为可接受。</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在可接受区，风险是很低的，但是还应主动采取可行的措施将风险降至最低。</w:t>
      </w:r>
    </w:p>
    <w:p>
      <w:pPr>
        <w:pStyle w:val="2"/>
        <w:numPr>
          <w:ilvl w:val="0"/>
          <w:numId w:val="2"/>
        </w:numPr>
        <w:spacing w:before="0" w:after="0" w:line="360" w:lineRule="auto"/>
        <w:ind w:left="448" w:hanging="448"/>
        <w:rPr>
          <w:rFonts w:hint="eastAsia" w:asciiTheme="minorEastAsia" w:hAnsiTheme="minorEastAsia" w:eastAsiaTheme="minorEastAsia" w:cstheme="minorEastAsia"/>
          <w:sz w:val="24"/>
          <w:szCs w:val="24"/>
        </w:rPr>
      </w:pPr>
      <w:bookmarkStart w:id="34" w:name="_Toc455070005"/>
      <w:r>
        <w:rPr>
          <w:rFonts w:hint="eastAsia" w:asciiTheme="minorEastAsia" w:hAnsiTheme="minorEastAsia" w:eastAsiaTheme="minorEastAsia" w:cstheme="minorEastAsia"/>
          <w:sz w:val="24"/>
          <w:szCs w:val="24"/>
        </w:rPr>
        <w:t>风险控制</w:t>
      </w:r>
      <w:bookmarkEnd w:id="34"/>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对于经判断为不可接受的风险，应在设计开发阶段从以下几个方面进行风险控制方案分析，识别一个或多个风险控制措施，以把风险降低到可接受水平。</w:t>
      </w:r>
    </w:p>
    <w:p>
      <w:pPr>
        <w:pStyle w:val="22"/>
        <w:spacing w:line="360" w:lineRule="auto"/>
        <w:ind w:left="45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1）用设计方法取得固有安全性</w:t>
      </w:r>
    </w:p>
    <w:p>
      <w:pPr>
        <w:pStyle w:val="22"/>
        <w:spacing w:line="360" w:lineRule="auto"/>
        <w:ind w:left="45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--消除特定的危害；</w:t>
      </w:r>
    </w:p>
    <w:p>
      <w:pPr>
        <w:pStyle w:val="22"/>
        <w:spacing w:line="360" w:lineRule="auto"/>
        <w:ind w:left="45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--降低损害的发生概率；</w:t>
      </w:r>
    </w:p>
    <w:p>
      <w:pPr>
        <w:pStyle w:val="22"/>
        <w:spacing w:line="360" w:lineRule="auto"/>
        <w:ind w:left="45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--降低损害的严重度。</w:t>
      </w:r>
    </w:p>
    <w:p>
      <w:pPr>
        <w:pStyle w:val="22"/>
        <w:spacing w:line="360" w:lineRule="auto"/>
        <w:ind w:left="45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2）在产品本身或在制造过程中的防护措施。</w:t>
      </w:r>
    </w:p>
    <w:p>
      <w:pPr>
        <w:pStyle w:val="22"/>
        <w:spacing w:line="360" w:lineRule="auto"/>
        <w:ind w:left="45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3）安全信息</w:t>
      </w:r>
    </w:p>
    <w:p>
      <w:pPr>
        <w:pStyle w:val="22"/>
        <w:spacing w:line="360" w:lineRule="auto"/>
        <w:ind w:left="45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--在产品随附文件中给出警告、使用说明；</w:t>
      </w:r>
    </w:p>
    <w:p>
      <w:pPr>
        <w:pStyle w:val="22"/>
        <w:spacing w:line="360" w:lineRule="auto"/>
        <w:ind w:left="45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--限制医疗器械的使用或限制使用环境；</w:t>
      </w:r>
    </w:p>
    <w:p>
      <w:pPr>
        <w:pStyle w:val="22"/>
        <w:spacing w:line="360" w:lineRule="auto"/>
        <w:ind w:left="45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--对操作者进行培训。</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在产品试生产或生产阶段，对产品制造过程进行控制，如运用HACCP技术。（危害分析和关键控制点）</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如果经方案分析确定所需的风险降低是不可行的，则各部门应收集相关资料对剩余风险进行风险/受益分析，若经评审所收集的资料和文献不支持受益大于风险，则设计应放弃。</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各部门应确保经判定的危害处境产生的一个或多个风险得到了考虑，保证风险控制的完整性。</w:t>
      </w:r>
    </w:p>
    <w:p>
      <w:pPr>
        <w:ind w:firstLine="480" w:firstLineChars="2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在风险控制方案实施中或实施后，应对实施效果进行验证，以确定控制措施的适应性和有效性，对任何剩余风险都应采取本计划中第4条的风险可接受准则进行评价，对判断为不可接受的应采取进一步的风险控制措施，如果控制措施不可行，则应收集和评审相关的资料和文献对剩余风险进行风险/受益分析，若受益大于风险，则剩余风险依然是可接收到，如果风险大于受益，则为不可接受。对于判断为可接受的剩余风险，、销售部应配合技术部决定那些剩余风险应予以公开，依据ISO14971附件J的指南公开哪些剩余风险。同时对控制措施的实施是否会引起的一个或多个新的风险或对采取措施之前评价的风险是否有影响进行分析，必要时进行再次风险分析、风险评价和风险控制，所采取活动的结果应进行记录并保持，此过程预期30个月</w:t>
      </w:r>
      <w:r>
        <w:rPr>
          <w:rFonts w:hint="eastAsia" w:asciiTheme="minorEastAsia" w:hAnsiTheme="minorEastAsia" w:eastAsiaTheme="minorEastAsia" w:cstheme="minorEastAsia"/>
          <w:sz w:val="24"/>
          <w:szCs w:val="24"/>
          <w:lang w:val="en-US"/>
        </w:rPr>
        <w:t>.</w:t>
      </w:r>
    </w:p>
    <w:p>
      <w:pPr>
        <w:pStyle w:val="2"/>
        <w:numPr>
          <w:ilvl w:val="0"/>
          <w:numId w:val="2"/>
        </w:numPr>
        <w:spacing w:before="0" w:after="0" w:line="360" w:lineRule="auto"/>
        <w:ind w:left="448" w:hanging="448"/>
        <w:rPr>
          <w:rFonts w:hint="eastAsia" w:asciiTheme="minorEastAsia" w:hAnsiTheme="minorEastAsia" w:eastAsiaTheme="minorEastAsia" w:cstheme="minorEastAsia"/>
          <w:sz w:val="24"/>
          <w:szCs w:val="24"/>
        </w:rPr>
      </w:pPr>
      <w:bookmarkStart w:id="35" w:name="_Toc455070006"/>
      <w:r>
        <w:rPr>
          <w:rFonts w:hint="eastAsia" w:asciiTheme="minorEastAsia" w:hAnsiTheme="minorEastAsia" w:eastAsiaTheme="minorEastAsia" w:cstheme="minorEastAsia"/>
          <w:sz w:val="24"/>
          <w:szCs w:val="24"/>
        </w:rPr>
        <w:t>验证活动</w:t>
      </w:r>
      <w:bookmarkEnd w:id="35"/>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应确保经判定的危害处境产生的一个或多个风险得到了考虑，并保证所有已评价的风险已通过合理可行的措施降低至可接受水平，保证风险控制的完整性。</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风险管理评审小组负责对风险管理计划的实施情况进行验证，以查看风险管理文档的方式查看风险分析、风险评价、风险控制等记录，确保风险管理计划中策划的风险管理活动已得到适当的实施。</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风险控制方案实施中或实施后，应对实施效果进行验证，可通过收集临床资料及生产和生产后信息对风险管理实施效果进行验证以确保风险管理活动的有效性。同时对控制措施的实施是否会引起的一个或多个新的风险或对采取措施之前评价的风险是否有影响进行分析，必要时进行再次风险分析、风险评价和风险控制。</w:t>
      </w:r>
    </w:p>
    <w:p>
      <w:pPr>
        <w:pStyle w:val="2"/>
        <w:numPr>
          <w:ilvl w:val="0"/>
          <w:numId w:val="2"/>
        </w:numPr>
        <w:spacing w:before="0" w:after="0" w:line="360" w:lineRule="auto"/>
        <w:ind w:left="448" w:hanging="44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综合剩余风险分析</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所有风险控制措施已经实施并验证后，各部门应考虑是否所有由该产品造成的综合剩余风险依据本计划中第4条的准则判断是可接受的，如果判断为不可接受，则各部门应收集和评审有关资料和文献，以便决定预期用途的医疗受益是否超过综合剩余风险，如果上述证据支持医疗受益超过综合剩余风险的结论，则综合剩余风险是可接受的，否则综合剩余风险任然是不可接受的。</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各部门可以参考一下的一些方法评价综合剩余风险</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1）事件树分析法：对单个风险进行共同研究，以便确定综合剩余风险是否可以接受；</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2）故障树分析：同一种损害可能是由不同概率的危害处境造成的，该方法可以导出损害的结合概率；</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3）对单个风险控制措施进行综合评审：对单个风险是适宜的风险控制措施可能产生相互矛盾的要求；</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4）警告的评审：单个警告可能提供风险降低，但过多的警告可能降低警告的效果；</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5）评审操作说明书：对产品全部操作说明书的评审可能检出信息是不一致的，或者难以遵守的；</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6）比较风险：将整理过的单个剩余风险和类似现有的产品考虑不同使用情形下的风险进行逐个比较，尤其是最新的不良事件。</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各部门应决定哪些综合剩余风险应依据ISO14971附录J予以公布，应保持综合剩余风险的评价结果记录，此过程预期3个月。</w:t>
      </w:r>
    </w:p>
    <w:p>
      <w:pPr>
        <w:pStyle w:val="2"/>
        <w:numPr>
          <w:ilvl w:val="0"/>
          <w:numId w:val="2"/>
        </w:numPr>
        <w:spacing w:before="0" w:after="0" w:line="360" w:lineRule="auto"/>
        <w:ind w:left="448" w:hanging="448"/>
        <w:rPr>
          <w:rFonts w:hint="eastAsia" w:asciiTheme="minorEastAsia" w:hAnsiTheme="minorEastAsia" w:eastAsiaTheme="minorEastAsia" w:cstheme="minorEastAsia"/>
          <w:sz w:val="24"/>
          <w:szCs w:val="24"/>
        </w:rPr>
      </w:pPr>
      <w:bookmarkStart w:id="36" w:name="_Toc455070008"/>
      <w:r>
        <w:rPr>
          <w:rFonts w:hint="eastAsia" w:asciiTheme="minorEastAsia" w:hAnsiTheme="minorEastAsia" w:eastAsiaTheme="minorEastAsia" w:cstheme="minorEastAsia"/>
          <w:sz w:val="24"/>
          <w:szCs w:val="24"/>
        </w:rPr>
        <w:t>生产和生产后信息</w:t>
      </w:r>
      <w:bookmarkEnd w:id="36"/>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产品开发完成投入生产的过程中，要密切关注该产品的生产以及原材料的采购，各部门如果得到有关同类或类似产品中可能与安全有关的信息后，需要立即反馈研发部，研发部应对这些信息作出及时的评价，包括的评价有：</w:t>
      </w:r>
    </w:p>
    <w:p>
      <w:pPr>
        <w:pStyle w:val="22"/>
        <w:numPr>
          <w:ilvl w:val="0"/>
          <w:numId w:val="5"/>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是否有事先未认知的危害出现；</w:t>
      </w:r>
    </w:p>
    <w:p>
      <w:pPr>
        <w:pStyle w:val="22"/>
        <w:numPr>
          <w:ilvl w:val="0"/>
          <w:numId w:val="5"/>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是否有某项危害造成的已被估计的一个或多个风险不再是可以接受的；</w:t>
      </w:r>
    </w:p>
    <w:p>
      <w:pPr>
        <w:pStyle w:val="22"/>
        <w:numPr>
          <w:ilvl w:val="0"/>
          <w:numId w:val="5"/>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初始评定是否无效。</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果上述条件之一满足，则应作为风险管理过程的输入，考虑对医疗器械风险管理过程的适当阶段进行评审。如果一个或多个剩余风险或其可接受性已有潜在的变化，应对已实施的风险控制措施的影响进行重新评价。如果有新的风险产生，应对已销售产品进行评估，和给出适当的处理措施。评价的结果记录在风险管理报告中。</w:t>
      </w:r>
    </w:p>
    <w:p>
      <w:pPr>
        <w:pStyle w:val="2"/>
        <w:numPr>
          <w:ilvl w:val="0"/>
          <w:numId w:val="2"/>
        </w:numPr>
        <w:spacing w:before="0" w:after="0" w:line="360" w:lineRule="auto"/>
        <w:ind w:left="448" w:hanging="448"/>
        <w:rPr>
          <w:rFonts w:hint="eastAsia" w:asciiTheme="minorEastAsia" w:hAnsiTheme="minorEastAsia" w:eastAsiaTheme="minorEastAsia" w:cstheme="minorEastAsia"/>
          <w:sz w:val="24"/>
          <w:szCs w:val="24"/>
        </w:rPr>
      </w:pPr>
      <w:bookmarkStart w:id="37" w:name="_Toc455070009"/>
      <w:bookmarkStart w:id="38" w:name="_Toc451939590"/>
      <w:r>
        <w:rPr>
          <w:rFonts w:hint="eastAsia" w:asciiTheme="minorEastAsia" w:hAnsiTheme="minorEastAsia" w:eastAsiaTheme="minorEastAsia" w:cstheme="minorEastAsia"/>
          <w:sz w:val="24"/>
          <w:szCs w:val="24"/>
        </w:rPr>
        <w:t>年度风险分析</w:t>
      </w:r>
      <w:bookmarkEnd w:id="37"/>
      <w:bookmarkEnd w:id="38"/>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投入生产上市后，按年度进行风险分析，对产品生产中的各个环节、及客户要求与反馈进行整体评估，并形成年度风险分析报告。在进行年度风险分析时，应考虑由医疗器械的操作者、使用者或医疗器械安装、使用和维护人员所产生信息的收集和处理机制，还应考虑新的或者修订的标准要求。</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有新的资料/数据可供应用时，应考虑核查已做出的风险分析报告，若必要，进行一次新的风险分析。因为快速发展的技术有可能消除、增加或降低任一特定危害的风险。随着时间的推移，风险有可能发生变化，依据新的资料/数据，新的风险也可能出现。</w:t>
      </w:r>
    </w:p>
    <w:p>
      <w:pPr>
        <w:pStyle w:val="2"/>
        <w:numPr>
          <w:ilvl w:val="0"/>
          <w:numId w:val="2"/>
        </w:numPr>
        <w:spacing w:before="0" w:after="0" w:line="360" w:lineRule="auto"/>
        <w:ind w:left="448" w:hanging="448"/>
        <w:rPr>
          <w:rFonts w:hint="eastAsia" w:asciiTheme="minorEastAsia" w:hAnsiTheme="minorEastAsia" w:eastAsiaTheme="minorEastAsia" w:cstheme="minorEastAsia"/>
          <w:sz w:val="24"/>
          <w:szCs w:val="24"/>
        </w:rPr>
      </w:pPr>
      <w:bookmarkStart w:id="39" w:name="_Toc455070010"/>
      <w:r>
        <w:rPr>
          <w:rFonts w:hint="eastAsia" w:asciiTheme="minorEastAsia" w:hAnsiTheme="minorEastAsia" w:eastAsiaTheme="minorEastAsia" w:cstheme="minorEastAsia"/>
          <w:sz w:val="24"/>
          <w:szCs w:val="24"/>
        </w:rPr>
        <w:t>风险管理报告</w:t>
      </w:r>
      <w:bookmarkEnd w:id="39"/>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在产品上市销售前，各部门应配合研发部完成对风险管理过程的评审，评审要求见本计划，评审的结果最终以风险管理报告的方式给出。</w:t>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223F9"/>
    <w:multiLevelType w:val="multilevel"/>
    <w:tmpl w:val="09B223F9"/>
    <w:lvl w:ilvl="0" w:tentative="0">
      <w:start w:val="1"/>
      <w:numFmt w:val="decimal"/>
      <w:lvlText w:val="第%1章."/>
      <w:lvlJc w:val="left"/>
      <w:pPr>
        <w:ind w:left="0" w:firstLine="0"/>
      </w:pPr>
      <w:rPr>
        <w:rFonts w:hint="eastAsia"/>
        <w:sz w:val="44"/>
        <w:szCs w:val="44"/>
      </w:rPr>
    </w:lvl>
    <w:lvl w:ilvl="1" w:tentative="0">
      <w:start w:val="1"/>
      <w:numFmt w:val="none"/>
      <w:suff w:val="nothing"/>
      <w:lvlText w:val=""/>
      <w:lvlJc w:val="left"/>
      <w:pPr>
        <w:ind w:left="0" w:firstLine="0"/>
      </w:pPr>
    </w:lvl>
    <w:lvl w:ilvl="2" w:tentative="0">
      <w:start w:val="1"/>
      <w:numFmt w:val="decimal"/>
      <w:pStyle w:val="4"/>
      <w:lvlText w:val="%3)"/>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1A7B0646"/>
    <w:multiLevelType w:val="multilevel"/>
    <w:tmpl w:val="1A7B0646"/>
    <w:lvl w:ilvl="0" w:tentative="0">
      <w:start w:val="1"/>
      <w:numFmt w:val="decimal"/>
      <w:lvlText w:val="%1、"/>
      <w:lvlJc w:val="left"/>
      <w:pPr>
        <w:ind w:left="450" w:hanging="450"/>
      </w:pPr>
      <w:rPr>
        <w:rFonts w:hint="default"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28210A0"/>
    <w:multiLevelType w:val="multilevel"/>
    <w:tmpl w:val="228210A0"/>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6E697231"/>
    <w:multiLevelType w:val="multilevel"/>
    <w:tmpl w:val="6E697231"/>
    <w:lvl w:ilvl="0" w:tentative="0">
      <w:start w:val="1"/>
      <w:numFmt w:val="lowerLetter"/>
      <w:lvlText w:val="%1)"/>
      <w:lvlJc w:val="left"/>
      <w:pPr>
        <w:ind w:left="846" w:hanging="420"/>
      </w:pPr>
      <w:rPr>
        <w:rFonts w:hint="eastAsia"/>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731F4FB1"/>
    <w:multiLevelType w:val="multilevel"/>
    <w:tmpl w:val="731F4FB1"/>
    <w:lvl w:ilvl="0" w:tentative="0">
      <w:start w:val="1"/>
      <w:numFmt w:val="decimal"/>
      <w:lvlText w:val="%1)"/>
      <w:lvlJc w:val="left"/>
      <w:pPr>
        <w:ind w:left="420" w:hanging="420"/>
      </w:pPr>
      <w:rPr>
        <w:rFonts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RhZDRiYTc0MWIyMDZlYjJkOTg5ZGRjYTYzZDE4NmQifQ=="/>
  </w:docVars>
  <w:rsids>
    <w:rsidRoot w:val="00E848D2"/>
    <w:rsid w:val="00001E8F"/>
    <w:rsid w:val="000D44C5"/>
    <w:rsid w:val="00242C82"/>
    <w:rsid w:val="002D42D7"/>
    <w:rsid w:val="00315F01"/>
    <w:rsid w:val="00361A78"/>
    <w:rsid w:val="00361D9B"/>
    <w:rsid w:val="0036213B"/>
    <w:rsid w:val="003B0E4D"/>
    <w:rsid w:val="003F1ED0"/>
    <w:rsid w:val="003F48D6"/>
    <w:rsid w:val="00497500"/>
    <w:rsid w:val="004E1861"/>
    <w:rsid w:val="0051326D"/>
    <w:rsid w:val="00542882"/>
    <w:rsid w:val="00551F6C"/>
    <w:rsid w:val="005E3FDB"/>
    <w:rsid w:val="00621D71"/>
    <w:rsid w:val="006600DA"/>
    <w:rsid w:val="00681F69"/>
    <w:rsid w:val="00695D07"/>
    <w:rsid w:val="006F52E7"/>
    <w:rsid w:val="007161D5"/>
    <w:rsid w:val="007507CC"/>
    <w:rsid w:val="007542A6"/>
    <w:rsid w:val="007C750D"/>
    <w:rsid w:val="008265B5"/>
    <w:rsid w:val="00850B20"/>
    <w:rsid w:val="008F5F40"/>
    <w:rsid w:val="00905002"/>
    <w:rsid w:val="00912062"/>
    <w:rsid w:val="00933AFC"/>
    <w:rsid w:val="00983902"/>
    <w:rsid w:val="00996D9B"/>
    <w:rsid w:val="00A96323"/>
    <w:rsid w:val="00B14F47"/>
    <w:rsid w:val="00BA58FD"/>
    <w:rsid w:val="00C53949"/>
    <w:rsid w:val="00CC3B3B"/>
    <w:rsid w:val="00CC69A1"/>
    <w:rsid w:val="00D40791"/>
    <w:rsid w:val="00D63955"/>
    <w:rsid w:val="00D652FC"/>
    <w:rsid w:val="00E11207"/>
    <w:rsid w:val="00E63CE2"/>
    <w:rsid w:val="00E848D2"/>
    <w:rsid w:val="00EC359F"/>
    <w:rsid w:val="00EF090A"/>
    <w:rsid w:val="00EF5D84"/>
    <w:rsid w:val="00F17939"/>
    <w:rsid w:val="00F858F7"/>
    <w:rsid w:val="00FA05D4"/>
    <w:rsid w:val="110919FD"/>
    <w:rsid w:val="1592707B"/>
    <w:rsid w:val="1D212406"/>
    <w:rsid w:val="21FC0273"/>
    <w:rsid w:val="299B2082"/>
    <w:rsid w:val="74FD51C1"/>
    <w:rsid w:val="7DC67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28"/>
      <w:szCs w:val="44"/>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30"/>
    <w:qFormat/>
    <w:uiPriority w:val="0"/>
    <w:pPr>
      <w:keepNext/>
      <w:keepLines/>
      <w:numPr>
        <w:ilvl w:val="2"/>
        <w:numId w:val="1"/>
      </w:numPr>
      <w:spacing w:beforeLines="50"/>
      <w:outlineLvl w:val="2"/>
    </w:pPr>
    <w:rPr>
      <w:rFonts w:ascii="Times New Roman" w:hAnsi="Times New Roman" w:eastAsia="宋体" w:cs="Times New Roman"/>
      <w:b/>
      <w:szCs w:val="20"/>
    </w:rPr>
  </w:style>
  <w:style w:type="paragraph" w:styleId="6">
    <w:name w:val="heading 4"/>
    <w:basedOn w:val="1"/>
    <w:next w:val="1"/>
    <w:link w:val="2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4"/>
    <w:qFormat/>
    <w:uiPriority w:val="0"/>
    <w:pPr>
      <w:spacing w:before="60"/>
      <w:ind w:firstLine="420" w:firstLineChars="200"/>
    </w:pPr>
    <w:rPr>
      <w:rFonts w:ascii="Times New Roman" w:hAnsi="Times New Roman" w:eastAsia="宋体" w:cs="Times New Roman"/>
      <w:szCs w:val="24"/>
    </w:rPr>
  </w:style>
  <w:style w:type="paragraph" w:styleId="7">
    <w:name w:val="annotation text"/>
    <w:basedOn w:val="1"/>
    <w:link w:val="27"/>
    <w:semiHidden/>
    <w:unhideWhenUsed/>
    <w:qFormat/>
    <w:uiPriority w:val="99"/>
    <w:pPr>
      <w:jc w:val="left"/>
    </w:pPr>
  </w:style>
  <w:style w:type="paragraph" w:styleId="8">
    <w:name w:val="Balloon Text"/>
    <w:basedOn w:val="1"/>
    <w:link w:val="26"/>
    <w:semiHidden/>
    <w:unhideWhenUsed/>
    <w:qFormat/>
    <w:uiPriority w:val="99"/>
    <w:rPr>
      <w:sz w:val="18"/>
      <w:szCs w:val="18"/>
    </w:rPr>
  </w:style>
  <w:style w:type="paragraph" w:styleId="9">
    <w:name w:val="footer"/>
    <w:basedOn w:val="1"/>
    <w:link w:val="20"/>
    <w:semiHidden/>
    <w:unhideWhenUsed/>
    <w:qFormat/>
    <w:uiPriority w:val="99"/>
    <w:pPr>
      <w:tabs>
        <w:tab w:val="center" w:pos="4153"/>
        <w:tab w:val="right" w:pos="8306"/>
      </w:tabs>
      <w:snapToGrid w:val="0"/>
      <w:jc w:val="left"/>
    </w:pPr>
    <w:rPr>
      <w:sz w:val="18"/>
      <w:szCs w:val="18"/>
    </w:rPr>
  </w:style>
  <w:style w:type="paragraph" w:styleId="10">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annotation subject"/>
    <w:basedOn w:val="7"/>
    <w:next w:val="7"/>
    <w:link w:val="28"/>
    <w:semiHidden/>
    <w:unhideWhenUsed/>
    <w:qFormat/>
    <w:uiPriority w:val="99"/>
    <w:rPr>
      <w:b/>
      <w:bCs/>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Hyperlink"/>
    <w:basedOn w:val="16"/>
    <w:unhideWhenUsed/>
    <w:qFormat/>
    <w:uiPriority w:val="99"/>
    <w:rPr>
      <w:color w:val="0000FF" w:themeColor="hyperlink"/>
      <w:u w:val="single"/>
    </w:rPr>
  </w:style>
  <w:style w:type="character" w:styleId="18">
    <w:name w:val="annotation reference"/>
    <w:basedOn w:val="16"/>
    <w:semiHidden/>
    <w:unhideWhenUsed/>
    <w:qFormat/>
    <w:uiPriority w:val="99"/>
    <w:rPr>
      <w:sz w:val="21"/>
      <w:szCs w:val="21"/>
    </w:rPr>
  </w:style>
  <w:style w:type="character" w:customStyle="1" w:styleId="19">
    <w:name w:val="页眉 Char"/>
    <w:basedOn w:val="16"/>
    <w:link w:val="10"/>
    <w:semiHidden/>
    <w:qFormat/>
    <w:uiPriority w:val="99"/>
    <w:rPr>
      <w:sz w:val="18"/>
      <w:szCs w:val="18"/>
    </w:rPr>
  </w:style>
  <w:style w:type="character" w:customStyle="1" w:styleId="20">
    <w:name w:val="页脚 Char"/>
    <w:basedOn w:val="16"/>
    <w:link w:val="9"/>
    <w:semiHidden/>
    <w:qFormat/>
    <w:uiPriority w:val="99"/>
    <w:rPr>
      <w:sz w:val="18"/>
      <w:szCs w:val="18"/>
    </w:rPr>
  </w:style>
  <w:style w:type="character" w:customStyle="1" w:styleId="21">
    <w:name w:val="标题 1 Char"/>
    <w:basedOn w:val="16"/>
    <w:link w:val="2"/>
    <w:qFormat/>
    <w:uiPriority w:val="9"/>
    <w:rPr>
      <w:b/>
      <w:bCs/>
      <w:kern w:val="44"/>
      <w:sz w:val="28"/>
      <w:szCs w:val="44"/>
    </w:rPr>
  </w:style>
  <w:style w:type="paragraph" w:styleId="22">
    <w:name w:val="List Paragraph"/>
    <w:basedOn w:val="1"/>
    <w:qFormat/>
    <w:uiPriority w:val="34"/>
    <w:pPr>
      <w:ind w:firstLine="420" w:firstLineChars="200"/>
    </w:pPr>
  </w:style>
  <w:style w:type="character" w:customStyle="1" w:styleId="23">
    <w:name w:val="标题 2 Char"/>
    <w:basedOn w:val="16"/>
    <w:link w:val="3"/>
    <w:qFormat/>
    <w:uiPriority w:val="9"/>
    <w:rPr>
      <w:rFonts w:asciiTheme="majorHAnsi" w:hAnsiTheme="majorHAnsi" w:eastAsiaTheme="majorEastAsia" w:cstheme="majorBidi"/>
      <w:b/>
      <w:bCs/>
      <w:sz w:val="32"/>
      <w:szCs w:val="32"/>
    </w:rPr>
  </w:style>
  <w:style w:type="character" w:customStyle="1" w:styleId="24">
    <w:name w:val="正文缩进 Char"/>
    <w:basedOn w:val="16"/>
    <w:link w:val="5"/>
    <w:qFormat/>
    <w:uiPriority w:val="0"/>
    <w:rPr>
      <w:rFonts w:ascii="Times New Roman" w:hAnsi="Times New Roman" w:eastAsia="宋体" w:cs="Times New Roman"/>
      <w:szCs w:val="24"/>
    </w:rPr>
  </w:style>
  <w:style w:type="paragraph" w:customStyle="1" w:styleId="25">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Cs w:val="28"/>
    </w:rPr>
  </w:style>
  <w:style w:type="character" w:customStyle="1" w:styleId="26">
    <w:name w:val="批注框文本 Char"/>
    <w:basedOn w:val="16"/>
    <w:link w:val="8"/>
    <w:semiHidden/>
    <w:qFormat/>
    <w:uiPriority w:val="99"/>
    <w:rPr>
      <w:sz w:val="18"/>
      <w:szCs w:val="18"/>
    </w:rPr>
  </w:style>
  <w:style w:type="character" w:customStyle="1" w:styleId="27">
    <w:name w:val="批注文字 Char"/>
    <w:basedOn w:val="16"/>
    <w:link w:val="7"/>
    <w:semiHidden/>
    <w:qFormat/>
    <w:uiPriority w:val="99"/>
  </w:style>
  <w:style w:type="character" w:customStyle="1" w:styleId="28">
    <w:name w:val="批注主题 Char"/>
    <w:basedOn w:val="27"/>
    <w:link w:val="13"/>
    <w:semiHidden/>
    <w:qFormat/>
    <w:uiPriority w:val="99"/>
    <w:rPr>
      <w:b/>
      <w:bCs/>
    </w:rPr>
  </w:style>
  <w:style w:type="character" w:customStyle="1" w:styleId="29">
    <w:name w:val="标题 4 Char"/>
    <w:basedOn w:val="16"/>
    <w:link w:val="6"/>
    <w:semiHidden/>
    <w:qFormat/>
    <w:uiPriority w:val="9"/>
    <w:rPr>
      <w:rFonts w:asciiTheme="majorHAnsi" w:hAnsiTheme="majorHAnsi" w:eastAsiaTheme="majorEastAsia" w:cstheme="majorBidi"/>
      <w:b/>
      <w:bCs/>
      <w:sz w:val="28"/>
      <w:szCs w:val="28"/>
    </w:rPr>
  </w:style>
  <w:style w:type="character" w:customStyle="1" w:styleId="30">
    <w:name w:val="标题 3 Char"/>
    <w:basedOn w:val="16"/>
    <w:link w:val="4"/>
    <w:qFormat/>
    <w:uiPriority w:val="0"/>
    <w:rPr>
      <w:rFonts w:ascii="Times New Roman" w:hAnsi="Times New Roman" w:eastAsia="宋体" w:cs="Times New Roman"/>
      <w:b/>
      <w:szCs w:val="20"/>
    </w:rPr>
  </w:style>
  <w:style w:type="paragraph" w:customStyle="1" w:styleId="31">
    <w:name w:val="列出段落1"/>
    <w:basedOn w:val="1"/>
    <w:qFormat/>
    <w:uiPriority w:val="34"/>
    <w:pPr>
      <w:suppressAutoHyphens/>
      <w:ind w:firstLine="420" w:firstLineChars="200"/>
    </w:pPr>
    <w:rPr>
      <w:rFonts w:ascii="Times New Roman" w:hAnsi="Times New Roman" w:eastAsia="宋体" w:cs="Times New Roman"/>
      <w:kern w:val="1"/>
      <w:szCs w:val="24"/>
      <w:lang w:eastAsia="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3A0EDC3-669E-4427-B217-B98E1C02EF9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4997</Words>
  <Characters>5212</Characters>
  <Lines>52</Lines>
  <Paragraphs>14</Paragraphs>
  <TotalTime>0</TotalTime>
  <ScaleCrop>false</ScaleCrop>
  <LinksUpToDate>false</LinksUpToDate>
  <CharactersWithSpaces>5540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2015-02-06T07:03:00Z</dcterms:created>
  <dc:creator>blue</dc:creator>
  <cp:lastModifiedBy>伊人</cp:lastModifiedBy>
  <dcterms:modified xsi:type="dcterms:W3CDTF">2023-08-10T09:55:59Z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A16C577A169448D88D4DA6525FD6F987_12</vt:lpwstr>
  </property>
</Properties>
</file>