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67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8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70" w:type="dxa"/>
            <w:vAlign w:val="center"/>
          </w:tcPr>
          <w:p>
            <w:pPr>
              <w:tabs>
                <w:tab w:val="left" w:pos="1276"/>
              </w:tabs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部门（要素）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5.4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5.5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5.6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6.4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7.4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7.5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7.6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8.1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8.2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8.3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8.4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8.5</w:t>
            </w:r>
          </w:p>
        </w:tc>
        <w:tc>
          <w:tcPr>
            <w:tcW w:w="870" w:type="dxa"/>
            <w:vAlign w:val="center"/>
          </w:tcPr>
          <w:p>
            <w:pPr>
              <w:ind w:right="-686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合计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70" w:type="dxa"/>
            <w:vAlign w:val="center"/>
          </w:tcPr>
          <w:p>
            <w:pPr>
              <w:tabs>
                <w:tab w:val="left" w:pos="1276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管理层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right="-686"/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70" w:type="dxa"/>
            <w:vAlign w:val="center"/>
          </w:tcPr>
          <w:p>
            <w:pPr>
              <w:tabs>
                <w:tab w:val="left" w:pos="1276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生产部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right="-686"/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70" w:type="dxa"/>
            <w:vAlign w:val="center"/>
          </w:tcPr>
          <w:p>
            <w:pPr>
              <w:tabs>
                <w:tab w:val="left" w:pos="1276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质量部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right="-686"/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70" w:type="dxa"/>
            <w:vAlign w:val="center"/>
          </w:tcPr>
          <w:p>
            <w:pPr>
              <w:tabs>
                <w:tab w:val="left" w:pos="1276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研发部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right="-686"/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70" w:type="dxa"/>
            <w:vAlign w:val="center"/>
          </w:tcPr>
          <w:p>
            <w:pPr>
              <w:tabs>
                <w:tab w:val="left" w:pos="1276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业务部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right="-686"/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70" w:type="dxa"/>
            <w:vAlign w:val="center"/>
          </w:tcPr>
          <w:p>
            <w:pPr>
              <w:tabs>
                <w:tab w:val="left" w:pos="1276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采购部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right="-686"/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70" w:type="dxa"/>
            <w:vAlign w:val="center"/>
          </w:tcPr>
          <w:p>
            <w:pPr>
              <w:tabs>
                <w:tab w:val="left" w:pos="1276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行政部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right="-686"/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70" w:type="dxa"/>
            <w:vAlign w:val="center"/>
          </w:tcPr>
          <w:p>
            <w:pPr>
              <w:tabs>
                <w:tab w:val="left" w:pos="1276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ind w:right="-686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ind w:right="-686"/>
              <w:jc w:val="left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>
      <w:pPr>
        <w:tabs>
          <w:tab w:val="left" w:pos="1276"/>
        </w:tabs>
        <w:jc w:val="center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65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25" w:firstLineChars="250"/>
      <w:rPr>
        <w:rFonts w:hint="eastAsia" w:ascii="黑体" w:eastAsia="黑体"/>
        <w:u w:val="single"/>
      </w:rPr>
    </w:pPr>
    <w:r>
      <w:rPr>
        <w:rFonts w:hint="eastAsia" w:ascii="黑体" w:eastAsia="黑体"/>
      </w:rPr>
      <w:t>编制：</w:t>
    </w:r>
    <w:r>
      <w:rPr>
        <w:rFonts w:hint="eastAsia" w:ascii="黑体" w:eastAsia="黑体"/>
        <w:u w:val="single"/>
      </w:rPr>
      <w:t>　　　　　　　　　</w:t>
    </w:r>
    <w:r>
      <w:rPr>
        <w:rFonts w:hint="eastAsia" w:ascii="黑体" w:eastAsia="黑体"/>
      </w:rPr>
      <w:t>　　　　　　　　审核：</w:t>
    </w:r>
    <w:r>
      <w:rPr>
        <w:rFonts w:hint="eastAsia" w:ascii="黑体" w:eastAsia="黑体"/>
        <w:u w:val="single"/>
      </w:rPr>
      <w:t>　　　　　　　　　　　</w:t>
    </w:r>
    <w:r>
      <w:rPr>
        <w:rFonts w:hint="eastAsia" w:ascii="黑体" w:eastAsia="黑体"/>
      </w:rPr>
      <w:t>　　　　　　　　　批准：</w:t>
    </w:r>
    <w:r>
      <w:rPr>
        <w:rFonts w:hint="eastAsia" w:ascii="黑体" w:eastAsia="黑体"/>
        <w:u w:val="single"/>
      </w:rPr>
      <w:t>　　　　　　　　　　　</w:t>
    </w:r>
  </w:p>
  <w:p>
    <w:pPr>
      <w:ind w:firstLine="525" w:firstLineChars="250"/>
      <w:rPr>
        <w:rFonts w:hint="eastAsia" w:ascii="黑体" w:eastAsia="黑体"/>
        <w:u w:val="single"/>
        <w:lang w:eastAsia="zh-CN"/>
      </w:rPr>
    </w:pPr>
  </w:p>
  <w:p>
    <w:pPr>
      <w:pStyle w:val="2"/>
      <w:rPr>
        <w:rFonts w:hint="eastAsia" w:ascii="黑体" w:eastAsia="黑体"/>
        <w:u w:val="single"/>
      </w:rPr>
    </w:pPr>
    <w:r>
      <w:rPr>
        <w:sz w:val="18"/>
      </w:rPr>
      <w:pict>
        <v:shape id="文本框 3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                                          </w:t>
    </w:r>
    <w:r>
      <w:rPr>
        <w:rFonts w:hint="eastAsia"/>
      </w:rPr>
      <w:t xml:space="preserve">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        </w:t>
    </w:r>
    <w:r>
      <w:rPr>
        <w:rFonts w:hint="eastAsia"/>
        <w:lang w:val="en-US" w:eastAsia="zh-CN"/>
      </w:rPr>
      <w:t xml:space="preserve">                                                 </w:t>
    </w:r>
    <w:r>
      <w:rPr>
        <w:rFonts w:hint="eastAsia"/>
      </w:rPr>
      <w:t xml:space="preserve">                        联系龙德获取更多知识!</w:t>
    </w:r>
  </w:p>
  <w:p>
    <w:pPr>
      <w:pStyle w:val="3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内审</w:t>
    </w:r>
    <w:r>
      <w:rPr>
        <w:rFonts w:hint="eastAsia" w:ascii="黑体" w:eastAsia="黑体"/>
        <w:b/>
        <w:sz w:val="32"/>
        <w:szCs w:val="32"/>
        <w:lang w:val="en-US" w:eastAsia="zh-CN"/>
      </w:rPr>
      <w:t>不合格项分布</w:t>
    </w:r>
    <w:r>
      <w:rPr>
        <w:rFonts w:hint="eastAsia" w:ascii="黑体" w:eastAsia="黑体"/>
        <w:b/>
        <w:sz w:val="32"/>
        <w:szCs w:val="32"/>
      </w:rPr>
      <w:t>表</w:t>
    </w:r>
  </w:p>
  <w:p>
    <w:pPr>
      <w:pStyle w:val="3"/>
      <w:rPr>
        <w:rFonts w:ascii="黑体" w:eastAsia="黑体"/>
        <w:b/>
        <w:sz w:val="21"/>
        <w:szCs w:val="21"/>
      </w:rPr>
    </w:pPr>
  </w:p>
  <w:p>
    <w:pPr>
      <w:pStyle w:val="3"/>
      <w:jc w:val="left"/>
      <w:rPr>
        <w:rFonts w:ascii="黑体" w:eastAsia="黑体"/>
        <w:sz w:val="20"/>
        <w:szCs w:val="20"/>
      </w:rPr>
    </w:pPr>
    <w:r>
      <w:rPr>
        <w:rFonts w:hint="eastAsia" w:ascii="黑体" w:eastAsia="黑体"/>
        <w:sz w:val="20"/>
        <w:szCs w:val="20"/>
      </w:rPr>
      <w:t xml:space="preserve">            　　　　　　　　　　　　　　　　　　　　　　　　　　　　　　　　　　　　　　　　　　　　文件编号：QR-QC-025  版本：       NO.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1008B"/>
    <w:rsid w:val="00030D5D"/>
    <w:rsid w:val="000A7B07"/>
    <w:rsid w:val="00243BDC"/>
    <w:rsid w:val="00276D1E"/>
    <w:rsid w:val="00285C16"/>
    <w:rsid w:val="00290AF3"/>
    <w:rsid w:val="003050CA"/>
    <w:rsid w:val="00321D79"/>
    <w:rsid w:val="0036007D"/>
    <w:rsid w:val="003764AB"/>
    <w:rsid w:val="003C6586"/>
    <w:rsid w:val="004817E1"/>
    <w:rsid w:val="00486FAB"/>
    <w:rsid w:val="005063F5"/>
    <w:rsid w:val="0054552A"/>
    <w:rsid w:val="00560A2A"/>
    <w:rsid w:val="005649BF"/>
    <w:rsid w:val="00565ACC"/>
    <w:rsid w:val="0057012C"/>
    <w:rsid w:val="00580352"/>
    <w:rsid w:val="005E38AB"/>
    <w:rsid w:val="00613973"/>
    <w:rsid w:val="006470E5"/>
    <w:rsid w:val="00652F5B"/>
    <w:rsid w:val="0069466B"/>
    <w:rsid w:val="0071230F"/>
    <w:rsid w:val="007B186A"/>
    <w:rsid w:val="007D08BF"/>
    <w:rsid w:val="007E5A12"/>
    <w:rsid w:val="007F0B93"/>
    <w:rsid w:val="007F1F6A"/>
    <w:rsid w:val="00893ED5"/>
    <w:rsid w:val="008A4F59"/>
    <w:rsid w:val="008D1B85"/>
    <w:rsid w:val="00902328"/>
    <w:rsid w:val="009E2F4F"/>
    <w:rsid w:val="00A42CD9"/>
    <w:rsid w:val="00A97BA9"/>
    <w:rsid w:val="00B45461"/>
    <w:rsid w:val="00B47474"/>
    <w:rsid w:val="00B84A57"/>
    <w:rsid w:val="00C10497"/>
    <w:rsid w:val="00C674D8"/>
    <w:rsid w:val="00C8718B"/>
    <w:rsid w:val="00CE707A"/>
    <w:rsid w:val="00CF1163"/>
    <w:rsid w:val="00D00335"/>
    <w:rsid w:val="00D3186E"/>
    <w:rsid w:val="00E57095"/>
    <w:rsid w:val="00E84D0E"/>
    <w:rsid w:val="00EE7D61"/>
    <w:rsid w:val="00EF4252"/>
    <w:rsid w:val="00F1331B"/>
    <w:rsid w:val="00F4672B"/>
    <w:rsid w:val="00F675F9"/>
    <w:rsid w:val="00F914E5"/>
    <w:rsid w:val="00F93905"/>
    <w:rsid w:val="12CE2878"/>
    <w:rsid w:val="5AB23007"/>
    <w:rsid w:val="6A25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3B6121-1CF9-4B8F-8F0D-86D5F015B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100</Characters>
  <Lines>2</Lines>
  <Paragraphs>1</Paragraphs>
  <TotalTime>0</TotalTime>
  <ScaleCrop>false</ScaleCrop>
  <LinksUpToDate>false</LinksUpToDate>
  <CharactersWithSpaces>100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2023-10-07T06:15:52Z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CDF875C06D6A4EA088B19AF3A3E5DAAB_12</vt:lpwstr>
  </property>
</Properties>
</file>