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1082"/>
        <w:gridCol w:w="5"/>
        <w:gridCol w:w="573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x）变更阶段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是否对产品组成部分和已交付产品产生影响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设计开发变更是否产生新的风险？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变更是否涉及产品功能、性能及预期用途的改变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变更是否涉及产品标准的改变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的内容和结果是否涉及到改变医疗器械产品注册证（备案凭证）所载明的内容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变更是否涉及产品重新注册或变更注册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设计开发变更是否进行了风险分析和风险评价，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asciiTheme="minorEastAsia" w:hAnsiTheme="minorEastAsia"/>
                <w:bCs/>
              </w:rPr>
            </w:pPr>
            <w:r>
              <w:rPr>
                <w:rFonts w:hint="eastAsia" w:hAnsi="宋体" w:cs="宋体"/>
                <w:lang w:eastAsia="zh-CN"/>
              </w:rPr>
              <w:t>变更可能引起哪些生产工艺文件的变更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是否满足法律法规要求？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需要进行确认？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  <w:bookmarkStart w:id="2" w:name="_GoBack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453DD"/>
    <w:rsid w:val="0035552F"/>
    <w:rsid w:val="00357D61"/>
    <w:rsid w:val="003B702A"/>
    <w:rsid w:val="003B77B3"/>
    <w:rsid w:val="0046109F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ED6DEF"/>
    <w:rsid w:val="00F03872"/>
    <w:rsid w:val="00F257EE"/>
    <w:rsid w:val="00F32F0C"/>
    <w:rsid w:val="00F7505B"/>
    <w:rsid w:val="00FC401A"/>
    <w:rsid w:val="00FC54EE"/>
    <w:rsid w:val="00FE0CC7"/>
    <w:rsid w:val="0CBF63D6"/>
    <w:rsid w:val="0DA53528"/>
    <w:rsid w:val="3F06112E"/>
    <w:rsid w:val="621E6C7C"/>
    <w:rsid w:val="6B3E567F"/>
    <w:rsid w:val="6B9A15CD"/>
    <w:rsid w:val="6CC9315B"/>
    <w:rsid w:val="77A036AB"/>
    <w:rsid w:val="7F4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367</Characters>
  <Lines>2</Lines>
  <Paragraphs>1</Paragraphs>
  <TotalTime>0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2023-10-07T03:55:46Z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9C9C6241039347EE81FB1906DF5EACCC_12</vt:lpwstr>
  </property>
</Properties>
</file>